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B305B" w14:textId="77777777" w:rsidR="00E32198" w:rsidRPr="00E32198" w:rsidRDefault="00E32198" w:rsidP="00E32198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Limitation #1 – High Costs and Vendor Lock-In</w:t>
      </w:r>
    </w:p>
    <w:p w14:paraId="598AF357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Commercial LLMs often come with significant financial and operational dependencies that can limit flexibility and scalability.</w:t>
      </w:r>
    </w:p>
    <w:p w14:paraId="42A63A1B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Concerns:</w:t>
      </w:r>
    </w:p>
    <w:p w14:paraId="7E0FEE0E" w14:textId="77777777" w:rsidR="00E32198" w:rsidRPr="00E32198" w:rsidRDefault="00E32198" w:rsidP="00E32198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Exponentially Scaling Costs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API fees (e.g., GPT-4 costs ~$0.06/1k tokens) become prohibitive at scale.</w:t>
      </w:r>
    </w:p>
    <w:p w14:paraId="442C7D88" w14:textId="77777777" w:rsidR="00E32198" w:rsidRPr="00E32198" w:rsidRDefault="00E32198" w:rsidP="00E32198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Subscription Models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Mandatory tiered pricing (e.g., ChatGPT Plus at $20/month) limits budget flexibility.</w:t>
      </w:r>
    </w:p>
    <w:p w14:paraId="79D89A34" w14:textId="77777777" w:rsidR="00E32198" w:rsidRPr="00E32198" w:rsidRDefault="00E32198" w:rsidP="00E32198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Vendor Lock-In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Heavy reliance on proprietary APIs makes switching providers costly and technically challenging.</w:t>
      </w:r>
    </w:p>
    <w:p w14:paraId="05A0A7E4" w14:textId="77777777" w:rsidR="00E32198" w:rsidRPr="00E32198" w:rsidRDefault="00E32198" w:rsidP="00E32198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Hidden Fees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Additional charges for compliance, security, or specialized features (e.g., enterprise SLAs).</w:t>
      </w:r>
    </w:p>
    <w:p w14:paraId="7F5597FC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Mitigation Strategy:</w:t>
      </w:r>
    </w:p>
    <w:p w14:paraId="11B4ADAA" w14:textId="77777777" w:rsidR="00E32198" w:rsidRPr="00E32198" w:rsidRDefault="00E32198" w:rsidP="00E32198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Forecast long-term usage costs and compare ROI against open-source alternatives.</w:t>
      </w:r>
    </w:p>
    <w:p w14:paraId="5B7703AF" w14:textId="77777777" w:rsidR="00E32198" w:rsidRPr="00E32198" w:rsidRDefault="00E32198" w:rsidP="00E32198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Negotiate volume-based discounts with providers.</w:t>
      </w:r>
    </w:p>
    <w:p w14:paraId="7FD541DD" w14:textId="77777777" w:rsidR="00E32198" w:rsidRPr="00E32198" w:rsidRDefault="00E32198" w:rsidP="00E32198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Design modular architectures to enable hybrid models (e.g., combine commercial APIs with open-source fine-tuning).</w:t>
      </w:r>
    </w:p>
    <w:p w14:paraId="334CADB4" w14:textId="77777777" w:rsidR="00E32198" w:rsidRPr="00E32198" w:rsidRDefault="00684992" w:rsidP="00E32198">
      <w:pPr>
        <w:rPr>
          <w:rFonts w:ascii="Segoe UI" w:eastAsia="Times New Roman" w:hAnsi="Segoe UI" w:cs="Segoe UI"/>
          <w:kern w:val="0"/>
          <w14:ligatures w14:val="none"/>
        </w:rPr>
      </w:pPr>
      <w:r w:rsidRPr="00684992">
        <w:rPr>
          <w:rFonts w:ascii="Times New Roman" w:eastAsia="Times New Roman" w:hAnsi="Times New Roman" w:cs="Times New Roman"/>
          <w:noProof/>
          <w:kern w:val="0"/>
        </w:rPr>
        <w:pict w14:anchorId="032E1EB5">
          <v:rect id="_x0000_i1029" alt="" style="width:468pt;height:.05pt;mso-width-percent:0;mso-height-percent:0;mso-width-percent:0;mso-height-percent:0" o:hralign="center" o:hrstd="t" o:hrnoshade="t" o:hr="t" fillcolor="#404040" stroked="f"/>
        </w:pict>
      </w:r>
    </w:p>
    <w:p w14:paraId="1FB093F5" w14:textId="77777777" w:rsidR="00E32198" w:rsidRPr="00E32198" w:rsidRDefault="00E32198" w:rsidP="00E32198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Limitation #2 – Lack of Transparency and Control</w:t>
      </w:r>
    </w:p>
    <w:p w14:paraId="5428CF02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Commercial LLMs operate as "black boxes," limiting visibility into model behavior and decision-making processes.</w:t>
      </w:r>
    </w:p>
    <w:p w14:paraId="3C9A51A0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Concerns:</w:t>
      </w:r>
    </w:p>
    <w:p w14:paraId="073A2F0F" w14:textId="77777777" w:rsidR="00E32198" w:rsidRPr="00E32198" w:rsidRDefault="00E32198" w:rsidP="00E32198">
      <w:pPr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Unknown Training Data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Proprietary models obscure training data sources, raising ethical and compliance risks.</w:t>
      </w:r>
    </w:p>
    <w:p w14:paraId="5E2C144F" w14:textId="77777777" w:rsidR="00E32198" w:rsidRPr="00E32198" w:rsidRDefault="00E32198" w:rsidP="00E32198">
      <w:pPr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Limited Explainability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Difficulty auditing outputs for bias, fairness, or compliance (e.g., GDPR’s "right to explanation").</w:t>
      </w:r>
    </w:p>
    <w:p w14:paraId="5C140DF0" w14:textId="77777777" w:rsidR="00E32198" w:rsidRPr="00E32198" w:rsidRDefault="00E32198" w:rsidP="00E32198">
      <w:pPr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No Customization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Restricted to API parameters (temperature, tokens) without access to model weights.</w:t>
      </w:r>
    </w:p>
    <w:p w14:paraId="086797F8" w14:textId="77777777" w:rsidR="00E32198" w:rsidRPr="00E32198" w:rsidRDefault="00E32198" w:rsidP="00E32198">
      <w:pPr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Closed Governance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Updates/improvements are provider-driven, not user-driven.</w:t>
      </w:r>
    </w:p>
    <w:p w14:paraId="093DA82A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Mitigation Strategy:</w:t>
      </w:r>
    </w:p>
    <w:p w14:paraId="1D690709" w14:textId="77777777" w:rsidR="00E32198" w:rsidRPr="00E32198" w:rsidRDefault="00E32198" w:rsidP="00E32198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Use wrappers or middleware to log and audit API inputs/outputs.</w:t>
      </w:r>
    </w:p>
    <w:p w14:paraId="613FAB73" w14:textId="77777777" w:rsidR="00E32198" w:rsidRPr="00E32198" w:rsidRDefault="00E32198" w:rsidP="00E32198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Pair commercial APIs with open-source tools (e.g., Galileo) for explainability and bias detection.</w:t>
      </w:r>
    </w:p>
    <w:p w14:paraId="62A14A0B" w14:textId="77777777" w:rsidR="00E32198" w:rsidRPr="00E32198" w:rsidRDefault="00E32198" w:rsidP="00E32198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Negotiate data-use opt-outs to prevent inputs from training future models.</w:t>
      </w:r>
    </w:p>
    <w:p w14:paraId="60A27E15" w14:textId="77777777" w:rsidR="00E32198" w:rsidRPr="00E32198" w:rsidRDefault="00684992" w:rsidP="00E32198">
      <w:pPr>
        <w:rPr>
          <w:rFonts w:ascii="Segoe UI" w:eastAsia="Times New Roman" w:hAnsi="Segoe UI" w:cs="Segoe UI"/>
          <w:kern w:val="0"/>
          <w14:ligatures w14:val="none"/>
        </w:rPr>
      </w:pPr>
      <w:r w:rsidRPr="00684992">
        <w:rPr>
          <w:rFonts w:ascii="Times New Roman" w:eastAsia="Times New Roman" w:hAnsi="Times New Roman" w:cs="Times New Roman"/>
          <w:noProof/>
          <w:kern w:val="0"/>
        </w:rPr>
        <w:pict w14:anchorId="1B5CAC0B">
          <v:rect id="_x0000_i1028" alt="" style="width:468pt;height:.05pt;mso-width-percent:0;mso-height-percent:0;mso-width-percent:0;mso-height-percent:0" o:hralign="center" o:hrstd="t" o:hrnoshade="t" o:hr="t" fillcolor="#404040" stroked="f"/>
        </w:pict>
      </w:r>
    </w:p>
    <w:p w14:paraId="54CBCFA8" w14:textId="77777777" w:rsidR="00E32198" w:rsidRPr="00E32198" w:rsidRDefault="00E32198" w:rsidP="00E32198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Limitation #3 – Data Privacy and Security Risks</w:t>
      </w:r>
    </w:p>
    <w:p w14:paraId="29EA4CAE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Commercial LLMs require sharing sensitive data with third-party providers, creating compliance and security vulnerabilities.</w:t>
      </w:r>
    </w:p>
    <w:p w14:paraId="1C8C713A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Concerns:</w:t>
      </w:r>
    </w:p>
    <w:p w14:paraId="52E07285" w14:textId="77777777" w:rsidR="00E32198" w:rsidRPr="00E32198" w:rsidRDefault="00E32198" w:rsidP="00E32198">
      <w:pPr>
        <w:numPr>
          <w:ilvl w:val="0"/>
          <w:numId w:val="5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Third-Party Data Storage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Inputs processed on external </w:t>
      </w:r>
      <w:proofErr w:type="gramStart"/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servers</w:t>
      </w:r>
      <w:proofErr w:type="gramEnd"/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risk exposure (e.g., accidental leaks, breaches).</w:t>
      </w:r>
    </w:p>
    <w:p w14:paraId="079637DB" w14:textId="77777777" w:rsidR="00E32198" w:rsidRPr="00E32198" w:rsidRDefault="00E32198" w:rsidP="00E32198">
      <w:pPr>
        <w:numPr>
          <w:ilvl w:val="0"/>
          <w:numId w:val="5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Training Data Reuse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Default terms often allow providers to retain user data for model improvement (opt-out required).</w:t>
      </w:r>
    </w:p>
    <w:p w14:paraId="28E97060" w14:textId="77777777" w:rsidR="00E32198" w:rsidRPr="00E32198" w:rsidRDefault="00E32198" w:rsidP="00E32198">
      <w:pPr>
        <w:numPr>
          <w:ilvl w:val="0"/>
          <w:numId w:val="5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Regional Restrictions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Bans in regulated industries (e.g., healthcare, finance) or countries (e.g., EU, China).</w:t>
      </w:r>
    </w:p>
    <w:p w14:paraId="1E88E5F9" w14:textId="77777777" w:rsidR="00E32198" w:rsidRPr="00E32198" w:rsidRDefault="00E32198" w:rsidP="00E32198">
      <w:pPr>
        <w:numPr>
          <w:ilvl w:val="0"/>
          <w:numId w:val="5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Limited Encryption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Data in transit may not meet enterprise-grade security standards.</w:t>
      </w:r>
    </w:p>
    <w:p w14:paraId="04EB45CC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Mitigation Strategy:</w:t>
      </w:r>
    </w:p>
    <w:p w14:paraId="50E14966" w14:textId="77777777" w:rsidR="00E32198" w:rsidRPr="00E32198" w:rsidRDefault="00E32198" w:rsidP="00E32198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Use data anonymization/masking tools before sending inputs to APIs.</w:t>
      </w:r>
    </w:p>
    <w:p w14:paraId="6DC9A0EC" w14:textId="77777777" w:rsidR="00E32198" w:rsidRPr="00E32198" w:rsidRDefault="00E32198" w:rsidP="00E32198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Negotiate strict data-processing agreements (DPAs) with providers.</w:t>
      </w:r>
    </w:p>
    <w:p w14:paraId="6B2F79E3" w14:textId="77777777" w:rsidR="00E32198" w:rsidRPr="00E32198" w:rsidRDefault="00E32198" w:rsidP="00E32198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Deploy private cloud instances where available (e.g., Azure-hosted GPT-4).</w:t>
      </w:r>
    </w:p>
    <w:p w14:paraId="1763F8EC" w14:textId="77777777" w:rsidR="00E32198" w:rsidRPr="00E32198" w:rsidRDefault="00684992" w:rsidP="00E32198">
      <w:pPr>
        <w:rPr>
          <w:rFonts w:ascii="Segoe UI" w:eastAsia="Times New Roman" w:hAnsi="Segoe UI" w:cs="Segoe UI"/>
          <w:kern w:val="0"/>
          <w14:ligatures w14:val="none"/>
        </w:rPr>
      </w:pPr>
      <w:r w:rsidRPr="00684992">
        <w:rPr>
          <w:rFonts w:ascii="Times New Roman" w:eastAsia="Times New Roman" w:hAnsi="Times New Roman" w:cs="Times New Roman"/>
          <w:noProof/>
          <w:kern w:val="0"/>
        </w:rPr>
        <w:pict w14:anchorId="4D40F4DE">
          <v:rect id="_x0000_i1027" alt="" style="width:468pt;height:.05pt;mso-width-percent:0;mso-height-percent:0;mso-width-percent:0;mso-height-percent:0" o:hralign="center" o:hrstd="t" o:hrnoshade="t" o:hr="t" fillcolor="#404040" stroked="f"/>
        </w:pict>
      </w:r>
    </w:p>
    <w:p w14:paraId="71512829" w14:textId="77777777" w:rsidR="00E32198" w:rsidRPr="00E32198" w:rsidRDefault="00E32198" w:rsidP="00E32198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Limitation #4 – Compliance and Regulatory Challenges</w:t>
      </w:r>
    </w:p>
    <w:p w14:paraId="517E9019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Commercial LLMs may not align with industry-specific or regional regulations, creating legal exposure.</w:t>
      </w:r>
    </w:p>
    <w:p w14:paraId="7F6AFBCD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Concerns:</w:t>
      </w:r>
    </w:p>
    <w:p w14:paraId="464AD6D1" w14:textId="77777777" w:rsidR="00E32198" w:rsidRPr="00E32198" w:rsidRDefault="00E32198" w:rsidP="00E32198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Bias and Fairness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Reliance on providers’ opaque mitigation efforts (e.g., inconsistent content moderation).</w:t>
      </w:r>
    </w:p>
    <w:p w14:paraId="401FE69E" w14:textId="77777777" w:rsidR="00E32198" w:rsidRPr="00E32198" w:rsidRDefault="00E32198" w:rsidP="00E32198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Global Compliance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Navigating conflicting regulations (e.g., EU AI Act vs. U.S. state laws).</w:t>
      </w:r>
    </w:p>
    <w:p w14:paraId="22DF1B4F" w14:textId="77777777" w:rsidR="00E32198" w:rsidRPr="00E32198" w:rsidRDefault="00E32198" w:rsidP="00E32198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Auditability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Difficulty proving compliance due to lack of model transparency.</w:t>
      </w:r>
    </w:p>
    <w:p w14:paraId="64276C5B" w14:textId="77777777" w:rsidR="00E32198" w:rsidRPr="00E32198" w:rsidRDefault="00E32198" w:rsidP="00E32198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Output Liability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Legal responsibility for harmful or incorrect outputs (e.g., defamation, misinformation).</w:t>
      </w:r>
    </w:p>
    <w:p w14:paraId="5774C3E9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Mitigation Strategy:</w:t>
      </w:r>
    </w:p>
    <w:p w14:paraId="358CAE37" w14:textId="77777777" w:rsidR="00E32198" w:rsidRPr="00E32198" w:rsidRDefault="00E32198" w:rsidP="00E32198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Conduct third-party audits of model outputs for bias and compliance.</w:t>
      </w:r>
    </w:p>
    <w:p w14:paraId="71045562" w14:textId="77777777" w:rsidR="00E32198" w:rsidRPr="00E32198" w:rsidRDefault="00E32198" w:rsidP="00E32198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Implement output validation workflows (e.g., human-in-the-loop reviews).</w:t>
      </w:r>
    </w:p>
    <w:p w14:paraId="4E4C95E6" w14:textId="77777777" w:rsidR="00E32198" w:rsidRPr="00E32198" w:rsidRDefault="00E32198" w:rsidP="00E32198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Purchase indemnification clauses in provider contracts.</w:t>
      </w:r>
    </w:p>
    <w:p w14:paraId="6B1F77C9" w14:textId="77777777" w:rsidR="00E32198" w:rsidRPr="00E32198" w:rsidRDefault="00684992" w:rsidP="00E32198">
      <w:pPr>
        <w:rPr>
          <w:rFonts w:ascii="Segoe UI" w:eastAsia="Times New Roman" w:hAnsi="Segoe UI" w:cs="Segoe UI"/>
          <w:kern w:val="0"/>
          <w14:ligatures w14:val="none"/>
        </w:rPr>
      </w:pPr>
      <w:r w:rsidRPr="00684992">
        <w:rPr>
          <w:rFonts w:ascii="Times New Roman" w:eastAsia="Times New Roman" w:hAnsi="Times New Roman" w:cs="Times New Roman"/>
          <w:noProof/>
          <w:kern w:val="0"/>
        </w:rPr>
        <w:pict w14:anchorId="4FFED572">
          <v:rect id="_x0000_i1026" alt="" style="width:468pt;height:.05pt;mso-width-percent:0;mso-height-percent:0;mso-width-percent:0;mso-height-percent:0" o:hralign="center" o:hrstd="t" o:hrnoshade="t" o:hr="t" fillcolor="#404040" stroked="f"/>
        </w:pict>
      </w:r>
    </w:p>
    <w:p w14:paraId="3143550E" w14:textId="77777777" w:rsidR="00E32198" w:rsidRPr="00E32198" w:rsidRDefault="00E32198" w:rsidP="00E32198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Limitation #5 – Performance Constraints</w:t>
      </w:r>
    </w:p>
    <w:p w14:paraId="7F22B74C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While commercial LLMs excel in general tasks, they often struggle with niche or specialized use cases.</w:t>
      </w:r>
    </w:p>
    <w:p w14:paraId="71DEEE2B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Concerns:</w:t>
      </w:r>
    </w:p>
    <w:p w14:paraId="1063E8BA" w14:textId="77777777" w:rsidR="00E32198" w:rsidRPr="00E32198" w:rsidRDefault="00E32198" w:rsidP="00E32198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Generic Outputs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Lack of domain-specific expertise (e.g., medical, legal jargon).</w:t>
      </w:r>
    </w:p>
    <w:p w14:paraId="63E3D9D8" w14:textId="77777777" w:rsidR="00E32198" w:rsidRPr="00E32198" w:rsidRDefault="00E32198" w:rsidP="00E32198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Latency Issues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API rate limits and delays (e.g., GPT-4’s slower response times).</w:t>
      </w:r>
    </w:p>
    <w:p w14:paraId="37292F1A" w14:textId="77777777" w:rsidR="00E32198" w:rsidRPr="00E32198" w:rsidRDefault="00E32198" w:rsidP="00E32198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Multimodal Gaps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Limited support for specialized data types (e.g., genomic data, CAD files).</w:t>
      </w:r>
    </w:p>
    <w:p w14:paraId="4200C70C" w14:textId="77777777" w:rsidR="00E32198" w:rsidRPr="00E32198" w:rsidRDefault="00E32198" w:rsidP="00E32198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Inflexible SLAs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No guarantees for uptime or performance in critical applications.</w:t>
      </w:r>
    </w:p>
    <w:p w14:paraId="32E0DF97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Mitigation Strategy:</w:t>
      </w:r>
    </w:p>
    <w:p w14:paraId="77EE8196" w14:textId="77777777" w:rsidR="00E32198" w:rsidRPr="00E32198" w:rsidRDefault="00E32198" w:rsidP="00E32198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Use retrieval-augmented generation (RAG) to add domain-specific knowledge.</w:t>
      </w:r>
    </w:p>
    <w:p w14:paraId="13EE609D" w14:textId="77777777" w:rsidR="00E32198" w:rsidRPr="00E32198" w:rsidRDefault="00E32198" w:rsidP="00E32198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Cache frequent queries to reduce latency and costs.</w:t>
      </w:r>
    </w:p>
    <w:p w14:paraId="3AFD29F2" w14:textId="77777777" w:rsidR="00E32198" w:rsidRPr="00E32198" w:rsidRDefault="00E32198" w:rsidP="00E32198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Hybridize with fine-tuned open-source models for specialized tasks.</w:t>
      </w:r>
    </w:p>
    <w:p w14:paraId="1D3F0A9F" w14:textId="77777777" w:rsidR="00E32198" w:rsidRPr="00E32198" w:rsidRDefault="00684992" w:rsidP="00E32198">
      <w:pPr>
        <w:rPr>
          <w:rFonts w:ascii="Segoe UI" w:eastAsia="Times New Roman" w:hAnsi="Segoe UI" w:cs="Segoe UI"/>
          <w:kern w:val="0"/>
          <w14:ligatures w14:val="none"/>
        </w:rPr>
      </w:pPr>
      <w:r w:rsidRPr="00684992">
        <w:rPr>
          <w:rFonts w:ascii="Times New Roman" w:eastAsia="Times New Roman" w:hAnsi="Times New Roman" w:cs="Times New Roman"/>
          <w:noProof/>
          <w:kern w:val="0"/>
        </w:rPr>
        <w:pict w14:anchorId="7E4F465C">
          <v:rect id="_x0000_i1025" alt="" style="width:468pt;height:.05pt;mso-width-percent:0;mso-height-percent:0;mso-width-percent:0;mso-height-percent:0" o:hralign="center" o:hrstd="t" o:hrnoshade="t" o:hr="t" fillcolor="#404040" stroked="f"/>
        </w:pict>
      </w:r>
    </w:p>
    <w:p w14:paraId="16874A35" w14:textId="77777777" w:rsidR="00E32198" w:rsidRPr="00E32198" w:rsidRDefault="00E32198" w:rsidP="00E32198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Conclusion: Balancing Trade-offs</w:t>
      </w:r>
    </w:p>
    <w:p w14:paraId="5F36A1ED" w14:textId="77777777" w:rsidR="00E32198" w:rsidRPr="00E32198" w:rsidRDefault="00E32198" w:rsidP="00E32198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Commercial LLMs offer convenience and cutting-edge performance but come with critical limitations around cost, control, and compliance. To mitigate these:</w:t>
      </w:r>
    </w:p>
    <w:p w14:paraId="4DEEF6A9" w14:textId="77777777" w:rsidR="00E32198" w:rsidRPr="00E32198" w:rsidRDefault="00E32198" w:rsidP="00E32198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Audit Providers Rigorously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Prioritize vendors with transparent data policies and compliance certifications.</w:t>
      </w:r>
    </w:p>
    <w:p w14:paraId="63798B02" w14:textId="77777777" w:rsidR="00E32198" w:rsidRPr="00E32198" w:rsidRDefault="00E32198" w:rsidP="00E32198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Adopt Hybrid Architectures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Combine commercial APIs with open-source models for flexibility.</w:t>
      </w:r>
    </w:p>
    <w:p w14:paraId="48D6AEDB" w14:textId="77777777" w:rsidR="00E32198" w:rsidRPr="00E32198" w:rsidRDefault="00E32198" w:rsidP="00E32198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Invest in Governance Tools</w:t>
      </w: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: Use platforms like Galileo to monitor outputs, costs, and compliance.</w:t>
      </w:r>
    </w:p>
    <w:p w14:paraId="6EFEED4F" w14:textId="77777777" w:rsidR="00E32198" w:rsidRPr="00E32198" w:rsidRDefault="00E32198" w:rsidP="00E32198">
      <w:pPr>
        <w:spacing w:before="100" w:before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32198">
        <w:rPr>
          <w:rFonts w:ascii="Segoe UI" w:eastAsia="Times New Roman" w:hAnsi="Segoe UI" w:cs="Segoe UI"/>
          <w:color w:val="404040"/>
          <w:kern w:val="0"/>
          <w14:ligatures w14:val="none"/>
        </w:rPr>
        <w:t>By addressing these limitations proactively, enterprises can leverage commercial LLMs while maintaining control over costs, risks, and operational workflows.</w:t>
      </w:r>
    </w:p>
    <w:p w14:paraId="11F73A49" w14:textId="77777777" w:rsidR="00C04A11" w:rsidRDefault="00C04A11"/>
    <w:sectPr w:rsidR="00C0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E39"/>
    <w:multiLevelType w:val="multilevel"/>
    <w:tmpl w:val="A620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26214"/>
    <w:multiLevelType w:val="multilevel"/>
    <w:tmpl w:val="BD44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2D37"/>
    <w:multiLevelType w:val="multilevel"/>
    <w:tmpl w:val="C5DE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84FAC"/>
    <w:multiLevelType w:val="multilevel"/>
    <w:tmpl w:val="60E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81E61"/>
    <w:multiLevelType w:val="multilevel"/>
    <w:tmpl w:val="6782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17566"/>
    <w:multiLevelType w:val="multilevel"/>
    <w:tmpl w:val="3748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97CCA"/>
    <w:multiLevelType w:val="multilevel"/>
    <w:tmpl w:val="2C7E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C55B8"/>
    <w:multiLevelType w:val="multilevel"/>
    <w:tmpl w:val="5874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76FB7"/>
    <w:multiLevelType w:val="multilevel"/>
    <w:tmpl w:val="18F0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25F4B"/>
    <w:multiLevelType w:val="multilevel"/>
    <w:tmpl w:val="330C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9487E"/>
    <w:multiLevelType w:val="multilevel"/>
    <w:tmpl w:val="A03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373572">
    <w:abstractNumId w:val="9"/>
  </w:num>
  <w:num w:numId="2" w16cid:durableId="1544442914">
    <w:abstractNumId w:val="0"/>
  </w:num>
  <w:num w:numId="3" w16cid:durableId="1151673442">
    <w:abstractNumId w:val="7"/>
  </w:num>
  <w:num w:numId="4" w16cid:durableId="82343221">
    <w:abstractNumId w:val="1"/>
  </w:num>
  <w:num w:numId="5" w16cid:durableId="1679773096">
    <w:abstractNumId w:val="4"/>
  </w:num>
  <w:num w:numId="6" w16cid:durableId="639189321">
    <w:abstractNumId w:val="10"/>
  </w:num>
  <w:num w:numId="7" w16cid:durableId="1956713806">
    <w:abstractNumId w:val="5"/>
  </w:num>
  <w:num w:numId="8" w16cid:durableId="841513137">
    <w:abstractNumId w:val="2"/>
  </w:num>
  <w:num w:numId="9" w16cid:durableId="2054383836">
    <w:abstractNumId w:val="8"/>
  </w:num>
  <w:num w:numId="10" w16cid:durableId="442843592">
    <w:abstractNumId w:val="3"/>
  </w:num>
  <w:num w:numId="11" w16cid:durableId="2122720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98"/>
    <w:rsid w:val="00684992"/>
    <w:rsid w:val="0069042A"/>
    <w:rsid w:val="00A43C06"/>
    <w:rsid w:val="00C04A11"/>
    <w:rsid w:val="00C20DB3"/>
    <w:rsid w:val="00CE20EC"/>
    <w:rsid w:val="00D73F31"/>
    <w:rsid w:val="00E3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601C"/>
  <w15:chartTrackingRefBased/>
  <w15:docId w15:val="{E39F0E3B-C868-AE48-874A-26A6D9AB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1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1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1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1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1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1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1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1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321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21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Zoe</dc:creator>
  <cp:keywords/>
  <dc:description/>
  <cp:lastModifiedBy>Duan, Zoe</cp:lastModifiedBy>
  <cp:revision>1</cp:revision>
  <dcterms:created xsi:type="dcterms:W3CDTF">2025-02-07T20:19:00Z</dcterms:created>
  <dcterms:modified xsi:type="dcterms:W3CDTF">2025-02-07T20:19:00Z</dcterms:modified>
</cp:coreProperties>
</file>