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967" w:rsidRDefault="00243967" w:rsidP="009A0859">
      <w:pPr>
        <w:rPr>
          <w:b/>
        </w:rPr>
      </w:pPr>
      <w:r w:rsidRPr="009A0859">
        <w:rPr>
          <w:b/>
        </w:rPr>
        <w:t>Supporting information</w:t>
      </w:r>
    </w:p>
    <w:p w:rsidR="00243967" w:rsidRPr="009A0859" w:rsidRDefault="00243967" w:rsidP="009A0859">
      <w:pPr>
        <w:rPr>
          <w:b/>
        </w:rPr>
      </w:pPr>
      <w:r w:rsidRPr="009A0859">
        <w:rPr>
          <w:i/>
        </w:rPr>
        <w:t>Description of</w:t>
      </w:r>
      <w:r>
        <w:rPr>
          <w:i/>
        </w:rPr>
        <w:t xml:space="preserve"> bootstrap analysi</w:t>
      </w:r>
      <w:r w:rsidRPr="009A0859">
        <w:rPr>
          <w:i/>
        </w:rPr>
        <w:t>s</w:t>
      </w:r>
      <w:r>
        <w:rPr>
          <w:b/>
        </w:rPr>
        <w:t xml:space="preserve"> </w:t>
      </w:r>
    </w:p>
    <w:p w:rsidR="00243967" w:rsidRDefault="00243967" w:rsidP="00CB344B">
      <w:pPr>
        <w:ind w:firstLine="720"/>
      </w:pPr>
      <w:r>
        <w:t>A bootstrap analysis was conducted to evaluate confidence in the overall vulnerability classification. The distribution of tallies for each sensitivity attribute and exposure factor was sampled with replacement to compute a new overall vulnerability classification, with this procedure repeated 1000 times to produce a distribution across the overall vulnerability classifications. A certainty score was computed as the percentage of bootstrap vulnerability rankings which were identical to the original vulnerability ranking.</w:t>
      </w:r>
    </w:p>
    <w:p w:rsidR="00243967" w:rsidRDefault="00243967" w:rsidP="00AB2B7C">
      <w:pPr>
        <w:rPr>
          <w:i/>
        </w:rPr>
      </w:pPr>
      <w:r w:rsidRPr="00AB2B7C">
        <w:rPr>
          <w:i/>
        </w:rPr>
        <w:t>Evaluation of influence of sensitivity attributes and exposure factors</w:t>
      </w:r>
    </w:p>
    <w:p w:rsidR="00243967" w:rsidRDefault="00243967" w:rsidP="005E733C">
      <w:r>
        <w:rPr>
          <w:i/>
        </w:rPr>
        <w:tab/>
      </w:r>
      <w:r>
        <w:t xml:space="preserve">To evaluate the influence of each sensitivity attribute and exposure factor, the scoring rubric was applied after removing each attribute and factor from the analysis, and the number of stocks for which the vulnerability score was changed was recorded.    </w:t>
      </w:r>
    </w:p>
    <w:p w:rsidR="00243967" w:rsidRPr="009A0859" w:rsidRDefault="00243967" w:rsidP="009A0859">
      <w:pPr>
        <w:rPr>
          <w:i/>
        </w:rPr>
      </w:pPr>
      <w:r w:rsidRPr="009A0859">
        <w:rPr>
          <w:i/>
        </w:rPr>
        <w:t xml:space="preserve">Description of distribution analysis     </w:t>
      </w:r>
    </w:p>
    <w:p w:rsidR="00243967" w:rsidRDefault="00243967" w:rsidP="009A0859">
      <w:pPr>
        <w:ind w:firstLine="720"/>
      </w:pPr>
      <w:r>
        <w:t xml:space="preserve">The potential for stocks to change their distribution was assessed by examining the scores of the sensitivity attributes Adult Mobility, Early Life Stage Dispersal, Habitat Specificity, and Sensitivity to Temperature, following the methodology used in </w:t>
      </w:r>
      <w:r>
        <w:rPr>
          <w:noProof/>
        </w:rPr>
        <w:t>Hare et al. (2016)</w:t>
      </w:r>
      <w:r>
        <w:t xml:space="preserve">. Stocks that are habitat generalists and sensitive to temperature, and with high levels of mobility and dispersal, were considered as having increased potential for changing their distribution. The attribute scores for Adult Mobility, Early Life Stage Dispersal, and Habitat Specificity were adjusted by reversing the axis such that a high numerical score indicted less sensitivity, and the same logic rule for the overall vulnerability evaluation was applied. </w:t>
      </w:r>
    </w:p>
    <w:p w:rsidR="00243967" w:rsidRDefault="00243967" w:rsidP="009A0859">
      <w:r w:rsidRPr="009A0859">
        <w:rPr>
          <w:i/>
        </w:rPr>
        <w:t>Description of</w:t>
      </w:r>
      <w:r>
        <w:rPr>
          <w:i/>
        </w:rPr>
        <w:t xml:space="preserve"> directional analysi</w:t>
      </w:r>
      <w:r w:rsidRPr="009A0859">
        <w:rPr>
          <w:i/>
        </w:rPr>
        <w:t>s</w:t>
      </w:r>
    </w:p>
    <w:p w:rsidR="00243967" w:rsidRDefault="00243967" w:rsidP="00CB344B">
      <w:pPr>
        <w:ind w:firstLine="720"/>
      </w:pPr>
      <w:r>
        <w:lastRenderedPageBreak/>
        <w:t xml:space="preserve">The vulnerability rankings could indicate either beneficial or adverse effects on a stock, as an increase in the mean of an environmental factor could have the same </w:t>
      </w:r>
      <w:r w:rsidRPr="00FE764E">
        <w:rPr>
          <w:i/>
        </w:rPr>
        <w:t>Z</w:t>
      </w:r>
      <w:r>
        <w:t xml:space="preserve"> score as a decrease in the mean. The scorers evaluated whether climate change would affect stocks in a positive, neutral, or negative direction. For each stock, scorers distributed four tallies across these three bins and an average score was computed for each stock by assigning the numerical values of 1, 0, and -1 to the categories of positive, neutral, and negative, respectively. The category for each stock was obtained by dividing the distance from -1 to 1 equally among the three categories; for example, average scores less than -1/3 were categorized as negative, whereas average scores greater than 1/3 were categorized as positive. </w:t>
      </w:r>
    </w:p>
    <w:p w:rsidR="000723FE" w:rsidRDefault="000723FE" w:rsidP="000723FE">
      <w:pPr>
        <w:pStyle w:val="EndNoteBibliography"/>
        <w:ind w:left="720" w:hanging="720"/>
      </w:pPr>
    </w:p>
    <w:p w:rsidR="000723FE" w:rsidRPr="00A502CC" w:rsidRDefault="000723FE" w:rsidP="000723FE">
      <w:pPr>
        <w:pStyle w:val="EndNoteBibliography"/>
        <w:ind w:left="720" w:hanging="720"/>
      </w:pPr>
      <w:r w:rsidRPr="00A502CC">
        <w:t>References</w:t>
      </w:r>
      <w:bookmarkStart w:id="0" w:name="_GoBack"/>
      <w:bookmarkEnd w:id="0"/>
    </w:p>
    <w:p w:rsidR="000723FE" w:rsidRPr="00A502CC" w:rsidRDefault="000723FE" w:rsidP="000723FE">
      <w:pPr>
        <w:pStyle w:val="EndNoteBibliography"/>
        <w:ind w:left="720" w:hanging="720"/>
      </w:pPr>
      <w:bookmarkStart w:id="1" w:name="_ENREF_1"/>
      <w:r w:rsidRPr="00A502CC">
        <w:t xml:space="preserve">Hare, J. A., Morrison, W. E., Nelson, M. W., Stachura, M. M., Teeters, E. J., Griffis, R. B., . . . Griswold, C. A. (2016). A Vulnerability Assessment of Fish and Invertebrates to Climate Change on the Northeast U.S. Continental Shelf. </w:t>
      </w:r>
      <w:r w:rsidRPr="00A502CC">
        <w:rPr>
          <w:i/>
        </w:rPr>
        <w:t>PLoS One, 11</w:t>
      </w:r>
      <w:r w:rsidRPr="00A502CC">
        <w:t>(2), e0146756. doi:10.1371/journal.pone.0146756</w:t>
      </w:r>
      <w:bookmarkEnd w:id="1"/>
    </w:p>
    <w:p w:rsidR="00243967" w:rsidRDefault="00243967" w:rsidP="00CB344B">
      <w:pPr>
        <w:ind w:firstLine="720"/>
      </w:pPr>
    </w:p>
    <w:p w:rsidR="00243967" w:rsidRDefault="00243967" w:rsidP="00CB344B">
      <w:pPr>
        <w:ind w:firstLine="720"/>
      </w:pPr>
    </w:p>
    <w:p w:rsidR="00243967" w:rsidRDefault="00243967" w:rsidP="00CB344B">
      <w:pPr>
        <w:ind w:firstLine="720"/>
      </w:pPr>
    </w:p>
    <w:p w:rsidR="00243967" w:rsidRDefault="00243967">
      <w:pPr>
        <w:spacing w:before="0" w:after="160" w:line="259" w:lineRule="auto"/>
      </w:pPr>
      <w:r>
        <w:br w:type="page"/>
      </w:r>
    </w:p>
    <w:p w:rsidR="00243967" w:rsidRDefault="00243967" w:rsidP="009550D9">
      <w:pPr>
        <w:keepNext/>
        <w:keepLines/>
      </w:pPr>
      <w:r>
        <w:lastRenderedPageBreak/>
        <w:t xml:space="preserve">Table S1. Data quality categories for sensitivity attributes, environmental projections of physical or biological variables, and stock spatial distributions.     </w:t>
      </w:r>
    </w:p>
    <w:p w:rsidR="00243967" w:rsidRDefault="00243967" w:rsidP="009550D9">
      <w:pPr>
        <w:keepNext/>
        <w:keepLines/>
      </w:pPr>
    </w:p>
    <w:p w:rsidR="00243967" w:rsidRDefault="00243967" w:rsidP="009550D9">
      <w:pPr>
        <w:pStyle w:val="ListParagraph"/>
        <w:ind w:left="0"/>
      </w:pPr>
      <w:r w:rsidRPr="008A79BE">
        <w:rPr>
          <w:noProof/>
        </w:rPr>
        <w:drawing>
          <wp:inline distT="0" distB="0" distL="0" distR="0" wp14:anchorId="55CD5878" wp14:editId="41C7D47A">
            <wp:extent cx="5943600" cy="3449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49070"/>
                    </a:xfrm>
                    <a:prstGeom prst="rect">
                      <a:avLst/>
                    </a:prstGeom>
                    <a:noFill/>
                    <a:ln>
                      <a:noFill/>
                    </a:ln>
                  </pic:spPr>
                </pic:pic>
              </a:graphicData>
            </a:graphic>
          </wp:inline>
        </w:drawing>
      </w:r>
    </w:p>
    <w:p w:rsidR="00243967" w:rsidRDefault="00243967" w:rsidP="009550D9">
      <w:pPr>
        <w:spacing w:before="0" w:after="160" w:line="259" w:lineRule="auto"/>
      </w:pPr>
      <w:r>
        <w:br w:type="page"/>
      </w:r>
    </w:p>
    <w:p w:rsidR="00243967" w:rsidRDefault="00243967" w:rsidP="0090289E">
      <w:pPr>
        <w:keepNext/>
        <w:keepLines/>
      </w:pPr>
      <w:r>
        <w:lastRenderedPageBreak/>
        <w:t xml:space="preserve">Table S2. The logic rule of assigning sensitivity and exposure categories, and an alternative rubric that centers the thresholds for the high, moderate, and low categories.  </w:t>
      </w:r>
    </w:p>
    <w:p w:rsidR="00243967" w:rsidRDefault="00243967" w:rsidP="00CB344B">
      <w:pPr>
        <w:ind w:firstLine="720"/>
      </w:pPr>
    </w:p>
    <w:p w:rsidR="00243967" w:rsidRDefault="00243967" w:rsidP="00CB344B">
      <w:pPr>
        <w:ind w:firstLine="720"/>
      </w:pPr>
      <w:r w:rsidRPr="00F0786D">
        <w:rPr>
          <w:noProof/>
        </w:rPr>
        <w:drawing>
          <wp:inline distT="0" distB="0" distL="0" distR="0" wp14:anchorId="58BD1B95" wp14:editId="69D7F77F">
            <wp:extent cx="5654040" cy="30861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4040" cy="3086100"/>
                    </a:xfrm>
                    <a:prstGeom prst="rect">
                      <a:avLst/>
                    </a:prstGeom>
                    <a:noFill/>
                    <a:ln>
                      <a:noFill/>
                    </a:ln>
                  </pic:spPr>
                </pic:pic>
              </a:graphicData>
            </a:graphic>
          </wp:inline>
        </w:drawing>
      </w:r>
    </w:p>
    <w:p w:rsidR="00243967" w:rsidRDefault="00243967">
      <w:pPr>
        <w:spacing w:before="0" w:after="160" w:line="259" w:lineRule="auto"/>
      </w:pPr>
      <w:r>
        <w:br w:type="page"/>
      </w:r>
    </w:p>
    <w:p w:rsidR="00243967" w:rsidRDefault="00243967" w:rsidP="00C57FF9">
      <w:pPr>
        <w:pStyle w:val="ListParagraph"/>
        <w:keepNext/>
        <w:keepLines/>
        <w:ind w:left="0"/>
      </w:pPr>
      <w:r>
        <w:lastRenderedPageBreak/>
        <w:t xml:space="preserve">Table S3. The distribution of sensitivity attributes and exposure factors across ranking categories, and the percentage of sensitivity attributes and exposure factors with data quality ≥ 2, </w:t>
      </w:r>
    </w:p>
    <w:tbl>
      <w:tblPr>
        <w:tblW w:w="10170" w:type="dxa"/>
        <w:tblLook w:val="04A0" w:firstRow="1" w:lastRow="0" w:firstColumn="1" w:lastColumn="0" w:noHBand="0" w:noVBand="1"/>
      </w:tblPr>
      <w:tblGrid>
        <w:gridCol w:w="2250"/>
        <w:gridCol w:w="546"/>
        <w:gridCol w:w="906"/>
        <w:gridCol w:w="618"/>
        <w:gridCol w:w="630"/>
        <w:gridCol w:w="1080"/>
        <w:gridCol w:w="270"/>
        <w:gridCol w:w="630"/>
        <w:gridCol w:w="906"/>
        <w:gridCol w:w="576"/>
        <w:gridCol w:w="678"/>
        <w:gridCol w:w="1080"/>
      </w:tblGrid>
      <w:tr w:rsidR="00243967" w:rsidRPr="00C57FF9" w:rsidTr="007117C1">
        <w:trPr>
          <w:trHeight w:val="300"/>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sz w:val="18"/>
                <w:szCs w:val="18"/>
              </w:rPr>
            </w:pPr>
          </w:p>
        </w:tc>
        <w:tc>
          <w:tcPr>
            <w:tcW w:w="3780" w:type="dxa"/>
            <w:gridSpan w:val="5"/>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center"/>
              <w:rPr>
                <w:rFonts w:eastAsia="Times New Roman"/>
                <w:color w:val="000000"/>
                <w:sz w:val="18"/>
                <w:szCs w:val="18"/>
              </w:rPr>
            </w:pPr>
            <w:r w:rsidRPr="00C57FF9">
              <w:rPr>
                <w:rFonts w:eastAsia="Times New Roman"/>
                <w:color w:val="000000"/>
                <w:sz w:val="18"/>
                <w:szCs w:val="18"/>
              </w:rPr>
              <w:t>Sensitivity Attributes</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center"/>
              <w:rPr>
                <w:rFonts w:eastAsia="Times New Roman"/>
                <w:color w:val="000000"/>
                <w:sz w:val="18"/>
                <w:szCs w:val="18"/>
              </w:rPr>
            </w:pPr>
          </w:p>
        </w:tc>
        <w:tc>
          <w:tcPr>
            <w:tcW w:w="3870" w:type="dxa"/>
            <w:gridSpan w:val="5"/>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center"/>
              <w:rPr>
                <w:rFonts w:eastAsia="Times New Roman"/>
                <w:color w:val="000000"/>
                <w:sz w:val="18"/>
                <w:szCs w:val="18"/>
              </w:rPr>
            </w:pPr>
            <w:r w:rsidRPr="00C57FF9">
              <w:rPr>
                <w:rFonts w:eastAsia="Times New Roman"/>
                <w:color w:val="000000"/>
                <w:sz w:val="18"/>
                <w:szCs w:val="18"/>
              </w:rPr>
              <w:t>Exposure Factors</w:t>
            </w:r>
          </w:p>
        </w:tc>
      </w:tr>
      <w:tr w:rsidR="00243967" w:rsidRPr="00C57FF9" w:rsidTr="007117C1">
        <w:trPr>
          <w:trHeight w:val="288"/>
        </w:trPr>
        <w:tc>
          <w:tcPr>
            <w:tcW w:w="2250" w:type="dxa"/>
            <w:tcBorders>
              <w:top w:val="nil"/>
              <w:left w:val="nil"/>
              <w:bottom w:val="single" w:sz="4" w:space="0" w:color="auto"/>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Stock</w:t>
            </w:r>
          </w:p>
        </w:tc>
        <w:tc>
          <w:tcPr>
            <w:tcW w:w="546" w:type="dxa"/>
            <w:tcBorders>
              <w:top w:val="nil"/>
              <w:left w:val="nil"/>
              <w:bottom w:val="single" w:sz="4" w:space="0" w:color="auto"/>
              <w:right w:val="nil"/>
            </w:tcBorders>
            <w:shd w:val="clear" w:color="auto" w:fill="auto"/>
            <w:noWrap/>
            <w:vAlign w:val="bottom"/>
            <w:hideMark/>
          </w:tcPr>
          <w:p w:rsidR="00243967" w:rsidRPr="00C57FF9" w:rsidRDefault="00243967" w:rsidP="00C57FF9">
            <w:pPr>
              <w:spacing w:before="0" w:after="0" w:line="240" w:lineRule="auto"/>
              <w:jc w:val="center"/>
              <w:rPr>
                <w:rFonts w:eastAsia="Times New Roman"/>
                <w:color w:val="000000"/>
                <w:sz w:val="18"/>
                <w:szCs w:val="18"/>
              </w:rPr>
            </w:pPr>
            <w:r w:rsidRPr="00C57FF9">
              <w:rPr>
                <w:rFonts w:eastAsia="Times New Roman"/>
                <w:color w:val="000000"/>
                <w:sz w:val="18"/>
                <w:szCs w:val="18"/>
              </w:rPr>
              <w:t>Low</w:t>
            </w:r>
          </w:p>
        </w:tc>
        <w:tc>
          <w:tcPr>
            <w:tcW w:w="906" w:type="dxa"/>
            <w:tcBorders>
              <w:top w:val="nil"/>
              <w:left w:val="nil"/>
              <w:bottom w:val="single" w:sz="4" w:space="0" w:color="auto"/>
              <w:right w:val="nil"/>
            </w:tcBorders>
            <w:shd w:val="clear" w:color="auto" w:fill="auto"/>
            <w:noWrap/>
            <w:vAlign w:val="bottom"/>
            <w:hideMark/>
          </w:tcPr>
          <w:p w:rsidR="00243967" w:rsidRPr="00C57FF9" w:rsidRDefault="00243967" w:rsidP="00C57FF9">
            <w:pPr>
              <w:spacing w:before="0" w:after="0" w:line="240" w:lineRule="auto"/>
              <w:jc w:val="center"/>
              <w:rPr>
                <w:rFonts w:eastAsia="Times New Roman"/>
                <w:color w:val="000000"/>
                <w:sz w:val="18"/>
                <w:szCs w:val="18"/>
              </w:rPr>
            </w:pPr>
            <w:r w:rsidRPr="00C57FF9">
              <w:rPr>
                <w:rFonts w:eastAsia="Times New Roman"/>
                <w:color w:val="000000"/>
                <w:sz w:val="18"/>
                <w:szCs w:val="18"/>
              </w:rPr>
              <w:t>Moderate</w:t>
            </w:r>
          </w:p>
        </w:tc>
        <w:tc>
          <w:tcPr>
            <w:tcW w:w="618" w:type="dxa"/>
            <w:tcBorders>
              <w:top w:val="nil"/>
              <w:left w:val="nil"/>
              <w:bottom w:val="single" w:sz="4" w:space="0" w:color="auto"/>
              <w:right w:val="nil"/>
            </w:tcBorders>
            <w:shd w:val="clear" w:color="auto" w:fill="auto"/>
            <w:noWrap/>
            <w:vAlign w:val="bottom"/>
            <w:hideMark/>
          </w:tcPr>
          <w:p w:rsidR="00243967" w:rsidRPr="00C57FF9" w:rsidRDefault="00243967" w:rsidP="00C57FF9">
            <w:pPr>
              <w:spacing w:before="0" w:after="0" w:line="240" w:lineRule="auto"/>
              <w:jc w:val="center"/>
              <w:rPr>
                <w:rFonts w:eastAsia="Times New Roman"/>
                <w:color w:val="000000"/>
                <w:sz w:val="18"/>
                <w:szCs w:val="18"/>
              </w:rPr>
            </w:pPr>
            <w:r w:rsidRPr="00C57FF9">
              <w:rPr>
                <w:rFonts w:eastAsia="Times New Roman"/>
                <w:color w:val="000000"/>
                <w:sz w:val="18"/>
                <w:szCs w:val="18"/>
              </w:rPr>
              <w:t>High</w:t>
            </w:r>
          </w:p>
        </w:tc>
        <w:tc>
          <w:tcPr>
            <w:tcW w:w="630" w:type="dxa"/>
            <w:tcBorders>
              <w:top w:val="nil"/>
              <w:left w:val="nil"/>
              <w:bottom w:val="single" w:sz="4" w:space="0" w:color="auto"/>
              <w:right w:val="nil"/>
            </w:tcBorders>
            <w:shd w:val="clear" w:color="auto" w:fill="auto"/>
            <w:noWrap/>
            <w:vAlign w:val="bottom"/>
            <w:hideMark/>
          </w:tcPr>
          <w:p w:rsidR="00243967" w:rsidRPr="00C57FF9" w:rsidRDefault="00243967" w:rsidP="00C57FF9">
            <w:pPr>
              <w:spacing w:before="0" w:after="0" w:line="240" w:lineRule="auto"/>
              <w:jc w:val="center"/>
              <w:rPr>
                <w:rFonts w:eastAsia="Times New Roman"/>
                <w:color w:val="000000"/>
                <w:sz w:val="18"/>
                <w:szCs w:val="18"/>
              </w:rPr>
            </w:pPr>
            <w:r w:rsidRPr="00C57FF9">
              <w:rPr>
                <w:rFonts w:eastAsia="Times New Roman"/>
                <w:color w:val="000000"/>
                <w:sz w:val="18"/>
                <w:szCs w:val="18"/>
              </w:rPr>
              <w:t>Very High</w:t>
            </w:r>
          </w:p>
        </w:tc>
        <w:tc>
          <w:tcPr>
            <w:tcW w:w="1080" w:type="dxa"/>
            <w:tcBorders>
              <w:top w:val="nil"/>
              <w:left w:val="nil"/>
              <w:bottom w:val="single" w:sz="4" w:space="0" w:color="auto"/>
              <w:right w:val="nil"/>
            </w:tcBorders>
            <w:shd w:val="clear" w:color="auto" w:fill="auto"/>
            <w:noWrap/>
            <w:vAlign w:val="bottom"/>
            <w:hideMark/>
          </w:tcPr>
          <w:p w:rsidR="00243967" w:rsidRPr="00C57FF9" w:rsidRDefault="00243967" w:rsidP="007117C1">
            <w:pPr>
              <w:spacing w:before="0" w:after="0" w:line="240" w:lineRule="auto"/>
              <w:jc w:val="right"/>
              <w:rPr>
                <w:rFonts w:eastAsia="Times New Roman"/>
                <w:color w:val="000000"/>
                <w:sz w:val="18"/>
                <w:szCs w:val="18"/>
              </w:rPr>
            </w:pPr>
            <w:r>
              <w:rPr>
                <w:rFonts w:eastAsia="Times New Roman"/>
                <w:color w:val="000000"/>
                <w:sz w:val="18"/>
                <w:szCs w:val="18"/>
              </w:rPr>
              <w:t xml:space="preserve">Percent Data </w:t>
            </w:r>
            <w:r w:rsidRPr="00C57FF9">
              <w:rPr>
                <w:rFonts w:eastAsia="Times New Roman"/>
                <w:color w:val="000000"/>
                <w:sz w:val="18"/>
                <w:szCs w:val="18"/>
              </w:rPr>
              <w:t>Quality</w:t>
            </w:r>
            <w:r>
              <w:rPr>
                <w:rFonts w:eastAsia="Times New Roman"/>
                <w:color w:val="000000"/>
                <w:sz w:val="18"/>
                <w:szCs w:val="18"/>
              </w:rPr>
              <w:t xml:space="preserve"> &gt;2</w:t>
            </w:r>
            <w:r w:rsidRPr="00C57FF9">
              <w:rPr>
                <w:rFonts w:eastAsia="Times New Roman"/>
                <w:color w:val="000000"/>
                <w:sz w:val="18"/>
                <w:szCs w:val="18"/>
              </w:rPr>
              <w:t xml:space="preserve"> </w:t>
            </w:r>
          </w:p>
        </w:tc>
        <w:tc>
          <w:tcPr>
            <w:tcW w:w="270" w:type="dxa"/>
            <w:tcBorders>
              <w:top w:val="nil"/>
              <w:left w:val="nil"/>
              <w:bottom w:val="single" w:sz="4" w:space="0" w:color="auto"/>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 </w:t>
            </w:r>
          </w:p>
        </w:tc>
        <w:tc>
          <w:tcPr>
            <w:tcW w:w="630" w:type="dxa"/>
            <w:tcBorders>
              <w:top w:val="nil"/>
              <w:left w:val="nil"/>
              <w:bottom w:val="single" w:sz="4" w:space="0" w:color="auto"/>
              <w:right w:val="nil"/>
            </w:tcBorders>
            <w:shd w:val="clear" w:color="auto" w:fill="auto"/>
            <w:noWrap/>
            <w:vAlign w:val="bottom"/>
            <w:hideMark/>
          </w:tcPr>
          <w:p w:rsidR="00243967" w:rsidRPr="00C57FF9" w:rsidRDefault="00243967" w:rsidP="00C57FF9">
            <w:pPr>
              <w:spacing w:before="0" w:after="0" w:line="240" w:lineRule="auto"/>
              <w:jc w:val="center"/>
              <w:rPr>
                <w:rFonts w:eastAsia="Times New Roman"/>
                <w:color w:val="000000"/>
                <w:sz w:val="18"/>
                <w:szCs w:val="18"/>
              </w:rPr>
            </w:pPr>
            <w:r w:rsidRPr="00C57FF9">
              <w:rPr>
                <w:rFonts w:eastAsia="Times New Roman"/>
                <w:color w:val="000000"/>
                <w:sz w:val="18"/>
                <w:szCs w:val="18"/>
              </w:rPr>
              <w:t>Low</w:t>
            </w:r>
          </w:p>
        </w:tc>
        <w:tc>
          <w:tcPr>
            <w:tcW w:w="906" w:type="dxa"/>
            <w:tcBorders>
              <w:top w:val="nil"/>
              <w:left w:val="nil"/>
              <w:bottom w:val="single" w:sz="4" w:space="0" w:color="auto"/>
              <w:right w:val="nil"/>
            </w:tcBorders>
            <w:shd w:val="clear" w:color="auto" w:fill="auto"/>
            <w:noWrap/>
            <w:vAlign w:val="bottom"/>
            <w:hideMark/>
          </w:tcPr>
          <w:p w:rsidR="00243967" w:rsidRPr="00C57FF9" w:rsidRDefault="00243967" w:rsidP="00C57FF9">
            <w:pPr>
              <w:spacing w:before="0" w:after="0" w:line="240" w:lineRule="auto"/>
              <w:jc w:val="center"/>
              <w:rPr>
                <w:rFonts w:eastAsia="Times New Roman"/>
                <w:color w:val="000000"/>
                <w:sz w:val="18"/>
                <w:szCs w:val="18"/>
              </w:rPr>
            </w:pPr>
            <w:r w:rsidRPr="00C57FF9">
              <w:rPr>
                <w:rFonts w:eastAsia="Times New Roman"/>
                <w:color w:val="000000"/>
                <w:sz w:val="18"/>
                <w:szCs w:val="18"/>
              </w:rPr>
              <w:t>Moderate</w:t>
            </w:r>
          </w:p>
        </w:tc>
        <w:tc>
          <w:tcPr>
            <w:tcW w:w="576" w:type="dxa"/>
            <w:tcBorders>
              <w:top w:val="nil"/>
              <w:left w:val="nil"/>
              <w:bottom w:val="single" w:sz="4" w:space="0" w:color="auto"/>
              <w:right w:val="nil"/>
            </w:tcBorders>
            <w:shd w:val="clear" w:color="auto" w:fill="auto"/>
            <w:noWrap/>
            <w:vAlign w:val="bottom"/>
            <w:hideMark/>
          </w:tcPr>
          <w:p w:rsidR="00243967" w:rsidRPr="00C57FF9" w:rsidRDefault="00243967" w:rsidP="00C57FF9">
            <w:pPr>
              <w:spacing w:before="0" w:after="0" w:line="240" w:lineRule="auto"/>
              <w:jc w:val="center"/>
              <w:rPr>
                <w:rFonts w:eastAsia="Times New Roman"/>
                <w:color w:val="000000"/>
                <w:sz w:val="18"/>
                <w:szCs w:val="18"/>
              </w:rPr>
            </w:pPr>
            <w:r w:rsidRPr="00C57FF9">
              <w:rPr>
                <w:rFonts w:eastAsia="Times New Roman"/>
                <w:color w:val="000000"/>
                <w:sz w:val="18"/>
                <w:szCs w:val="18"/>
              </w:rPr>
              <w:t>High</w:t>
            </w:r>
          </w:p>
        </w:tc>
        <w:tc>
          <w:tcPr>
            <w:tcW w:w="678" w:type="dxa"/>
            <w:tcBorders>
              <w:top w:val="nil"/>
              <w:left w:val="nil"/>
              <w:bottom w:val="single" w:sz="4" w:space="0" w:color="auto"/>
              <w:right w:val="nil"/>
            </w:tcBorders>
            <w:shd w:val="clear" w:color="auto" w:fill="auto"/>
            <w:noWrap/>
            <w:vAlign w:val="bottom"/>
            <w:hideMark/>
          </w:tcPr>
          <w:p w:rsidR="00243967" w:rsidRPr="00C57FF9" w:rsidRDefault="00243967" w:rsidP="00C57FF9">
            <w:pPr>
              <w:spacing w:before="0" w:after="0" w:line="240" w:lineRule="auto"/>
              <w:jc w:val="center"/>
              <w:rPr>
                <w:rFonts w:eastAsia="Times New Roman"/>
                <w:color w:val="000000"/>
                <w:sz w:val="18"/>
                <w:szCs w:val="18"/>
              </w:rPr>
            </w:pPr>
            <w:r w:rsidRPr="00C57FF9">
              <w:rPr>
                <w:rFonts w:eastAsia="Times New Roman"/>
                <w:color w:val="000000"/>
                <w:sz w:val="18"/>
                <w:szCs w:val="18"/>
              </w:rPr>
              <w:t>Very High</w:t>
            </w:r>
          </w:p>
        </w:tc>
        <w:tc>
          <w:tcPr>
            <w:tcW w:w="1080" w:type="dxa"/>
            <w:tcBorders>
              <w:top w:val="nil"/>
              <w:left w:val="nil"/>
              <w:bottom w:val="single" w:sz="4" w:space="0" w:color="auto"/>
              <w:right w:val="nil"/>
            </w:tcBorders>
            <w:shd w:val="clear" w:color="auto" w:fill="auto"/>
            <w:noWrap/>
            <w:vAlign w:val="bottom"/>
            <w:hideMark/>
          </w:tcPr>
          <w:p w:rsidR="00243967" w:rsidRPr="00C57FF9" w:rsidRDefault="00243967" w:rsidP="007117C1">
            <w:pPr>
              <w:spacing w:before="0" w:after="0" w:line="240" w:lineRule="auto"/>
              <w:jc w:val="right"/>
              <w:rPr>
                <w:rFonts w:eastAsia="Times New Roman"/>
                <w:color w:val="000000"/>
                <w:sz w:val="18"/>
                <w:szCs w:val="18"/>
              </w:rPr>
            </w:pPr>
            <w:r>
              <w:rPr>
                <w:rFonts w:eastAsia="Times New Roman"/>
                <w:color w:val="000000"/>
                <w:sz w:val="18"/>
                <w:szCs w:val="18"/>
              </w:rPr>
              <w:t xml:space="preserve">Percent Data </w:t>
            </w:r>
            <w:r w:rsidRPr="00C57FF9">
              <w:rPr>
                <w:rFonts w:eastAsia="Times New Roman"/>
                <w:color w:val="000000"/>
                <w:sz w:val="18"/>
                <w:szCs w:val="18"/>
              </w:rPr>
              <w:t>Quality</w:t>
            </w:r>
            <w:r>
              <w:rPr>
                <w:rFonts w:eastAsia="Times New Roman"/>
                <w:color w:val="000000"/>
                <w:sz w:val="18"/>
                <w:szCs w:val="18"/>
              </w:rPr>
              <w:t xml:space="preserve"> &gt;2</w:t>
            </w:r>
            <w:r w:rsidRPr="00C57FF9">
              <w:rPr>
                <w:rFonts w:eastAsia="Times New Roman"/>
                <w:color w:val="000000"/>
                <w:sz w:val="18"/>
                <w:szCs w:val="18"/>
              </w:rPr>
              <w:t xml:space="preserve">  </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Giant Pacific octopus</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50</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64</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 xml:space="preserve">Magistrate </w:t>
            </w:r>
            <w:proofErr w:type="spellStart"/>
            <w:r w:rsidRPr="00C57FF9">
              <w:rPr>
                <w:rFonts w:eastAsia="Times New Roman"/>
                <w:color w:val="000000"/>
                <w:sz w:val="18"/>
                <w:szCs w:val="18"/>
              </w:rPr>
              <w:t>armhook</w:t>
            </w:r>
            <w:proofErr w:type="spellEnd"/>
            <w:r w:rsidRPr="00C57FF9">
              <w:rPr>
                <w:rFonts w:eastAsia="Times New Roman"/>
                <w:color w:val="000000"/>
                <w:sz w:val="18"/>
                <w:szCs w:val="18"/>
              </w:rPr>
              <w:t xml:space="preserve"> squid</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42</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17</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proofErr w:type="spellStart"/>
            <w:r w:rsidRPr="00C57FF9">
              <w:rPr>
                <w:rFonts w:eastAsia="Times New Roman"/>
                <w:color w:val="000000"/>
                <w:sz w:val="18"/>
                <w:szCs w:val="18"/>
              </w:rPr>
              <w:t>Smoothskin</w:t>
            </w:r>
            <w:proofErr w:type="spellEnd"/>
            <w:r w:rsidRPr="00C57FF9">
              <w:rPr>
                <w:rFonts w:eastAsia="Times New Roman"/>
                <w:color w:val="000000"/>
                <w:sz w:val="18"/>
                <w:szCs w:val="18"/>
              </w:rPr>
              <w:t xml:space="preserve"> octopus</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10</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17</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33</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Plain sculpin</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17</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17</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Bristol Bay red king crab</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6</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100</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17</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Norton Sound red king crab</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3</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83</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17</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Snow crab</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6</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3</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100</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17</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Tanner crab</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9</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92</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16</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Alaska skate</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9</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75</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33</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Commander skate</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9</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42</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33</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Pacific sleeper shark</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10</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42</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15</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50</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Salmon shark</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75</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16</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Alaska plaice</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9</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92</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17</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Arrowtooth flounder</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92</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17</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Flathead sole</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9</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92</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16</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Greenland turbot</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8</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3</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75</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17</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Kamchatka flounder</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10</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50</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16</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Northern rock sole</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9</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92</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17</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Pacific halibut</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9</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100</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17</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Starry flounder</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10</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42</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64</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Yellowfin sole</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10</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92</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17</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Capelin</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8</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3</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58</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64</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Pacific herring</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6</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3</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92</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64</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Eastern Bering Sea Pacific cod</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83</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17</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Eastern Bering Sea pollock</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83</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17</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Giant grenadier</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8</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10</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33</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Sablefish</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10</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50</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15</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Pacific ocean perch</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8</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75</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15</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proofErr w:type="spellStart"/>
            <w:r w:rsidRPr="00C57FF9">
              <w:rPr>
                <w:rFonts w:eastAsia="Times New Roman"/>
                <w:color w:val="000000"/>
                <w:sz w:val="18"/>
                <w:szCs w:val="18"/>
              </w:rPr>
              <w:t>Rougheye</w:t>
            </w:r>
            <w:proofErr w:type="spellEnd"/>
            <w:r w:rsidRPr="00C57FF9">
              <w:rPr>
                <w:rFonts w:eastAsia="Times New Roman"/>
                <w:color w:val="000000"/>
                <w:sz w:val="18"/>
                <w:szCs w:val="18"/>
              </w:rPr>
              <w:t xml:space="preserve"> rockfish</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8</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75</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15</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Shortraker rockfish</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8</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58</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15</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proofErr w:type="spellStart"/>
            <w:r w:rsidRPr="00C57FF9">
              <w:rPr>
                <w:rFonts w:eastAsia="Times New Roman"/>
                <w:color w:val="000000"/>
                <w:sz w:val="18"/>
                <w:szCs w:val="18"/>
              </w:rPr>
              <w:t>Shortspine</w:t>
            </w:r>
            <w:proofErr w:type="spellEnd"/>
            <w:r w:rsidRPr="00C57FF9">
              <w:rPr>
                <w:rFonts w:eastAsia="Times New Roman"/>
                <w:color w:val="000000"/>
                <w:sz w:val="18"/>
                <w:szCs w:val="18"/>
              </w:rPr>
              <w:t xml:space="preserve"> </w:t>
            </w:r>
            <w:proofErr w:type="spellStart"/>
            <w:r w:rsidRPr="00C57FF9">
              <w:rPr>
                <w:rFonts w:eastAsia="Times New Roman"/>
                <w:color w:val="000000"/>
                <w:sz w:val="18"/>
                <w:szCs w:val="18"/>
              </w:rPr>
              <w:t>thornyhead</w:t>
            </w:r>
            <w:proofErr w:type="spellEnd"/>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9</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33</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15</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56</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Chinook salmon</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5</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3</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83</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64</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Chum salmon</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7</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92</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64</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Coho salmon</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7</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75</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64</w:t>
            </w:r>
          </w:p>
        </w:tc>
      </w:tr>
      <w:tr w:rsidR="00243967" w:rsidRPr="00C57FF9" w:rsidTr="007117C1">
        <w:trPr>
          <w:trHeight w:val="288"/>
        </w:trPr>
        <w:tc>
          <w:tcPr>
            <w:tcW w:w="225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Pink salmon</w:t>
            </w:r>
          </w:p>
        </w:tc>
        <w:tc>
          <w:tcPr>
            <w:tcW w:w="54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8</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1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75</w:t>
            </w:r>
          </w:p>
        </w:tc>
        <w:tc>
          <w:tcPr>
            <w:tcW w:w="27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p>
        </w:tc>
        <w:tc>
          <w:tcPr>
            <w:tcW w:w="63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21</w:t>
            </w:r>
          </w:p>
        </w:tc>
        <w:tc>
          <w:tcPr>
            <w:tcW w:w="90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nil"/>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64</w:t>
            </w:r>
          </w:p>
        </w:tc>
      </w:tr>
      <w:tr w:rsidR="00243967" w:rsidRPr="00C57FF9" w:rsidTr="007117C1">
        <w:trPr>
          <w:trHeight w:val="300"/>
        </w:trPr>
        <w:tc>
          <w:tcPr>
            <w:tcW w:w="2250" w:type="dxa"/>
            <w:tcBorders>
              <w:top w:val="nil"/>
              <w:left w:val="nil"/>
              <w:bottom w:val="double" w:sz="6" w:space="0" w:color="auto"/>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Sockeye salmon</w:t>
            </w:r>
          </w:p>
        </w:tc>
        <w:tc>
          <w:tcPr>
            <w:tcW w:w="546" w:type="dxa"/>
            <w:tcBorders>
              <w:top w:val="nil"/>
              <w:left w:val="nil"/>
              <w:bottom w:val="double" w:sz="6" w:space="0" w:color="auto"/>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7</w:t>
            </w:r>
          </w:p>
        </w:tc>
        <w:tc>
          <w:tcPr>
            <w:tcW w:w="906" w:type="dxa"/>
            <w:tcBorders>
              <w:top w:val="nil"/>
              <w:left w:val="nil"/>
              <w:bottom w:val="double" w:sz="6" w:space="0" w:color="auto"/>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18" w:type="dxa"/>
            <w:tcBorders>
              <w:top w:val="nil"/>
              <w:left w:val="nil"/>
              <w:bottom w:val="double" w:sz="6" w:space="0" w:color="auto"/>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3</w:t>
            </w:r>
          </w:p>
        </w:tc>
        <w:tc>
          <w:tcPr>
            <w:tcW w:w="630" w:type="dxa"/>
            <w:tcBorders>
              <w:top w:val="nil"/>
              <w:left w:val="nil"/>
              <w:bottom w:val="double" w:sz="6" w:space="0" w:color="auto"/>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w:t>
            </w:r>
          </w:p>
        </w:tc>
        <w:tc>
          <w:tcPr>
            <w:tcW w:w="1080" w:type="dxa"/>
            <w:tcBorders>
              <w:top w:val="nil"/>
              <w:left w:val="nil"/>
              <w:bottom w:val="double" w:sz="6" w:space="0" w:color="auto"/>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75</w:t>
            </w:r>
          </w:p>
        </w:tc>
        <w:tc>
          <w:tcPr>
            <w:tcW w:w="270" w:type="dxa"/>
            <w:tcBorders>
              <w:top w:val="nil"/>
              <w:left w:val="nil"/>
              <w:bottom w:val="double" w:sz="6" w:space="0" w:color="auto"/>
              <w:right w:val="nil"/>
            </w:tcBorders>
            <w:shd w:val="clear" w:color="auto" w:fill="auto"/>
            <w:noWrap/>
            <w:vAlign w:val="bottom"/>
            <w:hideMark/>
          </w:tcPr>
          <w:p w:rsidR="00243967" w:rsidRPr="00C57FF9" w:rsidRDefault="00243967" w:rsidP="00C57FF9">
            <w:pPr>
              <w:spacing w:before="0" w:after="0" w:line="240" w:lineRule="auto"/>
              <w:rPr>
                <w:rFonts w:eastAsia="Times New Roman"/>
                <w:color w:val="000000"/>
                <w:sz w:val="18"/>
                <w:szCs w:val="18"/>
              </w:rPr>
            </w:pPr>
            <w:r w:rsidRPr="00C57FF9">
              <w:rPr>
                <w:rFonts w:eastAsia="Times New Roman"/>
                <w:color w:val="000000"/>
                <w:sz w:val="18"/>
                <w:szCs w:val="18"/>
              </w:rPr>
              <w:t> </w:t>
            </w:r>
          </w:p>
        </w:tc>
        <w:tc>
          <w:tcPr>
            <w:tcW w:w="630" w:type="dxa"/>
            <w:tcBorders>
              <w:top w:val="nil"/>
              <w:left w:val="nil"/>
              <w:bottom w:val="double" w:sz="6" w:space="0" w:color="auto"/>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21</w:t>
            </w:r>
          </w:p>
        </w:tc>
        <w:tc>
          <w:tcPr>
            <w:tcW w:w="906" w:type="dxa"/>
            <w:tcBorders>
              <w:top w:val="nil"/>
              <w:left w:val="nil"/>
              <w:bottom w:val="double" w:sz="6" w:space="0" w:color="auto"/>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576" w:type="dxa"/>
            <w:tcBorders>
              <w:top w:val="nil"/>
              <w:left w:val="nil"/>
              <w:bottom w:val="double" w:sz="6" w:space="0" w:color="auto"/>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0</w:t>
            </w:r>
          </w:p>
        </w:tc>
        <w:tc>
          <w:tcPr>
            <w:tcW w:w="678" w:type="dxa"/>
            <w:tcBorders>
              <w:top w:val="nil"/>
              <w:left w:val="nil"/>
              <w:bottom w:val="double" w:sz="6" w:space="0" w:color="auto"/>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1</w:t>
            </w:r>
          </w:p>
        </w:tc>
        <w:tc>
          <w:tcPr>
            <w:tcW w:w="1080" w:type="dxa"/>
            <w:tcBorders>
              <w:top w:val="nil"/>
              <w:left w:val="nil"/>
              <w:bottom w:val="double" w:sz="6" w:space="0" w:color="auto"/>
              <w:right w:val="nil"/>
            </w:tcBorders>
            <w:shd w:val="clear" w:color="auto" w:fill="auto"/>
            <w:noWrap/>
            <w:vAlign w:val="bottom"/>
            <w:hideMark/>
          </w:tcPr>
          <w:p w:rsidR="00243967" w:rsidRPr="00C57FF9" w:rsidRDefault="00243967" w:rsidP="00C57FF9">
            <w:pPr>
              <w:spacing w:before="0" w:after="0" w:line="240" w:lineRule="auto"/>
              <w:jc w:val="right"/>
              <w:rPr>
                <w:rFonts w:eastAsia="Times New Roman"/>
                <w:color w:val="000000"/>
                <w:sz w:val="18"/>
                <w:szCs w:val="18"/>
              </w:rPr>
            </w:pPr>
            <w:r w:rsidRPr="00C57FF9">
              <w:rPr>
                <w:rFonts w:eastAsia="Times New Roman"/>
                <w:color w:val="000000"/>
                <w:sz w:val="18"/>
                <w:szCs w:val="18"/>
              </w:rPr>
              <w:t>64</w:t>
            </w:r>
          </w:p>
        </w:tc>
      </w:tr>
    </w:tbl>
    <w:p w:rsidR="00243967" w:rsidRDefault="00243967" w:rsidP="005E733C">
      <w:pPr>
        <w:pStyle w:val="ListParagraph"/>
        <w:keepNext/>
        <w:keepLines/>
        <w:ind w:left="0"/>
      </w:pPr>
    </w:p>
    <w:p w:rsidR="00243967" w:rsidRDefault="00243967" w:rsidP="005E733C">
      <w:pPr>
        <w:pStyle w:val="ListParagraph"/>
        <w:keepNext/>
        <w:keepLines/>
        <w:ind w:left="0"/>
      </w:pPr>
    </w:p>
    <w:p w:rsidR="00243967" w:rsidRDefault="00243967" w:rsidP="005E733C">
      <w:pPr>
        <w:pStyle w:val="ListParagraph"/>
        <w:keepNext/>
        <w:keepLines/>
        <w:ind w:left="0"/>
      </w:pPr>
    </w:p>
    <w:p w:rsidR="00F25145" w:rsidRDefault="00F25145"/>
    <w:sectPr w:rsidR="00F25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243967"/>
    <w:rsid w:val="000723FE"/>
    <w:rsid w:val="00243967"/>
    <w:rsid w:val="0035792D"/>
    <w:rsid w:val="00A90C18"/>
    <w:rsid w:val="00F2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4913F-BEDF-4C58-9B33-7785B088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967"/>
    <w:pPr>
      <w:spacing w:before="120" w:after="120" w:line="480" w:lineRule="auto"/>
    </w:pPr>
    <w:rPr>
      <w:rFonts w:ascii="Times New Roman" w:hAnsi="Times New Roman" w:cs="Times New Roman"/>
      <w:sz w:val="24"/>
    </w:rPr>
  </w:style>
  <w:style w:type="character" w:default="1" w:styleId="DefaultParagraphFont">
    <w:name w:val="Default Paragraph Font"/>
    <w:uiPriority w:val="1"/>
    <w:semiHidden/>
    <w:unhideWhenUsed/>
    <w:rsid w:val="002439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3967"/>
  </w:style>
  <w:style w:type="paragraph" w:styleId="ListParagraph">
    <w:name w:val="List Paragraph"/>
    <w:basedOn w:val="Normal"/>
    <w:uiPriority w:val="34"/>
    <w:qFormat/>
    <w:rsid w:val="00243967"/>
    <w:pPr>
      <w:ind w:left="720"/>
      <w:contextualSpacing/>
    </w:pPr>
  </w:style>
  <w:style w:type="character" w:styleId="LineNumber">
    <w:name w:val="line number"/>
    <w:basedOn w:val="DefaultParagraphFont"/>
    <w:uiPriority w:val="99"/>
    <w:semiHidden/>
    <w:unhideWhenUsed/>
    <w:rsid w:val="00243967"/>
  </w:style>
  <w:style w:type="paragraph" w:customStyle="1" w:styleId="EndNoteBibliographyTitle">
    <w:name w:val="EndNote Bibliography Title"/>
    <w:basedOn w:val="Normal"/>
    <w:link w:val="EndNoteBibliographyTitleChar"/>
    <w:rsid w:val="00243967"/>
    <w:pPr>
      <w:spacing w:after="0"/>
      <w:jc w:val="center"/>
    </w:pPr>
    <w:rPr>
      <w:noProof/>
    </w:rPr>
  </w:style>
  <w:style w:type="character" w:customStyle="1" w:styleId="EndNoteBibliographyTitleChar">
    <w:name w:val="EndNote Bibliography Title Char"/>
    <w:basedOn w:val="DefaultParagraphFont"/>
    <w:link w:val="EndNoteBibliographyTitle"/>
    <w:rsid w:val="00243967"/>
    <w:rPr>
      <w:rFonts w:ascii="Times New Roman" w:hAnsi="Times New Roman" w:cs="Times New Roman"/>
      <w:noProof/>
      <w:sz w:val="24"/>
    </w:rPr>
  </w:style>
  <w:style w:type="paragraph" w:customStyle="1" w:styleId="EndNoteBibliography">
    <w:name w:val="EndNote Bibliography"/>
    <w:basedOn w:val="Normal"/>
    <w:link w:val="EndNoteBibliographyChar"/>
    <w:rsid w:val="00243967"/>
    <w:pPr>
      <w:spacing w:line="240" w:lineRule="auto"/>
    </w:pPr>
    <w:rPr>
      <w:noProof/>
    </w:rPr>
  </w:style>
  <w:style w:type="character" w:customStyle="1" w:styleId="EndNoteBibliographyChar">
    <w:name w:val="EndNote Bibliography Char"/>
    <w:basedOn w:val="DefaultParagraphFont"/>
    <w:link w:val="EndNoteBibliography"/>
    <w:rsid w:val="00243967"/>
    <w:rPr>
      <w:rFonts w:ascii="Times New Roman" w:hAnsi="Times New Roman" w:cs="Times New Roman"/>
      <w:noProof/>
      <w:sz w:val="24"/>
    </w:rPr>
  </w:style>
  <w:style w:type="character" w:styleId="Hyperlink">
    <w:name w:val="Hyperlink"/>
    <w:basedOn w:val="DefaultParagraphFont"/>
    <w:uiPriority w:val="99"/>
    <w:unhideWhenUsed/>
    <w:rsid w:val="002439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78DB620B</Template>
  <TotalTime>3</TotalTime>
  <Pages>6</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NOAA Fisheries Service</Company>
  <LinksUpToDate>false</LinksUpToDate>
  <CharactersWithSpaces>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3</cp:revision>
  <dcterms:created xsi:type="dcterms:W3CDTF">2019-07-08T00:19:00Z</dcterms:created>
  <dcterms:modified xsi:type="dcterms:W3CDTF">2019-07-08T00:21:00Z</dcterms:modified>
</cp:coreProperties>
</file>