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0E8070F"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February 28, 2025</w:t>
      </w:r>
    </w:p>
    <w:p w14:paraId="306383C5"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74C2F4AE"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Dear Editors,</w:t>
      </w:r>
    </w:p>
    <w:p w14:paraId="7631A86D"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6A17491E"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xml:space="preserve">On behalf of the author team, I am pleased to submit our paper, “Quota allocation policies in U.S. federal fisheries management and implications for climate resilience”, for consideration as an Original Article in </w:t>
      </w:r>
      <w:r w:rsidRPr="00BD29A8">
        <w:rPr>
          <w:rFonts w:ascii="Garamond" w:hAnsi="Garamond" w:cs="Arial"/>
          <w:i/>
          <w:iCs/>
          <w:color w:val="000000"/>
          <w:sz w:val="23"/>
          <w:szCs w:val="23"/>
        </w:rPr>
        <w:t>Fish and Fisheries</w:t>
      </w:r>
      <w:r w:rsidRPr="00BD29A8">
        <w:rPr>
          <w:rFonts w:ascii="Garamond" w:hAnsi="Garamond" w:cs="Arial"/>
          <w:color w:val="000000"/>
          <w:sz w:val="23"/>
          <w:szCs w:val="23"/>
        </w:rPr>
        <w:t>.</w:t>
      </w:r>
    </w:p>
    <w:p w14:paraId="1A5CF6EA"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7B7941E0"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Quota allocation policies, which divide fishing catch or effort between regions, sectors, subsectors, individuals, and/or seasons, are one of the most important and contentious processes in fisheries management. These policies often aim to advance fairness and equity by preserving historical access. However, this reliance on historical patterns makes allocation policies vulnerable to climate change, which is shifting the accessibility of marine resources. Despite this, there is little guidance on adapting allocation policies to climate change. </w:t>
      </w:r>
    </w:p>
    <w:p w14:paraId="75E12A87"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5A297C7F"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In the United States, regional management councils have innovated diverse approaches to allocation that can be studied for their climate vulnerability and/or adaptivity. We synthesize the allocation policies used in U.S. federal fisheries (491 stocks), evaluate the vulnerability of these policies to climate change, and provide eight recommendations for improving the climate-adaptive management of allocation policies:</w:t>
      </w:r>
    </w:p>
    <w:p w14:paraId="0499ECEE"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2023234E"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Define clear and measurable management objectives</w:t>
      </w:r>
    </w:p>
    <w:p w14:paraId="7F0E2DB1"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Define and collect data required to assess and adjust allocation policies</w:t>
      </w:r>
    </w:p>
    <w:p w14:paraId="5DFBCEA5"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Facilitate quota transfers between regions, sectors, and individuals</w:t>
      </w:r>
    </w:p>
    <w:p w14:paraId="203366C9"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Balance historical and contemporary resource access in setting allocations</w:t>
      </w:r>
    </w:p>
    <w:p w14:paraId="6EFAF480"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Ensure opportunities for new entrants</w:t>
      </w:r>
    </w:p>
    <w:p w14:paraId="2C82B748"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Allocate quota for research and experimentation</w:t>
      </w:r>
    </w:p>
    <w:p w14:paraId="2DBE0479"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Reduce impacts of changes to allocation policies on stakeholders</w:t>
      </w:r>
    </w:p>
    <w:p w14:paraId="6DBE5C16" w14:textId="77777777" w:rsidR="00BD29A8" w:rsidRPr="00BD29A8" w:rsidRDefault="00BD29A8" w:rsidP="00BD29A8">
      <w:pPr>
        <w:pStyle w:val="NormalWeb"/>
        <w:numPr>
          <w:ilvl w:val="0"/>
          <w:numId w:val="4"/>
        </w:numPr>
        <w:spacing w:before="0" w:beforeAutospacing="0" w:after="0" w:afterAutospacing="0"/>
        <w:textAlignment w:val="baseline"/>
        <w:rPr>
          <w:rFonts w:ascii="Garamond" w:hAnsi="Garamond" w:cs="Arial"/>
          <w:color w:val="000000"/>
          <w:sz w:val="23"/>
          <w:szCs w:val="23"/>
        </w:rPr>
      </w:pPr>
      <w:r w:rsidRPr="00BD29A8">
        <w:rPr>
          <w:rFonts w:ascii="Garamond" w:hAnsi="Garamond" w:cs="Arial"/>
          <w:color w:val="000000"/>
          <w:sz w:val="23"/>
          <w:szCs w:val="23"/>
        </w:rPr>
        <w:t>Conduct regular reviews of allocation policies</w:t>
      </w:r>
    </w:p>
    <w:p w14:paraId="3ADFB8CB"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33C126E1"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These recommendations provide a research and policy agenda for advancing climate-adaptive fisheries management in fisheries around the world.</w:t>
      </w:r>
    </w:p>
    <w:p w14:paraId="13FD4521"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7651D016"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xml:space="preserve">This is a follow up to our 2024 </w:t>
      </w:r>
      <w:r w:rsidRPr="00BD29A8">
        <w:rPr>
          <w:rFonts w:ascii="Garamond" w:hAnsi="Garamond" w:cs="Arial"/>
          <w:i/>
          <w:iCs/>
          <w:color w:val="000000"/>
          <w:sz w:val="23"/>
          <w:szCs w:val="23"/>
        </w:rPr>
        <w:t>Fish &amp; Fisheries</w:t>
      </w:r>
      <w:r w:rsidRPr="00BD29A8">
        <w:rPr>
          <w:rFonts w:ascii="Garamond" w:hAnsi="Garamond" w:cs="Arial"/>
          <w:color w:val="000000"/>
          <w:sz w:val="23"/>
          <w:szCs w:val="23"/>
        </w:rPr>
        <w:t xml:space="preserve"> paper that reviewed harvest control rules (HCRs) implemented in U.S. fisheries management and implications for climate resilience:</w:t>
      </w:r>
    </w:p>
    <w:p w14:paraId="3BA8D8AC"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578D21EA" w14:textId="77777777" w:rsidR="00BD29A8" w:rsidRPr="00BD29A8" w:rsidRDefault="00BD29A8" w:rsidP="00BD29A8">
      <w:pPr>
        <w:pStyle w:val="NormalWeb"/>
        <w:spacing w:before="0" w:beforeAutospacing="0" w:after="0" w:afterAutospacing="0"/>
        <w:ind w:left="720"/>
        <w:rPr>
          <w:rFonts w:ascii="Garamond" w:hAnsi="Garamond"/>
          <w:sz w:val="23"/>
          <w:szCs w:val="23"/>
        </w:rPr>
      </w:pPr>
      <w:r w:rsidRPr="00BD29A8">
        <w:rPr>
          <w:rFonts w:ascii="Garamond" w:hAnsi="Garamond" w:cs="Arial"/>
          <w:color w:val="000000"/>
          <w:sz w:val="23"/>
          <w:szCs w:val="23"/>
        </w:rPr>
        <w:t xml:space="preserve">Free CM, Mangin T, </w:t>
      </w:r>
      <w:proofErr w:type="spellStart"/>
      <w:r w:rsidRPr="00BD29A8">
        <w:rPr>
          <w:rFonts w:ascii="Garamond" w:hAnsi="Garamond" w:cs="Arial"/>
          <w:color w:val="000000"/>
          <w:sz w:val="23"/>
          <w:szCs w:val="23"/>
        </w:rPr>
        <w:t>Wiedenmann</w:t>
      </w:r>
      <w:proofErr w:type="spellEnd"/>
      <w:r w:rsidRPr="00BD29A8">
        <w:rPr>
          <w:rFonts w:ascii="Garamond" w:hAnsi="Garamond" w:cs="Arial"/>
          <w:color w:val="000000"/>
          <w:sz w:val="23"/>
          <w:szCs w:val="23"/>
        </w:rPr>
        <w:t xml:space="preserve"> J, McVeigh H, Smith C, Gaines SD (2023) Harvest control rules used in US federal fisheries management and implications for climate resilience. </w:t>
      </w:r>
      <w:r w:rsidRPr="00BD29A8">
        <w:rPr>
          <w:rFonts w:ascii="Garamond" w:hAnsi="Garamond" w:cs="Arial"/>
          <w:i/>
          <w:iCs/>
          <w:color w:val="000000"/>
          <w:sz w:val="23"/>
          <w:szCs w:val="23"/>
        </w:rPr>
        <w:t>Fish and Fisheries</w:t>
      </w:r>
      <w:r w:rsidRPr="00BD29A8">
        <w:rPr>
          <w:rFonts w:ascii="Garamond" w:hAnsi="Garamond" w:cs="Arial"/>
          <w:color w:val="000000"/>
          <w:sz w:val="23"/>
          <w:szCs w:val="23"/>
        </w:rPr>
        <w:t xml:space="preserve"> 24(2): 248-262.</w:t>
      </w:r>
      <w:hyperlink r:id="rId7" w:history="1">
        <w:r w:rsidRPr="00BD29A8">
          <w:rPr>
            <w:rStyle w:val="Hyperlink"/>
            <w:rFonts w:ascii="Garamond" w:hAnsi="Garamond" w:cs="Arial"/>
            <w:color w:val="000000"/>
            <w:sz w:val="23"/>
            <w:szCs w:val="23"/>
          </w:rPr>
          <w:t xml:space="preserve"> </w:t>
        </w:r>
        <w:r w:rsidRPr="00BD29A8">
          <w:rPr>
            <w:rStyle w:val="Hyperlink"/>
            <w:rFonts w:ascii="Garamond" w:hAnsi="Garamond" w:cs="Arial"/>
            <w:sz w:val="23"/>
            <w:szCs w:val="23"/>
          </w:rPr>
          <w:t>https://doi.org/10.1111/faf.12724</w:t>
        </w:r>
      </w:hyperlink>
    </w:p>
    <w:p w14:paraId="5C5AE945"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26B3DF0C"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Thank you for your consideration and we look forward to hearing from you.</w:t>
      </w:r>
    </w:p>
    <w:p w14:paraId="5D80A72D"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 </w:t>
      </w:r>
    </w:p>
    <w:p w14:paraId="2B9A3EB1" w14:textId="77777777" w:rsidR="00BD29A8" w:rsidRPr="00BD29A8" w:rsidRDefault="00BD29A8" w:rsidP="00BD29A8">
      <w:pPr>
        <w:pStyle w:val="NormalWeb"/>
        <w:spacing w:before="0" w:beforeAutospacing="0" w:after="0" w:afterAutospacing="0"/>
        <w:rPr>
          <w:rFonts w:ascii="Garamond" w:hAnsi="Garamond"/>
          <w:sz w:val="23"/>
          <w:szCs w:val="23"/>
        </w:rPr>
      </w:pPr>
      <w:r w:rsidRPr="00BD29A8">
        <w:rPr>
          <w:rFonts w:ascii="Garamond" w:hAnsi="Garamond" w:cs="Arial"/>
          <w:color w:val="000000"/>
          <w:sz w:val="23"/>
          <w:szCs w:val="23"/>
        </w:rPr>
        <w:t>Sincerely, on behalf of all authors,</w:t>
      </w:r>
    </w:p>
    <w:p w14:paraId="7CF7C246" w14:textId="04C65A17" w:rsidR="00465300" w:rsidRPr="00CD1216" w:rsidRDefault="00BD29A8" w:rsidP="00BD29A8">
      <w:pPr>
        <w:pStyle w:val="NormalWeb"/>
        <w:spacing w:before="0" w:beforeAutospacing="0" w:after="0" w:afterAutospacing="0"/>
        <w:rPr>
          <w:sz w:val="23"/>
          <w:szCs w:val="23"/>
        </w:rPr>
      </w:pPr>
      <w:r w:rsidRPr="00BD29A8">
        <w:rPr>
          <w:rFonts w:ascii="Garamond" w:hAnsi="Garamond" w:cs="Arial"/>
          <w:color w:val="000000"/>
          <w:sz w:val="23"/>
          <w:szCs w:val="23"/>
        </w:rPr>
        <w:t>Christopher Free, Ph.</w:t>
      </w:r>
      <w:r>
        <w:rPr>
          <w:rFonts w:ascii="Garamond" w:hAnsi="Garamond" w:cs="Arial"/>
          <w:color w:val="000000"/>
          <w:sz w:val="23"/>
          <w:szCs w:val="23"/>
        </w:rPr>
        <w:t>D.</w:t>
      </w:r>
    </w:p>
    <w:sectPr w:rsidR="00465300" w:rsidRPr="00CD1216" w:rsidSect="00465300">
      <w:headerReference w:type="even" r:id="rId8"/>
      <w:headerReference w:type="default" r:id="rId9"/>
      <w:footerReference w:type="default" r:id="rId10"/>
      <w:headerReference w:type="first" r:id="rId11"/>
      <w:footerReference w:type="first" r:id="rId12"/>
      <w:pgSz w:w="12240" w:h="15840"/>
      <w:pgMar w:top="1152" w:right="1152" w:bottom="1152" w:left="1152" w:header="0" w:footer="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02946" w14:textId="77777777" w:rsidR="009E5092" w:rsidRDefault="009E5092">
      <w:r>
        <w:separator/>
      </w:r>
    </w:p>
  </w:endnote>
  <w:endnote w:type="continuationSeparator" w:id="0">
    <w:p w14:paraId="0F44CD5F" w14:textId="77777777" w:rsidR="009E5092" w:rsidRDefault="009E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9C27E" w14:textId="77777777" w:rsidR="00416731" w:rsidRDefault="00416731">
    <w:pPr>
      <w:spacing w:after="156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F2608" w14:textId="31146B55" w:rsidR="00416731" w:rsidRDefault="00F719A8" w:rsidP="005E2E60">
    <w:pPr>
      <w:pBdr>
        <w:top w:val="single" w:sz="4" w:space="1" w:color="000000"/>
      </w:pBdr>
      <w:spacing w:after="1560"/>
      <w:jc w:val="center"/>
      <w:rPr>
        <w:smallCaps/>
        <w:sz w:val="18"/>
        <w:szCs w:val="18"/>
      </w:rPr>
    </w:pPr>
    <w:r>
      <w:rPr>
        <w:smallCaps/>
        <w:sz w:val="18"/>
        <w:szCs w:val="18"/>
      </w:rPr>
      <w:t>PHONE: (</w:t>
    </w:r>
    <w:r w:rsidR="00465300">
      <w:rPr>
        <w:smallCaps/>
        <w:sz w:val="18"/>
        <w:szCs w:val="18"/>
      </w:rPr>
      <w:t>610</w:t>
    </w:r>
    <w:r>
      <w:rPr>
        <w:smallCaps/>
        <w:sz w:val="18"/>
        <w:szCs w:val="18"/>
      </w:rPr>
      <w:t xml:space="preserve">) </w:t>
    </w:r>
    <w:r w:rsidR="00465300">
      <w:rPr>
        <w:smallCaps/>
        <w:sz w:val="18"/>
        <w:szCs w:val="18"/>
      </w:rPr>
      <w:t>999</w:t>
    </w:r>
    <w:r>
      <w:rPr>
        <w:smallCaps/>
        <w:sz w:val="18"/>
        <w:szCs w:val="18"/>
      </w:rPr>
      <w:t>-</w:t>
    </w:r>
    <w:r w:rsidR="00465300">
      <w:rPr>
        <w:smallCaps/>
        <w:sz w:val="18"/>
        <w:szCs w:val="18"/>
      </w:rPr>
      <w:t xml:space="preserve">4732   </w:t>
    </w:r>
    <w:r>
      <w:rPr>
        <w:smallCaps/>
        <w:sz w:val="18"/>
        <w:szCs w:val="18"/>
      </w:rPr>
      <w:t>•</w:t>
    </w:r>
    <w:r w:rsidR="00465300">
      <w:rPr>
        <w:smallCaps/>
        <w:sz w:val="18"/>
        <w:szCs w:val="18"/>
      </w:rPr>
      <w:t xml:space="preserve">   EMAIL</w:t>
    </w:r>
    <w:r>
      <w:rPr>
        <w:smallCaps/>
        <w:sz w:val="18"/>
        <w:szCs w:val="18"/>
      </w:rPr>
      <w:t xml:space="preserve">: </w:t>
    </w:r>
    <w:r w:rsidR="00465300">
      <w:rPr>
        <w:smallCaps/>
        <w:sz w:val="18"/>
        <w:szCs w:val="18"/>
      </w:rPr>
      <w:t>cfree14@gmai</w:t>
    </w:r>
    <w:r w:rsidR="00137659">
      <w:rPr>
        <w:smallCaps/>
        <w:sz w:val="18"/>
        <w:szCs w:val="18"/>
      </w:rPr>
      <w:t>l</w:t>
    </w:r>
    <w:r w:rsidR="00465300">
      <w:rPr>
        <w:smallCaps/>
        <w:sz w:val="18"/>
        <w:szCs w:val="18"/>
      </w:rPr>
      <w:t xml:space="preserve">.com   •   WEBSITE: </w:t>
    </w:r>
    <w:r w:rsidR="00BD29A8">
      <w:rPr>
        <w:smallCaps/>
        <w:sz w:val="18"/>
        <w:szCs w:val="18"/>
      </w:rPr>
      <w:t>www.chrismfree.com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0EA83" w14:textId="77777777" w:rsidR="009E5092" w:rsidRDefault="009E5092">
      <w:r>
        <w:separator/>
      </w:r>
    </w:p>
  </w:footnote>
  <w:footnote w:type="continuationSeparator" w:id="0">
    <w:p w14:paraId="25581A20" w14:textId="77777777" w:rsidR="009E5092" w:rsidRDefault="009E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EAAAC" w14:textId="77777777" w:rsidR="00465300" w:rsidRDefault="00465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84663" w14:textId="77777777" w:rsidR="00416731" w:rsidRDefault="00F719A8">
    <w:pPr>
      <w:tabs>
        <w:tab w:val="center" w:pos="4320"/>
        <w:tab w:val="right" w:pos="8640"/>
      </w:tabs>
      <w:spacing w:before="840"/>
    </w:pPr>
    <w:r>
      <w:tab/>
      <w:t xml:space="preserve">– </w:t>
    </w:r>
    <w:r>
      <w:fldChar w:fldCharType="begin"/>
    </w:r>
    <w:r>
      <w:instrText>PAGE</w:instrText>
    </w:r>
    <w:r>
      <w:fldChar w:fldCharType="separate"/>
    </w:r>
    <w:r w:rsidR="00365820">
      <w:rPr>
        <w:noProof/>
      </w:rPr>
      <w:t>2</w:t>
    </w:r>
    <w:r>
      <w:fldChar w:fldCharType="end"/>
    </w:r>
    <w:r>
      <w:t xml:space="preserve"> –</w:t>
    </w:r>
    <w:r>
      <w:tab/>
      <w:t xml:space="preserve">May 17,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A0E4" w14:textId="77777777" w:rsidR="00416731" w:rsidRDefault="00416731">
    <w:pPr>
      <w:spacing w:before="840" w:line="276" w:lineRule="auto"/>
      <w:jc w:val="left"/>
    </w:pPr>
  </w:p>
  <w:tbl>
    <w:tblPr>
      <w:tblStyle w:val="a"/>
      <w:tblW w:w="10572" w:type="dxa"/>
      <w:tblInd w:w="-115" w:type="dxa"/>
      <w:tblLayout w:type="fixed"/>
      <w:tblLook w:val="0000" w:firstRow="0" w:lastRow="0" w:firstColumn="0" w:lastColumn="0" w:noHBand="0" w:noVBand="0"/>
    </w:tblPr>
    <w:tblGrid>
      <w:gridCol w:w="6856"/>
      <w:gridCol w:w="1412"/>
      <w:gridCol w:w="2244"/>
      <w:gridCol w:w="60"/>
    </w:tblGrid>
    <w:tr w:rsidR="00416731" w14:paraId="2731867C" w14:textId="77777777" w:rsidTr="000F2224">
      <w:trPr>
        <w:gridAfter w:val="1"/>
        <w:wAfter w:w="60" w:type="dxa"/>
        <w:trHeight w:val="600"/>
      </w:trPr>
      <w:tc>
        <w:tcPr>
          <w:tcW w:w="6856" w:type="dxa"/>
          <w:tcBorders>
            <w:bottom w:val="single" w:sz="4" w:space="0" w:color="000000"/>
          </w:tcBorders>
        </w:tcPr>
        <w:p w14:paraId="532E3946" w14:textId="77777777" w:rsidR="00416731" w:rsidRDefault="00F719A8">
          <w:pPr>
            <w:tabs>
              <w:tab w:val="center" w:pos="4320"/>
              <w:tab w:val="right" w:pos="8640"/>
            </w:tabs>
            <w:jc w:val="center"/>
            <w:rPr>
              <w:smallCaps/>
              <w:sz w:val="22"/>
              <w:szCs w:val="22"/>
            </w:rPr>
          </w:pPr>
          <w:r>
            <w:rPr>
              <w:smallCaps/>
              <w:sz w:val="22"/>
              <w:szCs w:val="22"/>
            </w:rPr>
            <w:t>UNIVERSITY OF CALIFORNIA, SANTA BARBARA</w:t>
          </w:r>
        </w:p>
      </w:tc>
      <w:tc>
        <w:tcPr>
          <w:tcW w:w="1412" w:type="dxa"/>
          <w:vMerge w:val="restart"/>
        </w:tcPr>
        <w:p w14:paraId="2F580261" w14:textId="77777777" w:rsidR="00416731" w:rsidRDefault="00F719A8">
          <w:pPr>
            <w:tabs>
              <w:tab w:val="center" w:pos="4320"/>
              <w:tab w:val="right" w:pos="8640"/>
            </w:tabs>
            <w:jc w:val="center"/>
            <w:rPr>
              <w:smallCaps/>
              <w:sz w:val="14"/>
              <w:szCs w:val="14"/>
            </w:rPr>
          </w:pPr>
          <w:r>
            <w:rPr>
              <w:noProof/>
            </w:rPr>
            <w:drawing>
              <wp:inline distT="0" distB="0" distL="114300" distR="114300" wp14:anchorId="006633F6" wp14:editId="6BE41405">
                <wp:extent cx="841375" cy="82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41375" cy="825500"/>
                        </a:xfrm>
                        <a:prstGeom prst="rect">
                          <a:avLst/>
                        </a:prstGeom>
                        <a:ln/>
                      </pic:spPr>
                    </pic:pic>
                  </a:graphicData>
                </a:graphic>
              </wp:inline>
            </w:drawing>
          </w:r>
        </w:p>
      </w:tc>
      <w:tc>
        <w:tcPr>
          <w:tcW w:w="2244" w:type="dxa"/>
          <w:tcBorders>
            <w:bottom w:val="single" w:sz="4" w:space="0" w:color="000000"/>
          </w:tcBorders>
        </w:tcPr>
        <w:p w14:paraId="5E6015CF" w14:textId="77777777" w:rsidR="00416731" w:rsidRDefault="00416731">
          <w:pPr>
            <w:tabs>
              <w:tab w:val="center" w:pos="4320"/>
              <w:tab w:val="right" w:pos="8640"/>
            </w:tabs>
            <w:jc w:val="center"/>
            <w:rPr>
              <w:smallCaps/>
              <w:sz w:val="14"/>
              <w:szCs w:val="14"/>
            </w:rPr>
          </w:pPr>
        </w:p>
      </w:tc>
    </w:tr>
    <w:tr w:rsidR="00416731" w14:paraId="3A8A36BF" w14:textId="77777777" w:rsidTr="000F2224">
      <w:trPr>
        <w:trHeight w:val="300"/>
      </w:trPr>
      <w:tc>
        <w:tcPr>
          <w:tcW w:w="6856" w:type="dxa"/>
          <w:tcBorders>
            <w:top w:val="single" w:sz="4" w:space="0" w:color="000000"/>
            <w:bottom w:val="single" w:sz="4" w:space="0" w:color="000000"/>
          </w:tcBorders>
          <w:vAlign w:val="center"/>
        </w:tcPr>
        <w:p w14:paraId="3201062F" w14:textId="77777777" w:rsidR="00416731" w:rsidRDefault="00F719A8" w:rsidP="000F2224">
          <w:pPr>
            <w:tabs>
              <w:tab w:val="center" w:pos="4320"/>
              <w:tab w:val="right" w:pos="8640"/>
            </w:tabs>
            <w:jc w:val="center"/>
            <w:rPr>
              <w:smallCaps/>
              <w:sz w:val="14"/>
              <w:szCs w:val="14"/>
            </w:rPr>
          </w:pPr>
          <w:r>
            <w:rPr>
              <w:smallCaps/>
              <w:sz w:val="14"/>
              <w:szCs w:val="14"/>
            </w:rPr>
            <w:t>BERKELEY • DAVIS • IRVINE • LOS ANGELES • MERCED • RIVERSIDE • SAN DIEGO • SAN FRANCISCO</w:t>
          </w:r>
        </w:p>
      </w:tc>
      <w:tc>
        <w:tcPr>
          <w:tcW w:w="1412" w:type="dxa"/>
          <w:vMerge/>
        </w:tcPr>
        <w:p w14:paraId="6C570952" w14:textId="77777777" w:rsidR="00416731" w:rsidRDefault="00416731">
          <w:pPr>
            <w:tabs>
              <w:tab w:val="center" w:pos="4320"/>
              <w:tab w:val="right" w:pos="8640"/>
            </w:tabs>
            <w:jc w:val="center"/>
            <w:rPr>
              <w:smallCaps/>
              <w:sz w:val="14"/>
              <w:szCs w:val="14"/>
            </w:rPr>
          </w:pPr>
        </w:p>
      </w:tc>
      <w:tc>
        <w:tcPr>
          <w:tcW w:w="2304" w:type="dxa"/>
          <w:gridSpan w:val="2"/>
          <w:tcBorders>
            <w:top w:val="single" w:sz="4" w:space="0" w:color="000000"/>
            <w:bottom w:val="single" w:sz="4" w:space="0" w:color="000000"/>
          </w:tcBorders>
          <w:vAlign w:val="center"/>
        </w:tcPr>
        <w:p w14:paraId="620D7D3B" w14:textId="77777777" w:rsidR="00416731" w:rsidRDefault="00F719A8" w:rsidP="000F2224">
          <w:pPr>
            <w:tabs>
              <w:tab w:val="center" w:pos="4320"/>
              <w:tab w:val="right" w:pos="8640"/>
            </w:tabs>
            <w:jc w:val="center"/>
            <w:rPr>
              <w:smallCaps/>
              <w:sz w:val="14"/>
              <w:szCs w:val="14"/>
            </w:rPr>
          </w:pPr>
          <w:r>
            <w:rPr>
              <w:smallCaps/>
              <w:sz w:val="14"/>
              <w:szCs w:val="14"/>
            </w:rPr>
            <w:t>SANTA BARBARA • SANTA CRUZ</w:t>
          </w:r>
        </w:p>
      </w:tc>
    </w:tr>
    <w:tr w:rsidR="00416731" w14:paraId="4E259C10" w14:textId="77777777" w:rsidTr="000F2224">
      <w:trPr>
        <w:gridAfter w:val="1"/>
        <w:wAfter w:w="60" w:type="dxa"/>
        <w:trHeight w:val="600"/>
      </w:trPr>
      <w:tc>
        <w:tcPr>
          <w:tcW w:w="6856" w:type="dxa"/>
          <w:tcBorders>
            <w:top w:val="single" w:sz="4" w:space="0" w:color="000000"/>
          </w:tcBorders>
        </w:tcPr>
        <w:p w14:paraId="63630FF5" w14:textId="77777777" w:rsidR="00416731" w:rsidRDefault="00416731">
          <w:pPr>
            <w:tabs>
              <w:tab w:val="center" w:pos="4320"/>
              <w:tab w:val="right" w:pos="8640"/>
            </w:tabs>
            <w:jc w:val="center"/>
            <w:rPr>
              <w:smallCaps/>
              <w:sz w:val="14"/>
              <w:szCs w:val="14"/>
            </w:rPr>
          </w:pPr>
        </w:p>
      </w:tc>
      <w:tc>
        <w:tcPr>
          <w:tcW w:w="1412" w:type="dxa"/>
          <w:vMerge/>
        </w:tcPr>
        <w:p w14:paraId="6A680A49" w14:textId="77777777" w:rsidR="00416731" w:rsidRDefault="00416731">
          <w:pPr>
            <w:tabs>
              <w:tab w:val="center" w:pos="4320"/>
              <w:tab w:val="right" w:pos="8640"/>
            </w:tabs>
            <w:jc w:val="center"/>
            <w:rPr>
              <w:smallCaps/>
              <w:sz w:val="14"/>
              <w:szCs w:val="14"/>
            </w:rPr>
          </w:pPr>
        </w:p>
      </w:tc>
      <w:tc>
        <w:tcPr>
          <w:tcW w:w="2244" w:type="dxa"/>
          <w:tcBorders>
            <w:top w:val="single" w:sz="4" w:space="0" w:color="000000"/>
          </w:tcBorders>
        </w:tcPr>
        <w:p w14:paraId="345F7C05" w14:textId="77777777" w:rsidR="00416731" w:rsidRDefault="00416731">
          <w:pPr>
            <w:tabs>
              <w:tab w:val="center" w:pos="4320"/>
              <w:tab w:val="right" w:pos="8640"/>
            </w:tabs>
            <w:jc w:val="center"/>
            <w:rPr>
              <w:smallCaps/>
              <w:sz w:val="14"/>
              <w:szCs w:val="14"/>
            </w:rPr>
          </w:pPr>
        </w:p>
      </w:tc>
    </w:tr>
  </w:tbl>
  <w:p w14:paraId="68EC3D82" w14:textId="77777777" w:rsidR="00416731" w:rsidRPr="003276AC" w:rsidRDefault="00416731">
    <w:pPr>
      <w:tabs>
        <w:tab w:val="center" w:pos="4320"/>
        <w:tab w:val="right" w:pos="864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057"/>
    <w:multiLevelType w:val="multilevel"/>
    <w:tmpl w:val="2F5C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583F"/>
    <w:multiLevelType w:val="hybridMultilevel"/>
    <w:tmpl w:val="87D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0518E"/>
    <w:multiLevelType w:val="multilevel"/>
    <w:tmpl w:val="D502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97A64"/>
    <w:multiLevelType w:val="multilevel"/>
    <w:tmpl w:val="23C0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091820">
    <w:abstractNumId w:val="1"/>
  </w:num>
  <w:num w:numId="2" w16cid:durableId="1846550536">
    <w:abstractNumId w:val="0"/>
  </w:num>
  <w:num w:numId="3" w16cid:durableId="1763066647">
    <w:abstractNumId w:val="2"/>
  </w:num>
  <w:num w:numId="4" w16cid:durableId="457916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31"/>
    <w:rsid w:val="0004052E"/>
    <w:rsid w:val="0007162C"/>
    <w:rsid w:val="00072596"/>
    <w:rsid w:val="000A491E"/>
    <w:rsid w:val="000B60AA"/>
    <w:rsid w:val="000F2224"/>
    <w:rsid w:val="00137659"/>
    <w:rsid w:val="001542D0"/>
    <w:rsid w:val="001E6FD3"/>
    <w:rsid w:val="0029238B"/>
    <w:rsid w:val="002D44DA"/>
    <w:rsid w:val="00315C01"/>
    <w:rsid w:val="003276AC"/>
    <w:rsid w:val="00365820"/>
    <w:rsid w:val="00416731"/>
    <w:rsid w:val="00436D46"/>
    <w:rsid w:val="00465300"/>
    <w:rsid w:val="00471CF1"/>
    <w:rsid w:val="00544469"/>
    <w:rsid w:val="00581F1D"/>
    <w:rsid w:val="005C198A"/>
    <w:rsid w:val="005E2E60"/>
    <w:rsid w:val="005E42A7"/>
    <w:rsid w:val="006478DA"/>
    <w:rsid w:val="006E1DEA"/>
    <w:rsid w:val="00706400"/>
    <w:rsid w:val="00767E71"/>
    <w:rsid w:val="00772568"/>
    <w:rsid w:val="007809AA"/>
    <w:rsid w:val="007B05F4"/>
    <w:rsid w:val="0084671C"/>
    <w:rsid w:val="00853963"/>
    <w:rsid w:val="008E16B4"/>
    <w:rsid w:val="008E707F"/>
    <w:rsid w:val="008F2CDE"/>
    <w:rsid w:val="00945168"/>
    <w:rsid w:val="00953D77"/>
    <w:rsid w:val="009808A5"/>
    <w:rsid w:val="00991FF9"/>
    <w:rsid w:val="009E5092"/>
    <w:rsid w:val="00A3029D"/>
    <w:rsid w:val="00A721ED"/>
    <w:rsid w:val="00A87F35"/>
    <w:rsid w:val="00AA1F44"/>
    <w:rsid w:val="00AA50F6"/>
    <w:rsid w:val="00AA6609"/>
    <w:rsid w:val="00B266CA"/>
    <w:rsid w:val="00B83BD3"/>
    <w:rsid w:val="00B9158E"/>
    <w:rsid w:val="00BB1176"/>
    <w:rsid w:val="00BD29A8"/>
    <w:rsid w:val="00C06E32"/>
    <w:rsid w:val="00C45EE9"/>
    <w:rsid w:val="00CD1216"/>
    <w:rsid w:val="00CF3F1D"/>
    <w:rsid w:val="00D512AA"/>
    <w:rsid w:val="00DB47F2"/>
    <w:rsid w:val="00DB66D2"/>
    <w:rsid w:val="00DC2B1C"/>
    <w:rsid w:val="00E33795"/>
    <w:rsid w:val="00EE4D52"/>
    <w:rsid w:val="00EE564F"/>
    <w:rsid w:val="00F26D35"/>
    <w:rsid w:val="00F316E2"/>
    <w:rsid w:val="00F31C99"/>
    <w:rsid w:val="00F719A8"/>
    <w:rsid w:val="00FE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6B380"/>
  <w15:docId w15:val="{CAF5CE6D-0502-344F-B594-461248D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Garamond" w:hAnsi="Garamond" w:cs="Garamond"/>
        <w:sz w:val="24"/>
        <w:szCs w:val="24"/>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80"/>
      <w:jc w:val="center"/>
      <w:outlineLvl w:val="0"/>
    </w:pPr>
    <w:rPr>
      <w:smallCaps/>
      <w:sz w:val="21"/>
      <w:szCs w:val="21"/>
    </w:rPr>
  </w:style>
  <w:style w:type="paragraph" w:styleId="Heading2">
    <w:name w:val="heading 2"/>
    <w:basedOn w:val="Normal"/>
    <w:next w:val="Normal"/>
    <w:pPr>
      <w:keepNext/>
      <w:keepLines/>
      <w:spacing w:after="170"/>
      <w:jc w:val="left"/>
      <w:outlineLvl w:val="1"/>
    </w:pPr>
    <w:rPr>
      <w:smallCaps/>
      <w:sz w:val="21"/>
      <w:szCs w:val="21"/>
    </w:rPr>
  </w:style>
  <w:style w:type="paragraph" w:styleId="Heading3">
    <w:name w:val="heading 3"/>
    <w:basedOn w:val="Normal"/>
    <w:next w:val="Normal"/>
    <w:pPr>
      <w:keepNext/>
      <w:keepLines/>
      <w:spacing w:after="240"/>
      <w:jc w:val="left"/>
      <w:outlineLvl w:val="2"/>
    </w:pPr>
    <w:rPr>
      <w:i/>
    </w:rPr>
  </w:style>
  <w:style w:type="paragraph" w:styleId="Heading4">
    <w:name w:val="heading 4"/>
    <w:basedOn w:val="Normal"/>
    <w:next w:val="Normal"/>
    <w:pPr>
      <w:keepNext/>
      <w:keepLines/>
      <w:jc w:val="left"/>
      <w:outlineLvl w:val="3"/>
    </w:pPr>
    <w:rPr>
      <w:smallCaps/>
      <w:sz w:val="23"/>
      <w:szCs w:val="23"/>
    </w:rPr>
  </w:style>
  <w:style w:type="paragraph" w:styleId="Heading5">
    <w:name w:val="heading 5"/>
    <w:basedOn w:val="Normal"/>
    <w:next w:val="Normal"/>
    <w:pPr>
      <w:keepNext/>
      <w:keepLines/>
      <w:jc w:val="left"/>
      <w:outlineLvl w:val="4"/>
    </w:pPr>
  </w:style>
  <w:style w:type="paragraph" w:styleId="Heading6">
    <w:name w:val="heading 6"/>
    <w:basedOn w:val="Normal"/>
    <w:next w:val="Normal"/>
    <w:pPr>
      <w:keepNext/>
      <w:keepLines/>
      <w:jc w:val="lef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E4D52"/>
    <w:pPr>
      <w:tabs>
        <w:tab w:val="center" w:pos="4680"/>
        <w:tab w:val="right" w:pos="9360"/>
      </w:tabs>
    </w:pPr>
  </w:style>
  <w:style w:type="character" w:customStyle="1" w:styleId="HeaderChar">
    <w:name w:val="Header Char"/>
    <w:basedOn w:val="DefaultParagraphFont"/>
    <w:link w:val="Header"/>
    <w:uiPriority w:val="99"/>
    <w:rsid w:val="00EE4D52"/>
  </w:style>
  <w:style w:type="paragraph" w:styleId="Footer">
    <w:name w:val="footer"/>
    <w:basedOn w:val="Normal"/>
    <w:link w:val="FooterChar"/>
    <w:uiPriority w:val="99"/>
    <w:unhideWhenUsed/>
    <w:rsid w:val="00EE4D52"/>
    <w:pPr>
      <w:tabs>
        <w:tab w:val="center" w:pos="4680"/>
        <w:tab w:val="right" w:pos="9360"/>
      </w:tabs>
    </w:pPr>
  </w:style>
  <w:style w:type="character" w:customStyle="1" w:styleId="FooterChar">
    <w:name w:val="Footer Char"/>
    <w:basedOn w:val="DefaultParagraphFont"/>
    <w:link w:val="Footer"/>
    <w:uiPriority w:val="99"/>
    <w:rsid w:val="00EE4D52"/>
  </w:style>
  <w:style w:type="character" w:styleId="Hyperlink">
    <w:name w:val="Hyperlink"/>
    <w:basedOn w:val="DefaultParagraphFont"/>
    <w:uiPriority w:val="99"/>
    <w:unhideWhenUsed/>
    <w:rsid w:val="00365820"/>
    <w:rPr>
      <w:color w:val="0000FF"/>
      <w:u w:val="single"/>
    </w:rPr>
  </w:style>
  <w:style w:type="paragraph" w:styleId="ListParagraph">
    <w:name w:val="List Paragraph"/>
    <w:basedOn w:val="Normal"/>
    <w:uiPriority w:val="34"/>
    <w:qFormat/>
    <w:rsid w:val="008E16B4"/>
    <w:pPr>
      <w:ind w:left="720"/>
      <w:contextualSpacing/>
    </w:pPr>
  </w:style>
  <w:style w:type="character" w:styleId="UnresolvedMention">
    <w:name w:val="Unresolved Mention"/>
    <w:basedOn w:val="DefaultParagraphFont"/>
    <w:uiPriority w:val="99"/>
    <w:rsid w:val="00465300"/>
    <w:rPr>
      <w:color w:val="605E5C"/>
      <w:shd w:val="clear" w:color="auto" w:fill="E1DFDD"/>
    </w:rPr>
  </w:style>
  <w:style w:type="paragraph" w:styleId="NormalWeb">
    <w:name w:val="Normal (Web)"/>
    <w:basedOn w:val="Normal"/>
    <w:uiPriority w:val="99"/>
    <w:unhideWhenUsed/>
    <w:rsid w:val="001E6FD3"/>
    <w:pPr>
      <w:widowControl/>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99768">
      <w:bodyDiv w:val="1"/>
      <w:marLeft w:val="0"/>
      <w:marRight w:val="0"/>
      <w:marTop w:val="0"/>
      <w:marBottom w:val="0"/>
      <w:divBdr>
        <w:top w:val="none" w:sz="0" w:space="0" w:color="auto"/>
        <w:left w:val="none" w:sz="0" w:space="0" w:color="auto"/>
        <w:bottom w:val="none" w:sz="0" w:space="0" w:color="auto"/>
        <w:right w:val="none" w:sz="0" w:space="0" w:color="auto"/>
      </w:divBdr>
    </w:div>
    <w:div w:id="486937526">
      <w:bodyDiv w:val="1"/>
      <w:marLeft w:val="0"/>
      <w:marRight w:val="0"/>
      <w:marTop w:val="0"/>
      <w:marBottom w:val="0"/>
      <w:divBdr>
        <w:top w:val="none" w:sz="0" w:space="0" w:color="auto"/>
        <w:left w:val="none" w:sz="0" w:space="0" w:color="auto"/>
        <w:bottom w:val="none" w:sz="0" w:space="0" w:color="auto"/>
        <w:right w:val="none" w:sz="0" w:space="0" w:color="auto"/>
      </w:divBdr>
    </w:div>
    <w:div w:id="508368323">
      <w:bodyDiv w:val="1"/>
      <w:marLeft w:val="0"/>
      <w:marRight w:val="0"/>
      <w:marTop w:val="0"/>
      <w:marBottom w:val="0"/>
      <w:divBdr>
        <w:top w:val="none" w:sz="0" w:space="0" w:color="auto"/>
        <w:left w:val="none" w:sz="0" w:space="0" w:color="auto"/>
        <w:bottom w:val="none" w:sz="0" w:space="0" w:color="auto"/>
        <w:right w:val="none" w:sz="0" w:space="0" w:color="auto"/>
      </w:divBdr>
    </w:div>
    <w:div w:id="797532040">
      <w:bodyDiv w:val="1"/>
      <w:marLeft w:val="0"/>
      <w:marRight w:val="0"/>
      <w:marTop w:val="0"/>
      <w:marBottom w:val="0"/>
      <w:divBdr>
        <w:top w:val="none" w:sz="0" w:space="0" w:color="auto"/>
        <w:left w:val="none" w:sz="0" w:space="0" w:color="auto"/>
        <w:bottom w:val="none" w:sz="0" w:space="0" w:color="auto"/>
        <w:right w:val="none" w:sz="0" w:space="0" w:color="auto"/>
      </w:divBdr>
    </w:div>
    <w:div w:id="887885773">
      <w:bodyDiv w:val="1"/>
      <w:marLeft w:val="0"/>
      <w:marRight w:val="0"/>
      <w:marTop w:val="0"/>
      <w:marBottom w:val="0"/>
      <w:divBdr>
        <w:top w:val="none" w:sz="0" w:space="0" w:color="auto"/>
        <w:left w:val="none" w:sz="0" w:space="0" w:color="auto"/>
        <w:bottom w:val="none" w:sz="0" w:space="0" w:color="auto"/>
        <w:right w:val="none" w:sz="0" w:space="0" w:color="auto"/>
      </w:divBdr>
    </w:div>
    <w:div w:id="1143235945">
      <w:bodyDiv w:val="1"/>
      <w:marLeft w:val="0"/>
      <w:marRight w:val="0"/>
      <w:marTop w:val="0"/>
      <w:marBottom w:val="0"/>
      <w:divBdr>
        <w:top w:val="none" w:sz="0" w:space="0" w:color="auto"/>
        <w:left w:val="none" w:sz="0" w:space="0" w:color="auto"/>
        <w:bottom w:val="none" w:sz="0" w:space="0" w:color="auto"/>
        <w:right w:val="none" w:sz="0" w:space="0" w:color="auto"/>
      </w:divBdr>
    </w:div>
    <w:div w:id="1194273715">
      <w:bodyDiv w:val="1"/>
      <w:marLeft w:val="0"/>
      <w:marRight w:val="0"/>
      <w:marTop w:val="0"/>
      <w:marBottom w:val="0"/>
      <w:divBdr>
        <w:top w:val="none" w:sz="0" w:space="0" w:color="auto"/>
        <w:left w:val="none" w:sz="0" w:space="0" w:color="auto"/>
        <w:bottom w:val="none" w:sz="0" w:space="0" w:color="auto"/>
        <w:right w:val="none" w:sz="0" w:space="0" w:color="auto"/>
      </w:divBdr>
    </w:div>
    <w:div w:id="1510751176">
      <w:bodyDiv w:val="1"/>
      <w:marLeft w:val="0"/>
      <w:marRight w:val="0"/>
      <w:marTop w:val="0"/>
      <w:marBottom w:val="0"/>
      <w:divBdr>
        <w:top w:val="none" w:sz="0" w:space="0" w:color="auto"/>
        <w:left w:val="none" w:sz="0" w:space="0" w:color="auto"/>
        <w:bottom w:val="none" w:sz="0" w:space="0" w:color="auto"/>
        <w:right w:val="none" w:sz="0" w:space="0" w:color="auto"/>
      </w:divBdr>
    </w:div>
    <w:div w:id="1692678980">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sChild>
        <w:div w:id="1778254823">
          <w:marLeft w:val="0"/>
          <w:marRight w:val="0"/>
          <w:marTop w:val="0"/>
          <w:marBottom w:val="0"/>
          <w:divBdr>
            <w:top w:val="none" w:sz="0" w:space="0" w:color="auto"/>
            <w:left w:val="none" w:sz="0" w:space="0" w:color="auto"/>
            <w:bottom w:val="none" w:sz="0" w:space="0" w:color="auto"/>
            <w:right w:val="none" w:sz="0" w:space="0" w:color="auto"/>
          </w:divBdr>
        </w:div>
        <w:div w:id="935594435">
          <w:marLeft w:val="0"/>
          <w:marRight w:val="0"/>
          <w:marTop w:val="0"/>
          <w:marBottom w:val="0"/>
          <w:divBdr>
            <w:top w:val="none" w:sz="0" w:space="0" w:color="auto"/>
            <w:left w:val="none" w:sz="0" w:space="0" w:color="auto"/>
            <w:bottom w:val="none" w:sz="0" w:space="0" w:color="auto"/>
            <w:right w:val="none" w:sz="0" w:space="0" w:color="auto"/>
          </w:divBdr>
        </w:div>
        <w:div w:id="390006534">
          <w:marLeft w:val="0"/>
          <w:marRight w:val="0"/>
          <w:marTop w:val="0"/>
          <w:marBottom w:val="0"/>
          <w:divBdr>
            <w:top w:val="none" w:sz="0" w:space="0" w:color="auto"/>
            <w:left w:val="none" w:sz="0" w:space="0" w:color="auto"/>
            <w:bottom w:val="none" w:sz="0" w:space="0" w:color="auto"/>
            <w:right w:val="none" w:sz="0" w:space="0" w:color="auto"/>
          </w:divBdr>
        </w:div>
      </w:divsChild>
    </w:div>
    <w:div w:id="2116710039">
      <w:bodyDiv w:val="1"/>
      <w:marLeft w:val="0"/>
      <w:marRight w:val="0"/>
      <w:marTop w:val="0"/>
      <w:marBottom w:val="0"/>
      <w:divBdr>
        <w:top w:val="none" w:sz="0" w:space="0" w:color="auto"/>
        <w:left w:val="none" w:sz="0" w:space="0" w:color="auto"/>
        <w:bottom w:val="none" w:sz="0" w:space="0" w:color="auto"/>
        <w:right w:val="none" w:sz="0" w:space="0" w:color="auto"/>
      </w:divBdr>
    </w:div>
    <w:div w:id="214245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faf.12724"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368</Words>
  <Characters>2104</Characters>
  <Application>Microsoft Office Word</Application>
  <DocSecurity>0</DocSecurity>
  <Lines>17</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21</cp:revision>
  <cp:lastPrinted>2018-07-05T21:02:00Z</cp:lastPrinted>
  <dcterms:created xsi:type="dcterms:W3CDTF">2024-08-20T18:31:00Z</dcterms:created>
  <dcterms:modified xsi:type="dcterms:W3CDTF">2025-02-28T21:55:00Z</dcterms:modified>
</cp:coreProperties>
</file>