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D313F6" w14:textId="77777777" w:rsidR="004A2E9E" w:rsidRPr="004A2E9E" w:rsidRDefault="004A2E9E" w:rsidP="004A2E9E">
      <w:r w:rsidRPr="004A2E9E">
        <w:rPr>
          <w:rFonts w:ascii="Arial" w:hAnsi="Arial" w:cs="Arial"/>
          <w:color w:val="000000"/>
        </w:rPr>
        <w:t>Zoe Kim and Marc Creixell</w:t>
      </w:r>
    </w:p>
    <w:p w14:paraId="21B1A0AE" w14:textId="77777777" w:rsidR="004A2E9E" w:rsidRPr="004A2E9E" w:rsidRDefault="004A2E9E" w:rsidP="004A2E9E">
      <w:r w:rsidRPr="004A2E9E">
        <w:rPr>
          <w:rFonts w:ascii="Arial" w:hAnsi="Arial" w:cs="Arial"/>
          <w:color w:val="000000"/>
        </w:rPr>
        <w:t>Bioengineering 188</w:t>
      </w:r>
    </w:p>
    <w:p w14:paraId="366E04A9" w14:textId="20B34D84" w:rsidR="004A2E9E" w:rsidRPr="004A2E9E" w:rsidRDefault="004A2E9E" w:rsidP="004A2E9E">
      <w:r w:rsidRPr="004A2E9E">
        <w:rPr>
          <w:rFonts w:ascii="Arial" w:hAnsi="Arial" w:cs="Arial"/>
          <w:color w:val="000000"/>
        </w:rPr>
        <w:t>March 2</w:t>
      </w:r>
      <w:r w:rsidR="002E6240">
        <w:rPr>
          <w:rFonts w:ascii="Arial" w:hAnsi="Arial" w:cs="Arial"/>
          <w:color w:val="000000"/>
        </w:rPr>
        <w:t>1</w:t>
      </w:r>
      <w:bookmarkStart w:id="0" w:name="_GoBack"/>
      <w:bookmarkEnd w:id="0"/>
      <w:r w:rsidRPr="004A2E9E">
        <w:rPr>
          <w:rFonts w:ascii="Arial" w:hAnsi="Arial" w:cs="Arial"/>
          <w:color w:val="000000"/>
        </w:rPr>
        <w:t>, 2019</w:t>
      </w:r>
    </w:p>
    <w:p w14:paraId="35B58BE1" w14:textId="77777777" w:rsidR="004A2E9E" w:rsidRPr="004A2E9E" w:rsidRDefault="004A2E9E" w:rsidP="004A2E9E"/>
    <w:p w14:paraId="0F46101C" w14:textId="0DF95936" w:rsidR="00647463" w:rsidRPr="004A2E9E" w:rsidRDefault="00647463" w:rsidP="00647463">
      <w:pPr>
        <w:spacing w:before="100" w:beforeAutospacing="1" w:after="100" w:afterAutospacing="1"/>
        <w:jc w:val="center"/>
        <w:rPr>
          <w:color w:val="000000" w:themeColor="text1"/>
        </w:rPr>
      </w:pPr>
      <w:r w:rsidRPr="00F93B7A">
        <w:rPr>
          <w:rFonts w:ascii="Arial" w:hAnsi="Arial" w:cs="Arial"/>
          <w:b/>
          <w:bCs/>
          <w:color w:val="000000" w:themeColor="text1"/>
          <w:sz w:val="26"/>
          <w:szCs w:val="26"/>
        </w:rPr>
        <w:t>Predicting cell phenotypes using signaling signatures</w:t>
      </w:r>
    </w:p>
    <w:p w14:paraId="4CD98E25" w14:textId="78DD0BE2" w:rsidR="004A2E9E" w:rsidRPr="004A2E9E" w:rsidRDefault="00562FF8" w:rsidP="00647463">
      <w:pPr>
        <w:spacing w:before="100" w:beforeAutospacing="1" w:after="100" w:afterAutospacing="1"/>
        <w:rPr>
          <w:color w:val="000000" w:themeColor="text1"/>
        </w:rPr>
      </w:pPr>
      <w:r>
        <w:rPr>
          <w:rFonts w:ascii="Arial" w:hAnsi="Arial" w:cs="Arial"/>
          <w:b/>
          <w:bCs/>
          <w:color w:val="000000" w:themeColor="text1"/>
          <w:sz w:val="26"/>
          <w:szCs w:val="26"/>
        </w:rPr>
        <w:t>MOTIVATION</w:t>
      </w:r>
    </w:p>
    <w:p w14:paraId="512EF7FC" w14:textId="6F9535E0" w:rsidR="004A2E9E" w:rsidRPr="004A2E9E" w:rsidRDefault="004A2E9E" w:rsidP="00743535">
      <w:pPr>
        <w:spacing w:line="276" w:lineRule="auto"/>
        <w:ind w:firstLine="720"/>
        <w:jc w:val="both"/>
      </w:pPr>
      <w:r w:rsidRPr="004A2E9E">
        <w:rPr>
          <w:rFonts w:ascii="Arial" w:hAnsi="Arial" w:cs="Arial"/>
          <w:color w:val="000000"/>
        </w:rPr>
        <w:t>Phosphorylation-based cell signaling regulates many of the cell behaviors that are aberrant in cancer and that serve as key hallmarks of tumorigenesis and tumor progression</w:t>
      </w:r>
      <w:r w:rsidR="006B6932">
        <w:rPr>
          <w:rFonts w:ascii="Arial" w:hAnsi="Arial" w:cs="Arial"/>
          <w:color w:val="000000"/>
        </w:rPr>
        <w:fldChar w:fldCharType="begin" w:fldLock="1"/>
      </w:r>
      <w:r w:rsidR="00FA77A7">
        <w:rPr>
          <w:rFonts w:ascii="Arial" w:hAnsi="Arial" w:cs="Arial"/>
          <w:color w:val="000000"/>
        </w:rPr>
        <w:instrText>ADDIN CSL_CITATION {"citationItems":[{"id":"ITEM-1","itemData":{"DOI":"10.1007/s00262-010-0968-0","ISBN":"0092-8674 (Print)","ISSN":"0092-8674","PMID":"10647931","abstract":"Ten years after the publication of the position paper The hallmarks of cancer (Hanahan and Weinberg Cell 100:5770, 2000), it has become increasingly clear that mutated cells on their way to giving rise to a tumor have also to learn how to thrive in a chronically inflamed microenvironment, evade immune recognition, and suppress immune reactivity. Genetic and molecular definition of these three immune hallmarks of cancer offers the opportunity to learn how to deploy specific countermeasures to reverse the situation in favor of the immune system and, eventually, the patient. This new information could be channeled to address what seem to be the three major hallmarks for the immune control of cancer progression: effective procedures to activate immune reactivity; characterization of not-disposable oncoantigens; and counteraction of immune suppression.","author":[{"dropping-particle":"","family":"Hanahan","given":"D","non-dropping-particle":"","parse-names":false,"suffix":""},{"dropping-particle":"","family":"Weinberg","given":"R A","non-dropping-particle":"","parse-names":false,"suffix":""}],"container-title":"Cell","id":"ITEM-1","issue":"1","issued":{"date-parts":[["2000"]]},"page":"57-70","title":"The hallmarks of cancer.","type":"article-journal","volume":"100"},"uris":["http://www.mendeley.com/documents/?uuid=f231f483-0376-4a6e-9ee0-cf93e8e73a3f"]}],"mendeley":{"formattedCitation":"&lt;sup&gt;1&lt;/sup&gt;","plainTextFormattedCitation":"1","previouslyFormattedCitation":"&lt;sup&gt;1&lt;/sup&gt;"},"properties":{"noteIndex":0},"schema":"https://github.com/citation-style-language/schema/raw/master/csl-citation.json"}</w:instrText>
      </w:r>
      <w:r w:rsidR="006B6932">
        <w:rPr>
          <w:rFonts w:ascii="Arial" w:hAnsi="Arial" w:cs="Arial"/>
          <w:color w:val="000000"/>
        </w:rPr>
        <w:fldChar w:fldCharType="separate"/>
      </w:r>
      <w:r w:rsidR="006B6932" w:rsidRPr="006B6932">
        <w:rPr>
          <w:rFonts w:ascii="Arial" w:hAnsi="Arial" w:cs="Arial"/>
          <w:noProof/>
          <w:color w:val="000000"/>
          <w:vertAlign w:val="superscript"/>
        </w:rPr>
        <w:t>1</w:t>
      </w:r>
      <w:r w:rsidR="006B6932">
        <w:rPr>
          <w:rFonts w:ascii="Arial" w:hAnsi="Arial" w:cs="Arial"/>
          <w:color w:val="000000"/>
        </w:rPr>
        <w:fldChar w:fldCharType="end"/>
      </w:r>
      <w:r w:rsidRPr="004A2E9E">
        <w:rPr>
          <w:rFonts w:ascii="Arial" w:hAnsi="Arial" w:cs="Arial"/>
          <w:color w:val="000000"/>
        </w:rPr>
        <w:t>. This is why protein kinases and in particular receptor tyrosine kinases (RTKs) are poised as attractive drug targets and have been a major focus in clinical research. However, although initially effective, therapies targeting RTKs are usually short-lived due to the activation of many non-targeted RTKs and subsequent induction of cell proliferation and survival signaling pathways. In addition, bypass switching to alternative pathways may endow cells with new and crucial cell phenotypes for tumor development. For instance, RTK AXL has been reported not only to sustain cell survival in the presence of EGFR-therapies, but also to direct tumor migration and support an immunosuppressive tumor microenvironment. Even though studies have identified a handful of key RTKs driving bypass resistance and promoting cell malignancy, a more fundamental understanding of network-level bypass signaling will be required to better inform the design of prognostic assays for identifying effective therapy combinations in individual tumors. To this end, we aimed to computationally investigate the possible correlation between cell signaling signatures exhibited by different cell populations grown under different culture conditions and experimentally-obtained resistance phenotypic indicators, namely cell viability and AXL expression.</w:t>
      </w:r>
    </w:p>
    <w:p w14:paraId="11EC5086" w14:textId="77777777" w:rsidR="004A2E9E" w:rsidRPr="004A2E9E" w:rsidRDefault="004A2E9E" w:rsidP="004A2E9E"/>
    <w:p w14:paraId="358D3D35" w14:textId="6CB46CEF" w:rsidR="00647463" w:rsidRPr="00647463" w:rsidRDefault="00562FF8" w:rsidP="00647463">
      <w:pPr>
        <w:spacing w:before="100" w:beforeAutospacing="1" w:after="100" w:afterAutospacing="1"/>
        <w:rPr>
          <w:color w:val="000000" w:themeColor="text1"/>
        </w:rPr>
      </w:pPr>
      <w:r>
        <w:rPr>
          <w:rFonts w:ascii="Arial" w:hAnsi="Arial" w:cs="Arial"/>
          <w:b/>
          <w:bCs/>
          <w:color w:val="000000" w:themeColor="text1"/>
          <w:sz w:val="26"/>
          <w:szCs w:val="26"/>
        </w:rPr>
        <w:t>PROBLEM DEFINITION AND OBJECTIVES</w:t>
      </w:r>
    </w:p>
    <w:p w14:paraId="0BA29B17" w14:textId="58E9F549" w:rsidR="004A2E9E" w:rsidRPr="004A2E9E" w:rsidRDefault="004A2E9E" w:rsidP="00743535">
      <w:pPr>
        <w:spacing w:line="276" w:lineRule="auto"/>
        <w:ind w:firstLine="720"/>
        <w:jc w:val="both"/>
      </w:pPr>
      <w:r w:rsidRPr="004A2E9E">
        <w:rPr>
          <w:rFonts w:ascii="Arial" w:hAnsi="Arial" w:cs="Arial"/>
          <w:color w:val="000000"/>
        </w:rPr>
        <w:t xml:space="preserve">The dataset we analyzed contains mass spectrometry (MS) generated phosphorylation measurements of 300 signaling proteins (variables) under 10 culture conditions in PC9 wild type (WT) and PC9 AXL knockout (KO) cells (observations). In addition, we </w:t>
      </w:r>
      <w:r w:rsidR="0019058E">
        <w:rPr>
          <w:rFonts w:ascii="Arial" w:hAnsi="Arial" w:cs="Arial"/>
          <w:color w:val="000000"/>
        </w:rPr>
        <w:t>used</w:t>
      </w:r>
      <w:r w:rsidRPr="004A2E9E">
        <w:rPr>
          <w:rFonts w:ascii="Arial" w:hAnsi="Arial" w:cs="Arial"/>
          <w:color w:val="000000"/>
        </w:rPr>
        <w:t xml:space="preserve"> cell viability </w:t>
      </w:r>
      <w:r w:rsidR="0019058E">
        <w:rPr>
          <w:rFonts w:ascii="Arial" w:hAnsi="Arial" w:cs="Arial"/>
          <w:color w:val="000000"/>
        </w:rPr>
        <w:t>measurements</w:t>
      </w:r>
      <w:r w:rsidRPr="004A2E9E">
        <w:rPr>
          <w:rFonts w:ascii="Arial" w:hAnsi="Arial" w:cs="Arial"/>
          <w:color w:val="000000"/>
        </w:rPr>
        <w:t xml:space="preserve"> of  6 of the 10 cell culture conditions</w:t>
      </w:r>
      <w:r w:rsidR="0019058E">
        <w:rPr>
          <w:rFonts w:ascii="Arial" w:hAnsi="Arial" w:cs="Arial"/>
          <w:color w:val="000000"/>
        </w:rPr>
        <w:t xml:space="preserve"> (data extracted from</w:t>
      </w:r>
      <w:r w:rsidR="00DE2493">
        <w:rPr>
          <w:rFonts w:ascii="Arial" w:hAnsi="Arial" w:cs="Arial"/>
          <w:color w:val="000000"/>
        </w:rPr>
        <w:t xml:space="preserve"> </w:t>
      </w:r>
      <w:proofErr w:type="spellStart"/>
      <w:r w:rsidR="00DE2493">
        <w:rPr>
          <w:rFonts w:ascii="Arial" w:hAnsi="Arial" w:cs="Arial"/>
          <w:color w:val="000000"/>
        </w:rPr>
        <w:t>Manolis</w:t>
      </w:r>
      <w:proofErr w:type="spellEnd"/>
      <w:r w:rsidR="00DE2493">
        <w:rPr>
          <w:rFonts w:ascii="Arial" w:hAnsi="Arial" w:cs="Arial"/>
          <w:color w:val="000000"/>
        </w:rPr>
        <w:t xml:space="preserve"> et al.</w:t>
      </w:r>
      <w:r w:rsidR="00DE2493">
        <w:rPr>
          <w:rFonts w:ascii="Arial" w:hAnsi="Arial" w:cs="Arial"/>
          <w:color w:val="000000"/>
        </w:rPr>
        <w:fldChar w:fldCharType="begin" w:fldLock="1"/>
      </w:r>
      <w:r w:rsidR="00FA77A7">
        <w:rPr>
          <w:rFonts w:ascii="Arial" w:hAnsi="Arial" w:cs="Arial"/>
          <w:color w:val="000000"/>
        </w:rPr>
        <w:instrText>ADDIN CSL_CITATION {"citationItems":[{"id":"ITEM-1","itemData":{"DOI":"10.1158/0008-5472.CAN-16-0123","author":[{"dropping-particle":"","family":"Manole","given":"Simin","non-dropping-particle":"","parse-names":false,"suffix":""},{"dropping-particle":"","family":"Richards","given":"Edward J","non-dropping-particle":"","parse-names":false,"suffix":""},{"dropping-particle":"","family":"Meyer","given":"Aaron S","non-dropping-particle":"","parse-names":false,"suffix":""}],"id":"ITEM-1","issued":{"date-parts":[["2016"]]},"page":"5219-5229","title":"JNK Pathway Activation Modulates Acquired Resistance to EGFR / HER2 – Targeted Therapies","type":"article-journal"},"uris":["http://www.mendeley.com/documents/?uuid=3c4b4e42-4a5e-4183-821a-3b467aa68f97"]}],"mendeley":{"formattedCitation":"&lt;sup&gt;2&lt;/sup&gt;","plainTextFormattedCitation":"2","previouslyFormattedCitation":"&lt;sup&gt;2&lt;/sup&gt;"},"properties":{"noteIndex":0},"schema":"https://github.com/citation-style-language/schema/raw/master/csl-citation.json"}</w:instrText>
      </w:r>
      <w:r w:rsidR="00DE2493">
        <w:rPr>
          <w:rFonts w:ascii="Arial" w:hAnsi="Arial" w:cs="Arial"/>
          <w:color w:val="000000"/>
        </w:rPr>
        <w:fldChar w:fldCharType="separate"/>
      </w:r>
      <w:r w:rsidR="006B6932" w:rsidRPr="006B6932">
        <w:rPr>
          <w:rFonts w:ascii="Arial" w:hAnsi="Arial" w:cs="Arial"/>
          <w:noProof/>
          <w:color w:val="000000"/>
          <w:vertAlign w:val="superscript"/>
        </w:rPr>
        <w:t>2</w:t>
      </w:r>
      <w:r w:rsidR="00DE2493">
        <w:rPr>
          <w:rFonts w:ascii="Arial" w:hAnsi="Arial" w:cs="Arial"/>
          <w:color w:val="000000"/>
        </w:rPr>
        <w:fldChar w:fldCharType="end"/>
      </w:r>
      <w:r w:rsidR="00DE2493">
        <w:rPr>
          <w:rFonts w:ascii="Arial" w:hAnsi="Arial" w:cs="Arial"/>
          <w:color w:val="000000"/>
        </w:rPr>
        <w:t xml:space="preserve"> and provided by Song Yi Bae)</w:t>
      </w:r>
      <w:r w:rsidRPr="004A2E9E">
        <w:rPr>
          <w:rFonts w:ascii="Arial" w:hAnsi="Arial" w:cs="Arial"/>
          <w:color w:val="000000"/>
        </w:rPr>
        <w:t xml:space="preserve">, and </w:t>
      </w:r>
      <w:r w:rsidR="00DE2493">
        <w:rPr>
          <w:rFonts w:ascii="Arial" w:hAnsi="Arial" w:cs="Arial"/>
          <w:color w:val="000000"/>
        </w:rPr>
        <w:t>measured</w:t>
      </w:r>
      <w:r w:rsidRPr="004A2E9E">
        <w:rPr>
          <w:rFonts w:ascii="Arial" w:hAnsi="Arial" w:cs="Arial"/>
          <w:color w:val="000000"/>
        </w:rPr>
        <w:t xml:space="preserve"> AXL expression levels</w:t>
      </w:r>
      <w:r w:rsidR="00DE2493">
        <w:rPr>
          <w:rFonts w:ascii="Arial" w:hAnsi="Arial" w:cs="Arial"/>
          <w:color w:val="000000"/>
        </w:rPr>
        <w:t xml:space="preserve"> by flow cytometry</w:t>
      </w:r>
      <w:r w:rsidRPr="004A2E9E">
        <w:rPr>
          <w:rFonts w:ascii="Arial" w:hAnsi="Arial" w:cs="Arial"/>
          <w:color w:val="000000"/>
        </w:rPr>
        <w:t xml:space="preserve"> matching all 10 growing conditions under which the MS assay was performed </w:t>
      </w:r>
      <w:r w:rsidRPr="004A2E9E">
        <w:rPr>
          <w:rFonts w:ascii="Arial" w:hAnsi="Arial" w:cs="Arial"/>
          <w:color w:val="000000" w:themeColor="text1"/>
        </w:rPr>
        <w:t>(</w:t>
      </w:r>
      <w:r w:rsidR="00562FF8">
        <w:rPr>
          <w:rFonts w:ascii="Arial" w:hAnsi="Arial" w:cs="Arial"/>
          <w:color w:val="000000" w:themeColor="text1"/>
        </w:rPr>
        <w:t>F</w:t>
      </w:r>
      <w:r w:rsidRPr="004A2E9E">
        <w:rPr>
          <w:rFonts w:ascii="Arial" w:hAnsi="Arial" w:cs="Arial"/>
          <w:color w:val="000000" w:themeColor="text1"/>
        </w:rPr>
        <w:t>ig. 1).</w:t>
      </w:r>
    </w:p>
    <w:p w14:paraId="010D89EF" w14:textId="77777777" w:rsidR="00647463" w:rsidRDefault="00647463" w:rsidP="00490E97">
      <w:pPr>
        <w:spacing w:line="276" w:lineRule="auto"/>
        <w:jc w:val="both"/>
        <w:rPr>
          <w:rFonts w:ascii="Arial" w:hAnsi="Arial" w:cs="Arial"/>
          <w:color w:val="000000"/>
        </w:rPr>
      </w:pPr>
    </w:p>
    <w:p w14:paraId="11446695" w14:textId="5FB4FCA9" w:rsidR="00FA77A7" w:rsidRPr="00743535" w:rsidRDefault="00743535" w:rsidP="00743535">
      <w:pPr>
        <w:spacing w:line="276" w:lineRule="auto"/>
        <w:ind w:firstLine="720"/>
        <w:jc w:val="both"/>
        <w:rPr>
          <w:rFonts w:ascii="Arial" w:hAnsi="Arial" w:cs="Arial"/>
          <w:color w:val="000000"/>
        </w:rPr>
      </w:pPr>
      <w:r w:rsidRPr="00743535">
        <w:rPr>
          <w:rFonts w:ascii="Arial" w:hAnsi="Arial" w:cs="Arial"/>
          <w:color w:val="000000"/>
        </w:rPr>
        <w:t>Our first aim was to assess whether there is a significant relationship between these phosphorylation measurements and cell viability or AXL expression. In addition, kinase specificity studies have shown that not only SH2, and SH3 domains, are relevant in driving substrate motif recognition, but also the kinase domain itself</w:t>
      </w:r>
      <w:r>
        <w:rPr>
          <w:rFonts w:ascii="Arial" w:hAnsi="Arial" w:cs="Arial"/>
          <w:color w:val="000000"/>
        </w:rPr>
        <w:fldChar w:fldCharType="begin" w:fldLock="1"/>
      </w:r>
      <w:r w:rsidR="00562FF8">
        <w:rPr>
          <w:rFonts w:ascii="Arial" w:hAnsi="Arial" w:cs="Arial"/>
          <w:color w:val="000000"/>
        </w:rPr>
        <w:instrText>ADDIN CSL_CITATION {"citationItems":[{"id":"ITEM-1","itemData":{"DOI":"10.1038/nsmb.3117","ISBN":"1545-9985 (Electronic)\\r1545-9985 (Linking)","ISSN":"1545-9993","PMID":"26551075","abstract":"Aberrant activation of the EGF receptor (EGFR) contributes to many human cancers by activating the Ras-MAPK pathway and other pathways. EGFR signaling is augmented by Src-family kinases, but the mechanism is poorly understood. Here, we show that human EGFR preferentially phosphorylates peptide substrates that are primed by a prior phosphorylation. Using peptides based on the sequence of the adaptor protein Shc1, we show that Src mediates the priming phosphorylation, thus promoting subsequent phosphorylation by EGFR. Importantly, the doubly phosphorylated Shc1 peptide binds more tightly than singly phosphorylated peptide to the Ras activator Grb2; this binding is a key step in activating the Ras-MAPK pathway. Finally, a crystal structure of EGFR in complex with a primed Shc1 peptide reveals the structural basis for EGFR substrate specificity. These results provide a molecular explanation for the integration of Src and EGFR signaling with downstream effectors such as Ras.","author":[{"dropping-particle":"","family":"Begley","given":"Michael J","non-dropping-particle":"","parse-names":false,"suffix":""},{"dropping-particle":"","family":"Yun","given":"Cai-hong","non-dropping-particle":"","parse-names":false,"suffix":""},{"dropping-particle":"","family":"Gewinner","given":"Christina A","non-dropping-particle":"","parse-names":false,"suffix":""},{"dropping-particle":"","family":"Asara","given":"John M","non-dropping-particle":"","parse-names":false,"suffix":""},{"dropping-particle":"","family":"Johnson","given":"Jared L","non-dropping-particle":"","parse-names":false,"suffix":""},{"dropping-particle":"","family":"Coyle","given":"Anthony J","non-dropping-particle":"","parse-names":false,"suffix":""},{"dropping-particle":"","family":"Eck","given":"Michael J","non-dropping-particle":"","parse-names":false,"suffix":""},{"dropping-particle":"","family":"Apostolou","given":"Irina","non-dropping-particle":"","parse-names":false,"suffix":""},{"dropping-particle":"","family":"Cantley","given":"Lewis C","non-dropping-particle":"","parse-names":false,"suffix":""}],"container-title":"Nature Structural &amp; Molecular Biology","id":"ITEM-1","issue":"12","issued":{"date-parts":[["2015"]]},"page":"983-990","publisher":"Nature Publishing Group","title":"EGF-receptor specificity for phosphotyrosine-primed substrates provides signal integration with Src","type":"article-journal","volume":"22"},"uris":["http://www.mendeley.com/documents/?uuid=6695431e-dbf2-491c-bb54-668ce38cce7f"]}],"mendeley":{"formattedCitation":"&lt;sup&gt;3&lt;/sup&gt;","plainTextFormattedCitation":"3","previouslyFormattedCitation":"&lt;sup&gt;3&lt;/sup&gt;"},"properties":{"noteIndex":0},"schema":"https://github.com/citation-style-language/schema/raw/master/csl-citation.json"}</w:instrText>
      </w:r>
      <w:r>
        <w:rPr>
          <w:rFonts w:ascii="Arial" w:hAnsi="Arial" w:cs="Arial"/>
          <w:color w:val="000000"/>
        </w:rPr>
        <w:fldChar w:fldCharType="separate"/>
      </w:r>
      <w:r w:rsidRPr="00743535">
        <w:rPr>
          <w:rFonts w:ascii="Arial" w:hAnsi="Arial" w:cs="Arial"/>
          <w:noProof/>
          <w:color w:val="000000"/>
          <w:vertAlign w:val="superscript"/>
        </w:rPr>
        <w:t>3</w:t>
      </w:r>
      <w:r>
        <w:rPr>
          <w:rFonts w:ascii="Arial" w:hAnsi="Arial" w:cs="Arial"/>
          <w:color w:val="000000"/>
        </w:rPr>
        <w:fldChar w:fldCharType="end"/>
      </w:r>
      <w:r w:rsidRPr="00743535">
        <w:rPr>
          <w:rFonts w:ascii="Arial" w:hAnsi="Arial" w:cs="Arial"/>
          <w:color w:val="000000"/>
        </w:rPr>
        <w:t xml:space="preserve">. There, using a specificity screening to find the optimal substrate motif peptide sequence of an individual kinase, they found </w:t>
      </w:r>
      <w:r w:rsidRPr="00743535">
        <w:rPr>
          <w:rFonts w:ascii="Arial" w:hAnsi="Arial" w:cs="Arial"/>
          <w:color w:val="000000"/>
        </w:rPr>
        <w:lastRenderedPageBreak/>
        <w:t xml:space="preserve">that some of the 5 amino acids downstream and upstream the phosphorylation site are key contributors of specificity. Therefore, we hypothesized that </w:t>
      </w:r>
      <w:proofErr w:type="spellStart"/>
      <w:r w:rsidRPr="00743535">
        <w:rPr>
          <w:rFonts w:ascii="Arial" w:hAnsi="Arial" w:cs="Arial"/>
          <w:color w:val="000000"/>
        </w:rPr>
        <w:t>phosphopeptides</w:t>
      </w:r>
      <w:proofErr w:type="spellEnd"/>
      <w:r w:rsidRPr="00743535">
        <w:rPr>
          <w:rFonts w:ascii="Arial" w:hAnsi="Arial" w:cs="Arial"/>
          <w:color w:val="000000"/>
        </w:rPr>
        <w:t xml:space="preserve"> with similar sequences neighboring the phosphorylation site could be recognized by the same set of protein kinases and thus show similar phosphorylation behaviors across the different cell populations. Interestingly, this would allow for the identification of groups of signaling proteins regulating our cell phenotypes of interest.  </w:t>
      </w:r>
    </w:p>
    <w:p w14:paraId="6039A857" w14:textId="67133917" w:rsidR="00F93B7A" w:rsidRDefault="00FA77A7" w:rsidP="00F93B7A">
      <w:r>
        <w:rPr>
          <w:noProof/>
        </w:rPr>
        <mc:AlternateContent>
          <mc:Choice Requires="wps">
            <w:drawing>
              <wp:anchor distT="0" distB="0" distL="114300" distR="114300" simplePos="0" relativeHeight="251659264" behindDoc="0" locked="0" layoutInCell="1" allowOverlap="1" wp14:anchorId="487128F8" wp14:editId="005029A9">
                <wp:simplePos x="0" y="0"/>
                <wp:positionH relativeFrom="column">
                  <wp:posOffset>161925</wp:posOffset>
                </wp:positionH>
                <wp:positionV relativeFrom="paragraph">
                  <wp:posOffset>151899</wp:posOffset>
                </wp:positionV>
                <wp:extent cx="308610" cy="30861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308610" cy="308610"/>
                        </a:xfrm>
                        <a:prstGeom prst="rect">
                          <a:avLst/>
                        </a:prstGeom>
                        <a:noFill/>
                        <a:ln w="6350">
                          <a:noFill/>
                        </a:ln>
                      </wps:spPr>
                      <wps:txbx>
                        <w:txbxContent>
                          <w:p w14:paraId="699DCC77" w14:textId="6C7CADF0" w:rsidR="00FA77A7" w:rsidRPr="00FA77A7" w:rsidRDefault="00FA77A7">
                            <w:pPr>
                              <w:rPr>
                                <w:rFonts w:ascii="Arial" w:hAnsi="Arial" w:cs="Arial"/>
                                <w:b/>
                                <w:lang w:val="es-ES"/>
                              </w:rPr>
                            </w:pPr>
                            <w:r w:rsidRPr="00FA77A7">
                              <w:rPr>
                                <w:rFonts w:ascii="Arial" w:hAnsi="Arial" w:cs="Arial"/>
                                <w:b/>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128F8" id="_x0000_t202" coordsize="21600,21600" o:spt="202" path="m,l,21600r21600,l21600,xe">
                <v:stroke joinstyle="miter"/>
                <v:path gradientshapeok="t" o:connecttype="rect"/>
              </v:shapetype>
              <v:shape id="Text Box 15" o:spid="_x0000_s1026" type="#_x0000_t202" style="position:absolute;margin-left:12.75pt;margin-top:11.95pt;width:24.3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" filled="f" stroked="f" strokeweight=".5pt">
                <v:textbox>
                  <w:txbxContent>
                    <w:p w14:paraId="699DCC77" w14:textId="6C7CADF0" w:rsidR="00FA77A7" w:rsidRPr="00FA77A7" w:rsidRDefault="00FA77A7">
                      <w:pPr>
                        <w:rPr>
                          <w:rFonts w:ascii="Arial" w:hAnsi="Arial" w:cs="Arial"/>
                          <w:b/>
                          <w:lang w:val="es-ES"/>
                        </w:rPr>
                      </w:pPr>
                      <w:r w:rsidRPr="00FA77A7">
                        <w:rPr>
                          <w:rFonts w:ascii="Arial" w:hAnsi="Arial" w:cs="Arial"/>
                          <w:b/>
                          <w:lang w:val="es-ES"/>
                        </w:rPr>
                        <w:t>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1A0FDA8" wp14:editId="67820CA8">
                <wp:simplePos x="0" y="0"/>
                <wp:positionH relativeFrom="column">
                  <wp:posOffset>3160395</wp:posOffset>
                </wp:positionH>
                <wp:positionV relativeFrom="paragraph">
                  <wp:posOffset>135121</wp:posOffset>
                </wp:positionV>
                <wp:extent cx="308610" cy="30861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308610" cy="308610"/>
                        </a:xfrm>
                        <a:prstGeom prst="rect">
                          <a:avLst/>
                        </a:prstGeom>
                        <a:noFill/>
                        <a:ln w="6350">
                          <a:noFill/>
                        </a:ln>
                      </wps:spPr>
                      <wps:txbx>
                        <w:txbxContent>
                          <w:p w14:paraId="026CE0A3" w14:textId="3CEE5040" w:rsidR="00FA77A7" w:rsidRPr="00FA77A7" w:rsidRDefault="00FA77A7" w:rsidP="00FA77A7">
                            <w:pPr>
                              <w:rPr>
                                <w:rFonts w:ascii="Arial" w:hAnsi="Arial" w:cs="Arial"/>
                                <w:b/>
                                <w:lang w:val="es-ES"/>
                              </w:rPr>
                            </w:pPr>
                            <w:r>
                              <w:rPr>
                                <w:rFonts w:ascii="Arial" w:hAnsi="Arial" w:cs="Arial"/>
                                <w:b/>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0FDA8" id="Text Box 16" o:spid="_x0000_s1027" type="#_x0000_t202" style="position:absolute;margin-left:248.85pt;margin-top:10.65pt;width:24.3pt;height: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" filled="f" stroked="f" strokeweight=".5pt">
                <v:textbox>
                  <w:txbxContent>
                    <w:p w14:paraId="026CE0A3" w14:textId="3CEE5040" w:rsidR="00FA77A7" w:rsidRPr="00FA77A7" w:rsidRDefault="00FA77A7" w:rsidP="00FA77A7">
                      <w:pPr>
                        <w:rPr>
                          <w:rFonts w:ascii="Arial" w:hAnsi="Arial" w:cs="Arial"/>
                          <w:b/>
                          <w:lang w:val="es-ES"/>
                        </w:rPr>
                      </w:pPr>
                      <w:r>
                        <w:rPr>
                          <w:rFonts w:ascii="Arial" w:hAnsi="Arial" w:cs="Arial"/>
                          <w:b/>
                          <w:lang w:val="es-ES"/>
                        </w:rPr>
                        <w:t>B</w:t>
                      </w:r>
                    </w:p>
                  </w:txbxContent>
                </v:textbox>
              </v:shape>
            </w:pict>
          </mc:Fallback>
        </mc:AlternateContent>
      </w:r>
      <w:r w:rsidR="00647463" w:rsidRPr="00647463">
        <w:drawing>
          <wp:inline distT="0" distB="0" distL="0" distR="0" wp14:anchorId="41135DA0" wp14:editId="1CE9FD44">
            <wp:extent cx="5993296" cy="3826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305" t="13653" r="26415"/>
                    <a:stretch/>
                  </pic:blipFill>
                  <pic:spPr bwMode="auto">
                    <a:xfrm>
                      <a:off x="0" y="0"/>
                      <a:ext cx="6025289" cy="3846464"/>
                    </a:xfrm>
                    <a:prstGeom prst="rect">
                      <a:avLst/>
                    </a:prstGeom>
                    <a:ln>
                      <a:noFill/>
                    </a:ln>
                    <a:extLst>
                      <a:ext uri="{53640926-AAD7-44D8-BBD7-CCE9431645EC}">
                        <a14:shadowObscured xmlns:a14="http://schemas.microsoft.com/office/drawing/2010/main"/>
                      </a:ext>
                    </a:extLst>
                  </pic:spPr>
                </pic:pic>
              </a:graphicData>
            </a:graphic>
          </wp:inline>
        </w:drawing>
      </w:r>
    </w:p>
    <w:p w14:paraId="27BFF6C8" w14:textId="33C432E4" w:rsidR="004A2E9E" w:rsidRDefault="00F93B7A" w:rsidP="004A2E9E">
      <w:pPr>
        <w:rPr>
          <w:rFonts w:ascii="Arial" w:hAnsi="Arial" w:cs="Arial"/>
          <w:bCs/>
          <w:color w:val="000000" w:themeColor="text1"/>
          <w:sz w:val="20"/>
          <w:szCs w:val="20"/>
        </w:rPr>
      </w:pPr>
      <w:r w:rsidRPr="00647463">
        <w:rPr>
          <w:rFonts w:ascii="Arial" w:hAnsi="Arial" w:cs="Arial"/>
          <w:b/>
          <w:bCs/>
          <w:color w:val="000000" w:themeColor="text1"/>
          <w:sz w:val="20"/>
          <w:szCs w:val="20"/>
        </w:rPr>
        <w:t xml:space="preserve">Figure </w:t>
      </w:r>
      <w:r w:rsidRPr="00F93B7A">
        <w:rPr>
          <w:rFonts w:ascii="Arial" w:hAnsi="Arial" w:cs="Arial"/>
          <w:b/>
          <w:bCs/>
          <w:color w:val="000000" w:themeColor="text1"/>
          <w:sz w:val="20"/>
          <w:szCs w:val="20"/>
        </w:rPr>
        <w:t>1</w:t>
      </w:r>
      <w:r w:rsidRPr="00647463">
        <w:rPr>
          <w:rFonts w:ascii="Arial" w:hAnsi="Arial" w:cs="Arial"/>
          <w:b/>
          <w:bCs/>
          <w:color w:val="000000" w:themeColor="text1"/>
          <w:sz w:val="20"/>
          <w:szCs w:val="20"/>
        </w:rPr>
        <w:t xml:space="preserve">. </w:t>
      </w:r>
      <w:r w:rsidR="00FA77A7">
        <w:rPr>
          <w:rFonts w:ascii="Arial" w:hAnsi="Arial" w:cs="Arial"/>
          <w:b/>
          <w:bCs/>
          <w:color w:val="000000" w:themeColor="text1"/>
          <w:sz w:val="20"/>
          <w:szCs w:val="20"/>
        </w:rPr>
        <w:t>Data set</w:t>
      </w:r>
      <w:r w:rsidR="00FA77A7">
        <w:rPr>
          <w:rFonts w:ascii="Arial" w:hAnsi="Arial" w:cs="Arial"/>
          <w:bCs/>
          <w:color w:val="000000" w:themeColor="text1"/>
          <w:sz w:val="20"/>
          <w:szCs w:val="20"/>
        </w:rPr>
        <w:t xml:space="preserve">. </w:t>
      </w:r>
      <w:r w:rsidR="00FA77A7">
        <w:rPr>
          <w:rFonts w:ascii="Arial" w:hAnsi="Arial" w:cs="Arial"/>
          <w:b/>
          <w:bCs/>
          <w:color w:val="000000" w:themeColor="text1"/>
          <w:sz w:val="20"/>
          <w:szCs w:val="20"/>
        </w:rPr>
        <w:t xml:space="preserve">A </w:t>
      </w:r>
      <w:r w:rsidR="00FA77A7">
        <w:rPr>
          <w:rFonts w:ascii="Arial" w:hAnsi="Arial" w:cs="Arial"/>
          <w:bCs/>
          <w:color w:val="000000" w:themeColor="text1"/>
          <w:sz w:val="20"/>
          <w:szCs w:val="20"/>
        </w:rPr>
        <w:t xml:space="preserve">MS-based phosphorylation data across different cell culture conditions. </w:t>
      </w:r>
      <w:r w:rsidR="00FA77A7">
        <w:rPr>
          <w:rFonts w:ascii="Arial" w:hAnsi="Arial" w:cs="Arial"/>
          <w:b/>
          <w:bCs/>
          <w:color w:val="000000" w:themeColor="text1"/>
          <w:sz w:val="20"/>
          <w:szCs w:val="20"/>
        </w:rPr>
        <w:t xml:space="preserve">B </w:t>
      </w:r>
      <w:r w:rsidR="00FA77A7">
        <w:rPr>
          <w:rFonts w:ascii="Arial" w:hAnsi="Arial" w:cs="Arial"/>
          <w:bCs/>
          <w:color w:val="000000" w:themeColor="text1"/>
          <w:sz w:val="20"/>
          <w:szCs w:val="20"/>
        </w:rPr>
        <w:t xml:space="preserve">AXL expression levels measured by flow cytometry. </w:t>
      </w:r>
      <w:r w:rsidR="00FA77A7">
        <w:rPr>
          <w:rFonts w:ascii="Arial" w:hAnsi="Arial" w:cs="Arial"/>
          <w:b/>
          <w:bCs/>
          <w:color w:val="000000" w:themeColor="text1"/>
          <w:sz w:val="20"/>
          <w:szCs w:val="20"/>
        </w:rPr>
        <w:t>C</w:t>
      </w:r>
      <w:r w:rsidR="00FA77A7">
        <w:rPr>
          <w:rFonts w:ascii="Arial" w:hAnsi="Arial" w:cs="Arial"/>
          <w:bCs/>
          <w:color w:val="000000" w:themeColor="text1"/>
          <w:sz w:val="20"/>
          <w:szCs w:val="20"/>
        </w:rPr>
        <w:t xml:space="preserve"> cell viability quantified by </w:t>
      </w:r>
      <w:proofErr w:type="spellStart"/>
      <w:r w:rsidR="00FA77A7">
        <w:rPr>
          <w:rFonts w:ascii="Arial" w:hAnsi="Arial" w:cs="Arial"/>
          <w:bCs/>
          <w:color w:val="000000" w:themeColor="text1"/>
          <w:sz w:val="20"/>
          <w:szCs w:val="20"/>
        </w:rPr>
        <w:t>CellTiter-Glo</w:t>
      </w:r>
      <w:proofErr w:type="spellEnd"/>
      <w:r w:rsidR="00FA77A7">
        <w:rPr>
          <w:rFonts w:ascii="Arial" w:hAnsi="Arial" w:cs="Arial"/>
          <w:bCs/>
          <w:color w:val="000000" w:themeColor="text1"/>
          <w:sz w:val="20"/>
          <w:szCs w:val="20"/>
        </w:rPr>
        <w:t xml:space="preserve"> </w:t>
      </w:r>
      <w:proofErr w:type="spellStart"/>
      <w:r w:rsidR="00FA77A7">
        <w:rPr>
          <w:rFonts w:ascii="Arial" w:hAnsi="Arial" w:cs="Arial"/>
          <w:bCs/>
          <w:color w:val="000000" w:themeColor="text1"/>
          <w:sz w:val="20"/>
          <w:szCs w:val="20"/>
        </w:rPr>
        <w:t>luminiscent</w:t>
      </w:r>
      <w:proofErr w:type="spellEnd"/>
      <w:r w:rsidR="00FA77A7">
        <w:rPr>
          <w:rFonts w:ascii="Arial" w:hAnsi="Arial" w:cs="Arial"/>
          <w:bCs/>
          <w:color w:val="000000" w:themeColor="text1"/>
          <w:sz w:val="20"/>
          <w:szCs w:val="20"/>
        </w:rPr>
        <w:t xml:space="preserve"> assay.  </w:t>
      </w:r>
      <w:r w:rsidR="00FA77A7">
        <w:rPr>
          <w:rFonts w:ascii="Arial" w:hAnsi="Arial" w:cs="Arial"/>
          <w:b/>
          <w:bCs/>
          <w:color w:val="000000" w:themeColor="text1"/>
          <w:sz w:val="20"/>
          <w:szCs w:val="20"/>
        </w:rPr>
        <w:t xml:space="preserve"> </w:t>
      </w:r>
    </w:p>
    <w:p w14:paraId="08E123BB" w14:textId="77777777" w:rsidR="00FA77A7" w:rsidRPr="004A2E9E" w:rsidRDefault="00FA77A7" w:rsidP="004A2E9E">
      <w:pPr>
        <w:rPr>
          <w:rFonts w:ascii="Arial" w:hAnsi="Arial" w:cs="Arial"/>
          <w:bCs/>
          <w:color w:val="000000" w:themeColor="text1"/>
          <w:sz w:val="20"/>
          <w:szCs w:val="20"/>
        </w:rPr>
      </w:pPr>
    </w:p>
    <w:p w14:paraId="68FC2391" w14:textId="4208AEB3" w:rsidR="00647463" w:rsidRPr="00647463" w:rsidRDefault="00562FF8" w:rsidP="00647463">
      <w:pPr>
        <w:spacing w:before="100" w:beforeAutospacing="1" w:after="100" w:afterAutospacing="1"/>
        <w:rPr>
          <w:color w:val="000000" w:themeColor="text1"/>
        </w:rPr>
      </w:pPr>
      <w:r>
        <w:rPr>
          <w:rFonts w:ascii="Arial" w:hAnsi="Arial" w:cs="Arial"/>
          <w:b/>
          <w:bCs/>
          <w:color w:val="000000" w:themeColor="text1"/>
          <w:sz w:val="26"/>
          <w:szCs w:val="26"/>
        </w:rPr>
        <w:t>METHODS</w:t>
      </w:r>
    </w:p>
    <w:p w14:paraId="5E2B4251" w14:textId="6F0F8212" w:rsidR="004A2E9E" w:rsidRDefault="004A2E9E" w:rsidP="00743535">
      <w:pPr>
        <w:spacing w:line="276" w:lineRule="auto"/>
        <w:ind w:firstLine="720"/>
        <w:jc w:val="both"/>
        <w:rPr>
          <w:rFonts w:ascii="Arial" w:hAnsi="Arial" w:cs="Arial"/>
          <w:color w:val="000000"/>
        </w:rPr>
      </w:pPr>
      <w:r w:rsidRPr="004A2E9E">
        <w:rPr>
          <w:rFonts w:ascii="Arial" w:hAnsi="Arial" w:cs="Arial"/>
          <w:color w:val="000000"/>
        </w:rPr>
        <w:t xml:space="preserve">Initially, a </w:t>
      </w:r>
      <w:r w:rsidR="000F058F">
        <w:rPr>
          <w:rFonts w:ascii="Arial" w:hAnsi="Arial" w:cs="Arial"/>
          <w:color w:val="000000"/>
        </w:rPr>
        <w:t>partial least squares (PLSR)</w:t>
      </w:r>
      <w:r w:rsidRPr="004A2E9E">
        <w:rPr>
          <w:rFonts w:ascii="Arial" w:hAnsi="Arial" w:cs="Arial"/>
          <w:color w:val="000000"/>
        </w:rPr>
        <w:t xml:space="preserve"> model was generated to provide regularization, predictive capability, and visualization of variable relationships with the phenotypes.</w:t>
      </w:r>
      <w:r w:rsidR="00743535">
        <w:rPr>
          <w:rFonts w:ascii="Arial" w:hAnsi="Arial" w:cs="Arial"/>
          <w:color w:val="000000"/>
        </w:rPr>
        <w:t xml:space="preserve"> </w:t>
      </w:r>
      <w:r w:rsidRPr="004A2E9E">
        <w:rPr>
          <w:rFonts w:ascii="Arial" w:hAnsi="Arial" w:cs="Arial"/>
          <w:color w:val="000000"/>
        </w:rPr>
        <w:t xml:space="preserve">Using </w:t>
      </w:r>
      <w:proofErr w:type="spellStart"/>
      <w:r w:rsidRPr="004A2E9E">
        <w:rPr>
          <w:rFonts w:ascii="Arial" w:hAnsi="Arial" w:cs="Arial"/>
          <w:color w:val="000000"/>
        </w:rPr>
        <w:t>scikit-learn’s</w:t>
      </w:r>
      <w:proofErr w:type="spellEnd"/>
      <w:r w:rsidRPr="004A2E9E">
        <w:rPr>
          <w:rFonts w:ascii="Arial" w:hAnsi="Arial" w:cs="Arial"/>
          <w:color w:val="000000"/>
        </w:rPr>
        <w:t xml:space="preserve"> </w:t>
      </w:r>
      <w:proofErr w:type="spellStart"/>
      <w:r w:rsidRPr="004A2E9E">
        <w:rPr>
          <w:rFonts w:ascii="Arial" w:hAnsi="Arial" w:cs="Arial"/>
          <w:color w:val="000000"/>
        </w:rPr>
        <w:t>PLSRegression</w:t>
      </w:r>
      <w:proofErr w:type="spellEnd"/>
      <w:r w:rsidRPr="004A2E9E">
        <w:rPr>
          <w:rFonts w:ascii="Arial" w:hAnsi="Arial" w:cs="Arial"/>
          <w:color w:val="000000"/>
        </w:rPr>
        <w:t xml:space="preserve"> class, after fitting to our regularized data, we used the score method to generate R2Y, the ___, across an increasing number of components. Similarly, to generate Q2Y, the ___, we implemented leave one out cross-validation, using each training and testing set generated to generate a cumulate Q2Y value. The number of components for PLSR was decided to be the point at which these two values were effectively </w:t>
      </w:r>
      <w:proofErr w:type="spellStart"/>
      <w:proofErr w:type="gramStart"/>
      <w:r w:rsidRPr="004A2E9E">
        <w:rPr>
          <w:rFonts w:ascii="Arial" w:hAnsi="Arial" w:cs="Arial"/>
          <w:color w:val="000000"/>
        </w:rPr>
        <w:t>maximized.Running</w:t>
      </w:r>
      <w:proofErr w:type="spellEnd"/>
      <w:proofErr w:type="gramEnd"/>
      <w:r w:rsidRPr="004A2E9E">
        <w:rPr>
          <w:rFonts w:ascii="Arial" w:hAnsi="Arial" w:cs="Arial"/>
          <w:color w:val="000000"/>
        </w:rPr>
        <w:t xml:space="preserve"> PLSR for each phenotype resulted in two sets of scores and loadings plots. To increase interpretability of the loadings plot, we decided to cluster the variables.</w:t>
      </w:r>
    </w:p>
    <w:p w14:paraId="34C6F9DE" w14:textId="77777777" w:rsidR="00490E97" w:rsidRPr="004A2E9E" w:rsidRDefault="00490E97" w:rsidP="00743535">
      <w:pPr>
        <w:spacing w:line="276" w:lineRule="auto"/>
        <w:jc w:val="both"/>
      </w:pPr>
    </w:p>
    <w:p w14:paraId="21CBA8A8" w14:textId="32B512E5" w:rsidR="004A2E9E" w:rsidRDefault="004A2E9E" w:rsidP="00743535">
      <w:pPr>
        <w:spacing w:line="276" w:lineRule="auto"/>
        <w:ind w:firstLine="720"/>
        <w:jc w:val="both"/>
        <w:rPr>
          <w:rFonts w:ascii="Arial" w:hAnsi="Arial" w:cs="Arial"/>
          <w:color w:val="000000"/>
        </w:rPr>
      </w:pPr>
      <w:r w:rsidRPr="004A2E9E">
        <w:rPr>
          <w:rFonts w:ascii="Arial" w:hAnsi="Arial" w:cs="Arial"/>
          <w:color w:val="000000"/>
        </w:rPr>
        <w:lastRenderedPageBreak/>
        <w:t xml:space="preserve">Clustering was conducted using </w:t>
      </w:r>
      <w:proofErr w:type="spellStart"/>
      <w:r w:rsidRPr="004A2E9E">
        <w:rPr>
          <w:rFonts w:ascii="Arial" w:hAnsi="Arial" w:cs="Arial"/>
          <w:color w:val="000000"/>
        </w:rPr>
        <w:t>scikit-learn’s</w:t>
      </w:r>
      <w:proofErr w:type="spellEnd"/>
      <w:r w:rsidRPr="004A2E9E">
        <w:rPr>
          <w:rFonts w:ascii="Arial" w:hAnsi="Arial" w:cs="Arial"/>
          <w:color w:val="000000"/>
        </w:rPr>
        <w:t xml:space="preserve"> </w:t>
      </w:r>
      <w:proofErr w:type="spellStart"/>
      <w:r w:rsidRPr="004A2E9E">
        <w:rPr>
          <w:rFonts w:ascii="Arial" w:hAnsi="Arial" w:cs="Arial"/>
          <w:color w:val="000000"/>
        </w:rPr>
        <w:t>KMeans</w:t>
      </w:r>
      <w:proofErr w:type="spellEnd"/>
      <w:r w:rsidRPr="004A2E9E">
        <w:rPr>
          <w:rFonts w:ascii="Arial" w:hAnsi="Arial" w:cs="Arial"/>
          <w:color w:val="000000"/>
        </w:rPr>
        <w:t xml:space="preserve"> class on </w:t>
      </w:r>
      <w:r w:rsidR="007D0E0A">
        <w:rPr>
          <w:rFonts w:ascii="Arial" w:hAnsi="Arial" w:cs="Arial"/>
          <w:color w:val="000000"/>
        </w:rPr>
        <w:t>sequence similarity</w:t>
      </w:r>
      <w:r w:rsidRPr="004A2E9E">
        <w:rPr>
          <w:rFonts w:ascii="Arial" w:hAnsi="Arial" w:cs="Arial"/>
          <w:color w:val="000000"/>
        </w:rPr>
        <w:t xml:space="preserve"> calculated with a Point Accepted Mutation (PAM)</w:t>
      </w:r>
      <w:r w:rsidR="007D0E0A">
        <w:rPr>
          <w:rFonts w:ascii="Arial" w:hAnsi="Arial" w:cs="Arial"/>
          <w:color w:val="000000"/>
        </w:rPr>
        <w:t xml:space="preserve"> 250</w:t>
      </w:r>
      <w:r w:rsidRPr="004A2E9E">
        <w:rPr>
          <w:rFonts w:ascii="Arial" w:hAnsi="Arial" w:cs="Arial"/>
          <w:color w:val="000000"/>
        </w:rPr>
        <w:t xml:space="preserve"> matrix. More specifically, the distance calculation was adapted from methods previously developed by Adam Weiner</w:t>
      </w:r>
      <w:r w:rsidR="00562FF8">
        <w:rPr>
          <w:rFonts w:ascii="Arial" w:hAnsi="Arial" w:cs="Arial"/>
          <w:color w:val="000000" w:themeColor="text1"/>
          <w:vertAlign w:val="superscript"/>
        </w:rPr>
        <w:t>4</w:t>
      </w:r>
      <w:r w:rsidRPr="004A2E9E">
        <w:rPr>
          <w:rFonts w:ascii="Arial" w:hAnsi="Arial" w:cs="Arial"/>
          <w:color w:val="000000"/>
        </w:rPr>
        <w:t>.</w:t>
      </w:r>
      <w:r w:rsidRPr="004A2E9E">
        <w:rPr>
          <w:rFonts w:ascii="Arial" w:hAnsi="Arial" w:cs="Arial"/>
          <w:color w:val="000000"/>
          <w:sz w:val="14"/>
          <w:szCs w:val="14"/>
          <w:vertAlign w:val="superscript"/>
        </w:rPr>
        <w:t xml:space="preserve"> </w:t>
      </w:r>
      <w:r w:rsidR="007D0E0A">
        <w:rPr>
          <w:rFonts w:ascii="Arial" w:hAnsi="Arial" w:cs="Arial"/>
          <w:color w:val="000000"/>
        </w:rPr>
        <w:t xml:space="preserve">The </w:t>
      </w:r>
      <w:r w:rsidR="00743535" w:rsidRPr="00743535">
        <w:rPr>
          <w:rFonts w:ascii="Arial" w:hAnsi="Arial" w:cs="Arial"/>
          <w:color w:val="000000"/>
        </w:rPr>
        <w:t>us</w:t>
      </w:r>
      <w:r w:rsidR="007D0E0A">
        <w:rPr>
          <w:rFonts w:ascii="Arial" w:hAnsi="Arial" w:cs="Arial"/>
          <w:color w:val="000000"/>
        </w:rPr>
        <w:t>e of</w:t>
      </w:r>
      <w:r w:rsidR="00743535" w:rsidRPr="00743535">
        <w:rPr>
          <w:rFonts w:ascii="Arial" w:hAnsi="Arial" w:cs="Arial"/>
          <w:color w:val="000000"/>
        </w:rPr>
        <w:t xml:space="preserve"> transition matrix</w:t>
      </w:r>
      <w:r w:rsidR="007D0E0A">
        <w:rPr>
          <w:rFonts w:ascii="Arial" w:hAnsi="Arial" w:cs="Arial"/>
          <w:color w:val="000000"/>
        </w:rPr>
        <w:t xml:space="preserve"> PAM</w:t>
      </w:r>
      <w:r w:rsidR="00743535" w:rsidRPr="00743535">
        <w:rPr>
          <w:rFonts w:ascii="Arial" w:hAnsi="Arial" w:cs="Arial"/>
          <w:color w:val="000000"/>
        </w:rPr>
        <w:t xml:space="preserve"> enables the pair-wise calculation of sequence distance accounting for the structural and biophysical consequences of different residues being present in both sequences</w:t>
      </w:r>
      <w:r w:rsidRPr="004A2E9E">
        <w:rPr>
          <w:rFonts w:ascii="Arial" w:hAnsi="Arial" w:cs="Arial"/>
          <w:color w:val="000000"/>
        </w:rPr>
        <w:t>. The sequences were first processed such that only the three amino acids surrounding</w:t>
      </w:r>
      <w:r w:rsidR="00743535">
        <w:rPr>
          <w:rFonts w:ascii="Arial" w:hAnsi="Arial" w:cs="Arial"/>
          <w:color w:val="000000"/>
        </w:rPr>
        <w:t xml:space="preserve"> upstream and downstream</w:t>
      </w:r>
      <w:r w:rsidRPr="004A2E9E">
        <w:rPr>
          <w:rFonts w:ascii="Arial" w:hAnsi="Arial" w:cs="Arial"/>
          <w:color w:val="000000"/>
        </w:rPr>
        <w:t xml:space="preserve"> the phosphorylation site would be analyzed, thus assuming that their proximity indicated a greater role in kinase specificity. If any amino acids were missing, they were randomly generated, and the resultant sequences were formatted into a FASTA file.</w:t>
      </w:r>
      <w:r w:rsidR="00743535">
        <w:rPr>
          <w:rFonts w:ascii="Arial" w:hAnsi="Arial" w:cs="Arial"/>
          <w:color w:val="000000"/>
        </w:rPr>
        <w:t xml:space="preserve"> </w:t>
      </w:r>
      <w:r w:rsidRPr="004A2E9E">
        <w:rPr>
          <w:rFonts w:ascii="Arial" w:hAnsi="Arial" w:cs="Arial"/>
          <w:color w:val="000000"/>
        </w:rPr>
        <w:t xml:space="preserve">The Distance class defined in distance.py was initialized by inputting this FASTA file and “PAM250” to specify the implementation of this substitution matrix (outlined in sub_matrix.py). The distance matrix attribute was then called as the input to </w:t>
      </w:r>
      <w:proofErr w:type="spellStart"/>
      <w:r w:rsidRPr="004A2E9E">
        <w:rPr>
          <w:rFonts w:ascii="Arial" w:hAnsi="Arial" w:cs="Arial"/>
          <w:color w:val="000000"/>
        </w:rPr>
        <w:t>kMeans</w:t>
      </w:r>
      <w:proofErr w:type="spellEnd"/>
      <w:r w:rsidRPr="004A2E9E">
        <w:rPr>
          <w:rFonts w:ascii="Arial" w:hAnsi="Arial" w:cs="Arial"/>
          <w:color w:val="000000"/>
        </w:rPr>
        <w:t>, thus creating the specified 25 clusters.</w:t>
      </w:r>
    </w:p>
    <w:p w14:paraId="4C109EA9" w14:textId="77777777" w:rsidR="00490E97" w:rsidRPr="004A2E9E" w:rsidRDefault="00490E97" w:rsidP="00743535">
      <w:pPr>
        <w:spacing w:line="276" w:lineRule="auto"/>
        <w:jc w:val="both"/>
      </w:pPr>
    </w:p>
    <w:p w14:paraId="56FCC7C3" w14:textId="58E48CF3" w:rsidR="004A2E9E" w:rsidRPr="004A2E9E" w:rsidRDefault="004A2E9E" w:rsidP="007D0E0A">
      <w:pPr>
        <w:spacing w:line="276" w:lineRule="auto"/>
        <w:ind w:firstLine="720"/>
        <w:jc w:val="both"/>
      </w:pPr>
      <w:r w:rsidRPr="004A2E9E">
        <w:rPr>
          <w:rFonts w:ascii="Arial" w:hAnsi="Arial" w:cs="Arial"/>
          <w:color w:val="000000"/>
        </w:rPr>
        <w:t>Finally, a new PLSR model was generated using the average phosphorylation measurements in each culture condition among each cluster. Explicitly, these averages reduced the number of variables to 25, but the number of observations and phenotypic measurements remained the same.</w:t>
      </w:r>
    </w:p>
    <w:p w14:paraId="1225F702" w14:textId="2E15815E" w:rsidR="00647463" w:rsidRDefault="00562FF8" w:rsidP="00490E97">
      <w:pPr>
        <w:spacing w:before="100" w:beforeAutospacing="1" w:after="100" w:afterAutospacing="1" w:line="276" w:lineRule="auto"/>
        <w:jc w:val="both"/>
        <w:rPr>
          <w:rFonts w:ascii="Arial" w:hAnsi="Arial" w:cs="Arial"/>
          <w:b/>
          <w:bCs/>
          <w:color w:val="000000" w:themeColor="text1"/>
          <w:sz w:val="26"/>
          <w:szCs w:val="26"/>
        </w:rPr>
      </w:pPr>
      <w:r>
        <w:rPr>
          <w:rFonts w:ascii="Arial" w:hAnsi="Arial" w:cs="Arial"/>
          <w:b/>
          <w:bCs/>
          <w:color w:val="000000" w:themeColor="text1"/>
          <w:sz w:val="26"/>
          <w:szCs w:val="26"/>
        </w:rPr>
        <w:t>RESULTS</w:t>
      </w:r>
    </w:p>
    <w:p w14:paraId="3DF9D76A" w14:textId="3731B095" w:rsidR="006B6932" w:rsidRPr="00854DB3" w:rsidRDefault="000F058F" w:rsidP="00490E97">
      <w:pPr>
        <w:spacing w:before="100" w:beforeAutospacing="1" w:after="100" w:afterAutospacing="1" w:line="276" w:lineRule="auto"/>
        <w:jc w:val="both"/>
        <w:rPr>
          <w:rFonts w:ascii="Arial" w:hAnsi="Arial" w:cs="Arial"/>
          <w:bCs/>
          <w:i/>
          <w:color w:val="000000" w:themeColor="text1"/>
        </w:rPr>
      </w:pPr>
      <w:r>
        <w:rPr>
          <w:rFonts w:ascii="Arial" w:hAnsi="Arial" w:cs="Arial"/>
          <w:bCs/>
          <w:i/>
          <w:color w:val="000000" w:themeColor="text1"/>
        </w:rPr>
        <w:t xml:space="preserve">PLSR </w:t>
      </w:r>
      <w:r w:rsidR="00166494" w:rsidRPr="00854DB3">
        <w:rPr>
          <w:rFonts w:ascii="Arial" w:hAnsi="Arial" w:cs="Arial"/>
          <w:bCs/>
          <w:i/>
          <w:color w:val="000000" w:themeColor="text1"/>
        </w:rPr>
        <w:t>predicts AXL expression but fails to predict cell viability</w:t>
      </w:r>
    </w:p>
    <w:p w14:paraId="12D23DED" w14:textId="0FC3B738" w:rsidR="00F65778" w:rsidRDefault="00854DB3" w:rsidP="007D0E0A">
      <w:pPr>
        <w:spacing w:before="100" w:beforeAutospacing="1" w:after="100" w:afterAutospacing="1" w:line="276" w:lineRule="auto"/>
        <w:ind w:firstLine="720"/>
        <w:jc w:val="both"/>
        <w:rPr>
          <w:rFonts w:ascii="Arial" w:hAnsi="Arial" w:cs="Arial"/>
          <w:bCs/>
          <w:color w:val="000000" w:themeColor="text1"/>
        </w:rPr>
      </w:pPr>
      <w:r w:rsidRPr="00854DB3">
        <w:rPr>
          <w:rFonts w:ascii="Arial" w:hAnsi="Arial" w:cs="Arial"/>
          <w:bCs/>
          <w:color w:val="000000" w:themeColor="text1"/>
        </w:rPr>
        <w:t xml:space="preserve">By assessing the predictive capabilities of our PLSR models, we found that AXL expression </w:t>
      </w:r>
      <w:r>
        <w:rPr>
          <w:rFonts w:ascii="Arial" w:hAnsi="Arial" w:cs="Arial"/>
          <w:bCs/>
          <w:color w:val="000000" w:themeColor="text1"/>
        </w:rPr>
        <w:t>is acceptably predicted with saturating Q2Y values of 0.808 at 3 components and a decent correlation between predicted versus measured expression levels (</w:t>
      </w:r>
      <w:r w:rsidR="00562FF8">
        <w:rPr>
          <w:rFonts w:ascii="Arial" w:hAnsi="Arial" w:cs="Arial"/>
          <w:bCs/>
          <w:color w:val="000000" w:themeColor="text1"/>
        </w:rPr>
        <w:t>F</w:t>
      </w:r>
      <w:r>
        <w:rPr>
          <w:rFonts w:ascii="Arial" w:hAnsi="Arial" w:cs="Arial"/>
          <w:bCs/>
          <w:color w:val="000000" w:themeColor="text1"/>
        </w:rPr>
        <w:t>ig. 1a and b left). However, the PLSR model failed to predict cell viability</w:t>
      </w:r>
      <w:r w:rsidR="00490E97">
        <w:rPr>
          <w:rFonts w:ascii="Arial" w:hAnsi="Arial" w:cs="Arial"/>
          <w:bCs/>
          <w:color w:val="000000" w:themeColor="text1"/>
        </w:rPr>
        <w:t>, indicated by consistent negative Q2Y values by testing model performance while varying the number of components from 1 to 4. Likewise, no correlation was observed between the predicted versus the measured cell viability (</w:t>
      </w:r>
      <w:r w:rsidR="00562FF8">
        <w:rPr>
          <w:rFonts w:ascii="Arial" w:hAnsi="Arial" w:cs="Arial"/>
          <w:bCs/>
          <w:color w:val="000000" w:themeColor="text1"/>
        </w:rPr>
        <w:t>F</w:t>
      </w:r>
      <w:r w:rsidR="00490E97">
        <w:rPr>
          <w:rFonts w:ascii="Arial" w:hAnsi="Arial" w:cs="Arial"/>
          <w:bCs/>
          <w:color w:val="000000" w:themeColor="text1"/>
        </w:rPr>
        <w:t>ig. 1a and b right). It is worth noting that only 6 observations were fitted to the cell viability PLSR model for the 300 variables whereas in the AXL PLSR model 10 observations were included for the same number of variables.</w:t>
      </w:r>
      <w:r w:rsidR="00CB06EF">
        <w:rPr>
          <w:rFonts w:ascii="Arial" w:hAnsi="Arial" w:cs="Arial"/>
          <w:bCs/>
          <w:color w:val="000000" w:themeColor="text1"/>
        </w:rPr>
        <w:t xml:space="preserve"> </w:t>
      </w:r>
      <w:r w:rsidR="001C4F9E">
        <w:rPr>
          <w:rFonts w:ascii="Arial" w:hAnsi="Arial" w:cs="Arial"/>
          <w:bCs/>
          <w:color w:val="000000" w:themeColor="text1"/>
        </w:rPr>
        <w:t xml:space="preserve">The generated scores and loadings </w:t>
      </w:r>
      <w:r w:rsidR="00CB06EF">
        <w:rPr>
          <w:rFonts w:ascii="Arial" w:hAnsi="Arial" w:cs="Arial"/>
          <w:bCs/>
          <w:color w:val="000000" w:themeColor="text1"/>
        </w:rPr>
        <w:t>plot</w:t>
      </w:r>
      <w:r w:rsidR="001C4F9E">
        <w:rPr>
          <w:rFonts w:ascii="Arial" w:hAnsi="Arial" w:cs="Arial"/>
          <w:bCs/>
          <w:color w:val="000000" w:themeColor="text1"/>
        </w:rPr>
        <w:t xml:space="preserve"> for both PLSR models show covariations with respect to principal components</w:t>
      </w:r>
      <w:r w:rsidR="00CB06EF">
        <w:rPr>
          <w:rFonts w:ascii="Arial" w:hAnsi="Arial" w:cs="Arial"/>
          <w:bCs/>
          <w:color w:val="000000" w:themeColor="text1"/>
        </w:rPr>
        <w:t xml:space="preserve"> (PC)</w:t>
      </w:r>
      <w:r w:rsidR="001C4F9E">
        <w:rPr>
          <w:rFonts w:ascii="Arial" w:hAnsi="Arial" w:cs="Arial"/>
          <w:bCs/>
          <w:color w:val="000000" w:themeColor="text1"/>
        </w:rPr>
        <w:t xml:space="preserve"> 1 and 2 consistent with what we would expect. Regarding the AXL expression model, we observe AXL KO cell populations varying in the opposite direction than the </w:t>
      </w:r>
      <w:r w:rsidR="00CB06EF">
        <w:rPr>
          <w:rFonts w:ascii="Arial" w:hAnsi="Arial" w:cs="Arial"/>
          <w:bCs/>
          <w:color w:val="000000" w:themeColor="text1"/>
        </w:rPr>
        <w:t xml:space="preserve">AXL expression loading from PC1 and 2. Interestingly, the cell population treated with erlotinib and </w:t>
      </w:r>
      <w:r w:rsidR="007D0E0A">
        <w:rPr>
          <w:rFonts w:ascii="Arial" w:hAnsi="Arial" w:cs="Arial"/>
          <w:bCs/>
          <w:color w:val="000000" w:themeColor="text1"/>
        </w:rPr>
        <w:t>HGF and FGF</w:t>
      </w:r>
      <w:r w:rsidR="00CB06EF">
        <w:rPr>
          <w:rFonts w:ascii="Arial" w:hAnsi="Arial" w:cs="Arial"/>
          <w:bCs/>
          <w:color w:val="000000" w:themeColor="text1"/>
        </w:rPr>
        <w:t xml:space="preserve"> show similar covariation than the AXL expression loading which is not the case for the </w:t>
      </w:r>
      <w:r w:rsidR="007D0E0A">
        <w:rPr>
          <w:rFonts w:ascii="Arial" w:hAnsi="Arial" w:cs="Arial"/>
          <w:bCs/>
          <w:color w:val="000000" w:themeColor="text1"/>
        </w:rPr>
        <w:t xml:space="preserve">IGF driven </w:t>
      </w:r>
      <w:r w:rsidR="00CB06EF">
        <w:rPr>
          <w:rFonts w:ascii="Arial" w:hAnsi="Arial" w:cs="Arial"/>
          <w:bCs/>
          <w:color w:val="000000" w:themeColor="text1"/>
        </w:rPr>
        <w:t>bypass resistance cell population</w:t>
      </w:r>
      <w:r w:rsidR="007D0E0A">
        <w:rPr>
          <w:rFonts w:ascii="Arial" w:hAnsi="Arial" w:cs="Arial"/>
          <w:bCs/>
          <w:color w:val="000000" w:themeColor="text1"/>
        </w:rPr>
        <w:t xml:space="preserve">. </w:t>
      </w:r>
      <w:r w:rsidR="002A71A0">
        <w:rPr>
          <w:rFonts w:ascii="Arial" w:hAnsi="Arial" w:cs="Arial"/>
          <w:bCs/>
          <w:color w:val="000000" w:themeColor="text1"/>
        </w:rPr>
        <w:t>Similarly, the cell viability PLSR scores and loadings plot show the negative effect of erlotinib in cell viability, which is partially rescued by the administration of HGF and FGF. It seems unrealistic, however, that the R428 cell population position in the scores plot suggests a positive causal relationship with cell viability. This might be due to lack of cohesion between the cell viability measurements obtained from disparate sources</w:t>
      </w:r>
      <w:r w:rsidR="00F65778">
        <w:rPr>
          <w:rFonts w:ascii="Arial" w:hAnsi="Arial" w:cs="Arial"/>
          <w:bCs/>
          <w:color w:val="000000" w:themeColor="text1"/>
        </w:rPr>
        <w:t xml:space="preserve"> (</w:t>
      </w:r>
      <w:r w:rsidR="007D0E0A">
        <w:rPr>
          <w:rFonts w:ascii="Arial" w:hAnsi="Arial" w:cs="Arial"/>
          <w:bCs/>
          <w:color w:val="000000" w:themeColor="text1"/>
        </w:rPr>
        <w:t>F</w:t>
      </w:r>
      <w:r w:rsidR="00F65778">
        <w:rPr>
          <w:rFonts w:ascii="Arial" w:hAnsi="Arial" w:cs="Arial"/>
          <w:bCs/>
          <w:color w:val="000000" w:themeColor="text1"/>
        </w:rPr>
        <w:t>ig.</w:t>
      </w:r>
      <w:r w:rsidR="007D0E0A">
        <w:rPr>
          <w:rFonts w:ascii="Arial" w:hAnsi="Arial" w:cs="Arial"/>
          <w:bCs/>
          <w:color w:val="000000" w:themeColor="text1"/>
        </w:rPr>
        <w:t xml:space="preserve"> </w:t>
      </w:r>
      <w:r w:rsidR="00F65778">
        <w:rPr>
          <w:rFonts w:ascii="Arial" w:hAnsi="Arial" w:cs="Arial"/>
          <w:bCs/>
          <w:color w:val="000000" w:themeColor="text1"/>
        </w:rPr>
        <w:t>2</w:t>
      </w:r>
      <w:r w:rsidR="007D0E0A">
        <w:rPr>
          <w:rFonts w:ascii="Arial" w:hAnsi="Arial" w:cs="Arial"/>
          <w:bCs/>
          <w:color w:val="000000" w:themeColor="text1"/>
        </w:rPr>
        <w:t>c</w:t>
      </w:r>
      <w:r w:rsidR="00F65778">
        <w:rPr>
          <w:rFonts w:ascii="Arial" w:hAnsi="Arial" w:cs="Arial"/>
          <w:bCs/>
          <w:color w:val="000000" w:themeColor="text1"/>
        </w:rPr>
        <w:t>)</w:t>
      </w:r>
      <w:r w:rsidR="002A71A0">
        <w:rPr>
          <w:rFonts w:ascii="Arial" w:hAnsi="Arial" w:cs="Arial"/>
          <w:bCs/>
          <w:color w:val="000000" w:themeColor="text1"/>
        </w:rPr>
        <w:t>.</w:t>
      </w:r>
    </w:p>
    <w:p w14:paraId="52CEEE43" w14:textId="10FA2F65" w:rsidR="00F65778" w:rsidRPr="00F65778" w:rsidRDefault="00562FF8" w:rsidP="00F65778">
      <w:pPr>
        <w:spacing w:before="100" w:beforeAutospacing="1" w:after="100" w:afterAutospacing="1" w:line="276" w:lineRule="auto"/>
        <w:jc w:val="both"/>
        <w:rPr>
          <w:rFonts w:ascii="Arial" w:hAnsi="Arial" w:cs="Arial"/>
          <w:bCs/>
          <w:color w:val="000000" w:themeColor="text1"/>
          <w:sz w:val="2"/>
          <w:szCs w:val="2"/>
        </w:rPr>
      </w:pPr>
      <w:r>
        <w:rPr>
          <w:rFonts w:ascii="Arial" w:hAnsi="Arial" w:cs="Arial"/>
          <w:b/>
          <w:bCs/>
          <w:noProof/>
          <w:color w:val="823A2D"/>
          <w:sz w:val="20"/>
          <w:szCs w:val="20"/>
        </w:rPr>
        <w:lastRenderedPageBreak/>
        <mc:AlternateContent>
          <mc:Choice Requires="wps">
            <w:drawing>
              <wp:anchor distT="0" distB="0" distL="114300" distR="114300" simplePos="0" relativeHeight="251680768" behindDoc="0" locked="0" layoutInCell="1" allowOverlap="1" wp14:anchorId="52D542EF" wp14:editId="21FDE295">
                <wp:simplePos x="0" y="0"/>
                <wp:positionH relativeFrom="column">
                  <wp:posOffset>3302000</wp:posOffset>
                </wp:positionH>
                <wp:positionV relativeFrom="paragraph">
                  <wp:posOffset>1678940</wp:posOffset>
                </wp:positionV>
                <wp:extent cx="106680" cy="45719"/>
                <wp:effectExtent l="0" t="0" r="7620" b="18415"/>
                <wp:wrapNone/>
                <wp:docPr id="29" name="Rectangle 29"/>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C88A2" id="Rectangle 29" o:spid="_x0000_s1026" style="position:absolute;margin-left:260pt;margin-top:132.2pt;width:8.4pt;height:3.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" fillcolor="white [3212]" strokecolor="white [3212]" strokeweight="1pt"/>
            </w:pict>
          </mc:Fallback>
        </mc:AlternateContent>
      </w:r>
      <w:r>
        <w:rPr>
          <w:rFonts w:ascii="Arial" w:hAnsi="Arial" w:cs="Arial"/>
          <w:b/>
          <w:bCs/>
          <w:noProof/>
          <w:color w:val="823A2D"/>
          <w:sz w:val="20"/>
          <w:szCs w:val="20"/>
        </w:rPr>
        <mc:AlternateContent>
          <mc:Choice Requires="wps">
            <w:drawing>
              <wp:anchor distT="0" distB="0" distL="114300" distR="114300" simplePos="0" relativeHeight="251678720" behindDoc="0" locked="0" layoutInCell="1" allowOverlap="1" wp14:anchorId="33D3B9F6" wp14:editId="284DBD14">
                <wp:simplePos x="0" y="0"/>
                <wp:positionH relativeFrom="column">
                  <wp:posOffset>2900680</wp:posOffset>
                </wp:positionH>
                <wp:positionV relativeFrom="paragraph">
                  <wp:posOffset>1678940</wp:posOffset>
                </wp:positionV>
                <wp:extent cx="106680" cy="45719"/>
                <wp:effectExtent l="0" t="0" r="7620" b="18415"/>
                <wp:wrapNone/>
                <wp:docPr id="28" name="Rectangle 28"/>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17BA1" id="Rectangle 28" o:spid="_x0000_s1026" style="position:absolute;margin-left:228.4pt;margin-top:132.2pt;width:8.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" fillcolor="white [3212]" strokecolor="white [3212]" strokeweight="1pt"/>
            </w:pict>
          </mc:Fallback>
        </mc:AlternateContent>
      </w:r>
      <w:r>
        <w:rPr>
          <w:rFonts w:ascii="Arial" w:hAnsi="Arial" w:cs="Arial"/>
          <w:b/>
          <w:bCs/>
          <w:noProof/>
          <w:color w:val="823A2D"/>
          <w:sz w:val="20"/>
          <w:szCs w:val="20"/>
        </w:rPr>
        <mc:AlternateContent>
          <mc:Choice Requires="wps">
            <w:drawing>
              <wp:anchor distT="0" distB="0" distL="114300" distR="114300" simplePos="0" relativeHeight="251676672" behindDoc="0" locked="0" layoutInCell="1" allowOverlap="1" wp14:anchorId="7EB63C0B" wp14:editId="7585A550">
                <wp:simplePos x="0" y="0"/>
                <wp:positionH relativeFrom="column">
                  <wp:posOffset>2496185</wp:posOffset>
                </wp:positionH>
                <wp:positionV relativeFrom="paragraph">
                  <wp:posOffset>1678940</wp:posOffset>
                </wp:positionV>
                <wp:extent cx="106680" cy="45719"/>
                <wp:effectExtent l="0" t="0" r="7620" b="18415"/>
                <wp:wrapNone/>
                <wp:docPr id="27" name="Rectangle 27"/>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279B29" id="Rectangle 27" o:spid="_x0000_s1026" style="position:absolute;margin-left:196.55pt;margin-top:132.2pt;width:8.4pt;height:3.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" fillcolor="white [3212]" strokecolor="white [3212]" strokeweight="1pt"/>
            </w:pict>
          </mc:Fallback>
        </mc:AlternateContent>
      </w:r>
    </w:p>
    <w:p w14:paraId="091A22CB" w14:textId="26EA98F1" w:rsidR="005C2109" w:rsidRPr="00F65778" w:rsidRDefault="00F65778" w:rsidP="00F65778">
      <w:pPr>
        <w:spacing w:before="100" w:beforeAutospacing="1" w:after="100" w:afterAutospacing="1" w:line="276" w:lineRule="auto"/>
        <w:rPr>
          <w:rFonts w:ascii="Arial" w:hAnsi="Arial" w:cs="Arial"/>
          <w:b/>
          <w:bCs/>
          <w:color w:val="000000" w:themeColor="text1"/>
          <w:sz w:val="26"/>
          <w:szCs w:val="26"/>
        </w:rPr>
      </w:pPr>
      <w:r>
        <w:rPr>
          <w:rFonts w:ascii="Arial" w:hAnsi="Arial" w:cs="Arial"/>
          <w:b/>
          <w:bCs/>
          <w:noProof/>
          <w:color w:val="823A2D"/>
          <w:sz w:val="20"/>
          <w:szCs w:val="20"/>
        </w:rPr>
        <w:drawing>
          <wp:anchor distT="0" distB="0" distL="114300" distR="114300" simplePos="0" relativeHeight="251667456" behindDoc="0" locked="0" layoutInCell="1" allowOverlap="1" wp14:anchorId="3EF2879A" wp14:editId="045BEE17">
            <wp:simplePos x="0" y="0"/>
            <wp:positionH relativeFrom="column">
              <wp:posOffset>0</wp:posOffset>
            </wp:positionH>
            <wp:positionV relativeFrom="page">
              <wp:posOffset>709161</wp:posOffset>
            </wp:positionV>
            <wp:extent cx="4812030" cy="7459345"/>
            <wp:effectExtent l="0" t="0" r="127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2.eps"/>
                    <pic:cNvPicPr/>
                  </pic:nvPicPr>
                  <pic:blipFill>
                    <a:blip r:embed="rId9">
                      <a:extLst>
                        <a:ext uri="{28A0092B-C50C-407E-A947-70E740481C1C}">
                          <a14:useLocalDpi xmlns:a14="http://schemas.microsoft.com/office/drawing/2010/main" val="0"/>
                        </a:ext>
                      </a:extLst>
                    </a:blip>
                    <a:stretch>
                      <a:fillRect/>
                    </a:stretch>
                  </pic:blipFill>
                  <pic:spPr>
                    <a:xfrm>
                      <a:off x="0" y="0"/>
                      <a:ext cx="4812030" cy="7459345"/>
                    </a:xfrm>
                    <a:prstGeom prst="rect">
                      <a:avLst/>
                    </a:prstGeom>
                  </pic:spPr>
                </pic:pic>
              </a:graphicData>
            </a:graphic>
            <wp14:sizeRelH relativeFrom="page">
              <wp14:pctWidth>0</wp14:pctWidth>
            </wp14:sizeRelH>
            <wp14:sizeRelV relativeFrom="page">
              <wp14:pctHeight>0</wp14:pctHeight>
            </wp14:sizeRelV>
          </wp:anchor>
        </w:drawing>
      </w:r>
      <w:r w:rsidR="00854DB3">
        <w:rPr>
          <w:rFonts w:ascii="Arial" w:hAnsi="Arial" w:cs="Arial"/>
          <w:b/>
          <w:bCs/>
          <w:noProof/>
          <w:color w:val="823A2D"/>
          <w:sz w:val="20"/>
          <w:szCs w:val="20"/>
        </w:rPr>
        <mc:AlternateContent>
          <mc:Choice Requires="wps">
            <w:drawing>
              <wp:anchor distT="0" distB="0" distL="114300" distR="114300" simplePos="0" relativeHeight="251666432" behindDoc="0" locked="0" layoutInCell="1" allowOverlap="1" wp14:anchorId="2EDD9D91" wp14:editId="55ABC5BE">
                <wp:simplePos x="0" y="0"/>
                <wp:positionH relativeFrom="column">
                  <wp:posOffset>3346181</wp:posOffset>
                </wp:positionH>
                <wp:positionV relativeFrom="paragraph">
                  <wp:posOffset>1903095</wp:posOffset>
                </wp:positionV>
                <wp:extent cx="89494" cy="50584"/>
                <wp:effectExtent l="0" t="0" r="0" b="635"/>
                <wp:wrapNone/>
                <wp:docPr id="19" name="Rectangle 19"/>
                <wp:cNvGraphicFramePr/>
                <a:graphic xmlns:a="http://schemas.openxmlformats.org/drawingml/2006/main">
                  <a:graphicData uri="http://schemas.microsoft.com/office/word/2010/wordprocessingShape">
                    <wps:wsp>
                      <wps:cNvSpPr/>
                      <wps:spPr>
                        <a:xfrm>
                          <a:off x="0" y="0"/>
                          <a:ext cx="89494" cy="50584"/>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2C9134" id="Rectangle 19" o:spid="_x0000_s1026" style="position:absolute;margin-left:263.5pt;margin-top:149.85pt;width:7.05pt;height: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" fillcolor="white [3201]" stroked="f" strokeweight="1pt"/>
            </w:pict>
          </mc:Fallback>
        </mc:AlternateContent>
      </w:r>
      <w:r w:rsidR="00854DB3">
        <w:rPr>
          <w:rFonts w:ascii="Arial" w:hAnsi="Arial" w:cs="Arial"/>
          <w:b/>
          <w:bCs/>
          <w:noProof/>
          <w:color w:val="823A2D"/>
          <w:sz w:val="20"/>
          <w:szCs w:val="20"/>
        </w:rPr>
        <mc:AlternateContent>
          <mc:Choice Requires="wps">
            <w:drawing>
              <wp:anchor distT="0" distB="0" distL="114300" distR="114300" simplePos="0" relativeHeight="251664384" behindDoc="0" locked="0" layoutInCell="1" allowOverlap="1" wp14:anchorId="2F2F0127" wp14:editId="150D4951">
                <wp:simplePos x="0" y="0"/>
                <wp:positionH relativeFrom="column">
                  <wp:posOffset>2943225</wp:posOffset>
                </wp:positionH>
                <wp:positionV relativeFrom="paragraph">
                  <wp:posOffset>1903138</wp:posOffset>
                </wp:positionV>
                <wp:extent cx="89494" cy="50584"/>
                <wp:effectExtent l="0" t="0" r="0" b="635"/>
                <wp:wrapNone/>
                <wp:docPr id="18" name="Rectangle 18"/>
                <wp:cNvGraphicFramePr/>
                <a:graphic xmlns:a="http://schemas.openxmlformats.org/drawingml/2006/main">
                  <a:graphicData uri="http://schemas.microsoft.com/office/word/2010/wordprocessingShape">
                    <wps:wsp>
                      <wps:cNvSpPr/>
                      <wps:spPr>
                        <a:xfrm>
                          <a:off x="0" y="0"/>
                          <a:ext cx="89494" cy="50584"/>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EA2224" id="Rectangle 18" o:spid="_x0000_s1026" style="position:absolute;margin-left:231.75pt;margin-top:149.85pt;width:7.05pt;height: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" fillcolor="white [3201]" stroked="f" strokeweight="1pt"/>
            </w:pict>
          </mc:Fallback>
        </mc:AlternateContent>
      </w:r>
      <w:r w:rsidR="00854DB3">
        <w:rPr>
          <w:rFonts w:ascii="Arial" w:hAnsi="Arial" w:cs="Arial"/>
          <w:b/>
          <w:bCs/>
          <w:noProof/>
          <w:color w:val="823A2D"/>
          <w:sz w:val="20"/>
          <w:szCs w:val="20"/>
        </w:rPr>
        <mc:AlternateContent>
          <mc:Choice Requires="wps">
            <w:drawing>
              <wp:anchor distT="0" distB="0" distL="114300" distR="114300" simplePos="0" relativeHeight="251662336" behindDoc="0" locked="0" layoutInCell="1" allowOverlap="1" wp14:anchorId="3FD97CCC" wp14:editId="54CC2EF7">
                <wp:simplePos x="0" y="0"/>
                <wp:positionH relativeFrom="column">
                  <wp:posOffset>2516505</wp:posOffset>
                </wp:positionH>
                <wp:positionV relativeFrom="paragraph">
                  <wp:posOffset>1902379</wp:posOffset>
                </wp:positionV>
                <wp:extent cx="89494" cy="50584"/>
                <wp:effectExtent l="0" t="0" r="0" b="635"/>
                <wp:wrapNone/>
                <wp:docPr id="17" name="Rectangle 17"/>
                <wp:cNvGraphicFramePr/>
                <a:graphic xmlns:a="http://schemas.openxmlformats.org/drawingml/2006/main">
                  <a:graphicData uri="http://schemas.microsoft.com/office/word/2010/wordprocessingShape">
                    <wps:wsp>
                      <wps:cNvSpPr/>
                      <wps:spPr>
                        <a:xfrm>
                          <a:off x="0" y="0"/>
                          <a:ext cx="89494" cy="50584"/>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EAC139" id="Rectangle 17" o:spid="_x0000_s1026" style="position:absolute;margin-left:198.15pt;margin-top:149.8pt;width:7.05pt;height: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" fillcolor="white [3201]" stroked="f" strokeweight="1pt"/>
            </w:pict>
          </mc:Fallback>
        </mc:AlternateContent>
      </w:r>
      <w:r w:rsidR="00647463" w:rsidRPr="00647463">
        <w:rPr>
          <w:rFonts w:ascii="Arial" w:hAnsi="Arial" w:cs="Arial"/>
          <w:b/>
          <w:bCs/>
          <w:color w:val="000000" w:themeColor="text1"/>
          <w:sz w:val="20"/>
          <w:szCs w:val="20"/>
        </w:rPr>
        <w:t>Figure 2. P</w:t>
      </w:r>
      <w:r w:rsidR="005C2109">
        <w:rPr>
          <w:rFonts w:ascii="Arial" w:hAnsi="Arial" w:cs="Arial"/>
          <w:b/>
          <w:bCs/>
          <w:color w:val="000000" w:themeColor="text1"/>
          <w:sz w:val="20"/>
          <w:szCs w:val="20"/>
        </w:rPr>
        <w:t>LSR model clustered by sequence similarity</w:t>
      </w:r>
      <w:r w:rsidR="005C2109">
        <w:rPr>
          <w:rFonts w:ascii="Arial" w:hAnsi="Arial" w:cs="Arial"/>
          <w:bCs/>
          <w:color w:val="000000" w:themeColor="text1"/>
          <w:sz w:val="20"/>
          <w:szCs w:val="20"/>
        </w:rPr>
        <w:t xml:space="preserve">. </w:t>
      </w:r>
      <w:r w:rsidR="005C2109" w:rsidRPr="005C2109">
        <w:rPr>
          <w:rFonts w:ascii="Arial" w:hAnsi="Arial" w:cs="Arial"/>
          <w:b/>
          <w:bCs/>
          <w:color w:val="000000" w:themeColor="text1"/>
          <w:sz w:val="20"/>
          <w:szCs w:val="20"/>
        </w:rPr>
        <w:t>A</w:t>
      </w:r>
      <w:r w:rsidR="005C2109">
        <w:rPr>
          <w:rFonts w:ascii="Arial" w:hAnsi="Arial" w:cs="Arial"/>
          <w:bCs/>
          <w:color w:val="000000" w:themeColor="text1"/>
          <w:sz w:val="20"/>
          <w:szCs w:val="20"/>
        </w:rPr>
        <w:t xml:space="preserve"> Q2Y and R2Y values across different number of PLSR components for AXL expression (left) and cell viability (right). </w:t>
      </w:r>
      <w:r w:rsidR="005C2109">
        <w:rPr>
          <w:rFonts w:ascii="Arial" w:hAnsi="Arial" w:cs="Arial"/>
          <w:b/>
          <w:bCs/>
          <w:color w:val="000000" w:themeColor="text1"/>
          <w:sz w:val="20"/>
          <w:szCs w:val="20"/>
        </w:rPr>
        <w:t>B</w:t>
      </w:r>
      <w:r w:rsidR="005C2109">
        <w:rPr>
          <w:rFonts w:ascii="Arial" w:hAnsi="Arial" w:cs="Arial"/>
          <w:bCs/>
          <w:color w:val="000000" w:themeColor="text1"/>
          <w:sz w:val="20"/>
          <w:szCs w:val="20"/>
        </w:rPr>
        <w:t xml:space="preserve"> Leave-one-out cross-validation results for </w:t>
      </w:r>
      <w:r w:rsidR="00166494">
        <w:rPr>
          <w:rFonts w:ascii="Arial" w:hAnsi="Arial" w:cs="Arial"/>
          <w:bCs/>
          <w:color w:val="000000" w:themeColor="text1"/>
          <w:sz w:val="20"/>
          <w:szCs w:val="20"/>
        </w:rPr>
        <w:t>both</w:t>
      </w:r>
      <w:r w:rsidR="005C2109">
        <w:rPr>
          <w:rFonts w:ascii="Arial" w:hAnsi="Arial" w:cs="Arial"/>
          <w:bCs/>
          <w:color w:val="000000" w:themeColor="text1"/>
          <w:sz w:val="20"/>
          <w:szCs w:val="20"/>
        </w:rPr>
        <w:t xml:space="preserve"> PLSR model</w:t>
      </w:r>
      <w:r w:rsidR="00166494">
        <w:rPr>
          <w:rFonts w:ascii="Arial" w:hAnsi="Arial" w:cs="Arial"/>
          <w:bCs/>
          <w:color w:val="000000" w:themeColor="text1"/>
          <w:sz w:val="20"/>
          <w:szCs w:val="20"/>
        </w:rPr>
        <w:t>s</w:t>
      </w:r>
      <w:r w:rsidR="005C2109">
        <w:rPr>
          <w:rFonts w:ascii="Arial" w:hAnsi="Arial" w:cs="Arial"/>
          <w:bCs/>
          <w:color w:val="000000" w:themeColor="text1"/>
          <w:sz w:val="20"/>
          <w:szCs w:val="20"/>
        </w:rPr>
        <w:t xml:space="preserve">. </w:t>
      </w:r>
      <w:r w:rsidR="005C2109">
        <w:rPr>
          <w:rFonts w:ascii="Arial" w:hAnsi="Arial" w:cs="Arial"/>
          <w:b/>
          <w:bCs/>
          <w:color w:val="000000" w:themeColor="text1"/>
          <w:sz w:val="20"/>
          <w:szCs w:val="20"/>
        </w:rPr>
        <w:t>C</w:t>
      </w:r>
      <w:r w:rsidR="005C2109">
        <w:rPr>
          <w:rFonts w:ascii="Arial" w:hAnsi="Arial" w:cs="Arial"/>
          <w:bCs/>
          <w:color w:val="000000" w:themeColor="text1"/>
          <w:sz w:val="20"/>
          <w:szCs w:val="20"/>
        </w:rPr>
        <w:t xml:space="preserve"> Scores (left) and loadings (center and right).</w:t>
      </w:r>
    </w:p>
    <w:p w14:paraId="7DA95618" w14:textId="60F626A6" w:rsidR="00F65778" w:rsidRPr="00854DB3" w:rsidRDefault="00F65778" w:rsidP="00F65778">
      <w:pPr>
        <w:spacing w:before="100" w:beforeAutospacing="1" w:after="100" w:afterAutospacing="1" w:line="276" w:lineRule="auto"/>
        <w:jc w:val="both"/>
        <w:rPr>
          <w:rFonts w:ascii="Arial" w:hAnsi="Arial" w:cs="Arial"/>
          <w:bCs/>
          <w:i/>
          <w:color w:val="000000" w:themeColor="text1"/>
        </w:rPr>
      </w:pPr>
      <w:r>
        <w:rPr>
          <w:rFonts w:ascii="Arial" w:hAnsi="Arial" w:cs="Arial"/>
          <w:bCs/>
          <w:i/>
          <w:color w:val="000000" w:themeColor="text1"/>
        </w:rPr>
        <w:lastRenderedPageBreak/>
        <w:t>Protein Clusters b</w:t>
      </w:r>
      <w:r w:rsidR="007D0E0A">
        <w:rPr>
          <w:rFonts w:ascii="Arial" w:hAnsi="Arial" w:cs="Arial"/>
          <w:bCs/>
          <w:i/>
          <w:color w:val="000000" w:themeColor="text1"/>
        </w:rPr>
        <w:t>ased on</w:t>
      </w:r>
      <w:r>
        <w:rPr>
          <w:rFonts w:ascii="Arial" w:hAnsi="Arial" w:cs="Arial"/>
          <w:bCs/>
          <w:i/>
          <w:color w:val="000000" w:themeColor="text1"/>
        </w:rPr>
        <w:t xml:space="preserve"> sequence similarity do not show similar phosphorylation behaviors</w:t>
      </w:r>
    </w:p>
    <w:p w14:paraId="626F94CB" w14:textId="66828F90" w:rsidR="00F65778" w:rsidRPr="007D0E0A" w:rsidRDefault="007D0E0A" w:rsidP="007D0E0A">
      <w:pPr>
        <w:spacing w:before="100" w:beforeAutospacing="1" w:after="100" w:afterAutospacing="1" w:line="276" w:lineRule="auto"/>
        <w:ind w:firstLine="720"/>
        <w:jc w:val="both"/>
        <w:rPr>
          <w:rFonts w:ascii="Arial" w:hAnsi="Arial" w:cs="Arial"/>
          <w:bCs/>
          <w:color w:val="000000" w:themeColor="text1"/>
        </w:rPr>
      </w:pPr>
      <w:r w:rsidRPr="007D0E0A">
        <w:rPr>
          <w:rFonts w:ascii="Arial" w:hAnsi="Arial" w:cs="Arial"/>
          <w:bCs/>
          <w:color w:val="000000" w:themeColor="text1"/>
        </w:rPr>
        <w:t>Next, we tested our hypothesis that protein clusters grouped by sequence similarity would show similar phosphorylation behaviors, and thus differentially affect AXL expression and cell viability. Unfortunately, we did not see any clear separation or pattern based on protein clusters in our PLSR loading plots (Fig. 1c right). As explained below, further refinement of our clustering method will be carried out to overcome the current limitations of our data set.</w:t>
      </w:r>
    </w:p>
    <w:p w14:paraId="4AEC879E" w14:textId="32C43461" w:rsidR="00161A9D" w:rsidRDefault="00161A9D" w:rsidP="00647463">
      <w:pPr>
        <w:spacing w:before="100" w:beforeAutospacing="1" w:after="100" w:afterAutospacing="1"/>
        <w:rPr>
          <w:rFonts w:ascii="Arial" w:hAnsi="Arial" w:cs="Arial"/>
          <w:bCs/>
          <w:i/>
          <w:color w:val="000000" w:themeColor="text1"/>
        </w:rPr>
      </w:pPr>
      <w:r>
        <w:rPr>
          <w:rFonts w:ascii="Arial" w:hAnsi="Arial" w:cs="Arial"/>
          <w:bCs/>
          <w:i/>
          <w:color w:val="000000" w:themeColor="text1"/>
        </w:rPr>
        <w:t xml:space="preserve">Averaged clusters provide insights about the effect of </w:t>
      </w:r>
      <w:r w:rsidR="00277E92">
        <w:rPr>
          <w:rFonts w:ascii="Arial" w:hAnsi="Arial" w:cs="Arial"/>
          <w:bCs/>
          <w:i/>
          <w:color w:val="000000" w:themeColor="text1"/>
        </w:rPr>
        <w:t>identifiable</w:t>
      </w:r>
      <w:r>
        <w:rPr>
          <w:rFonts w:ascii="Arial" w:hAnsi="Arial" w:cs="Arial"/>
          <w:bCs/>
          <w:i/>
          <w:color w:val="000000" w:themeColor="text1"/>
        </w:rPr>
        <w:t xml:space="preserve"> proteins on cell phenotypes</w:t>
      </w:r>
    </w:p>
    <w:p w14:paraId="4591AD58" w14:textId="05D50748" w:rsidR="007D0E0A" w:rsidRPr="007D0E0A" w:rsidRDefault="007D0E0A" w:rsidP="007D0E0A">
      <w:pPr>
        <w:spacing w:before="100" w:beforeAutospacing="1" w:after="100" w:afterAutospacing="1" w:line="276" w:lineRule="auto"/>
        <w:ind w:firstLine="720"/>
        <w:jc w:val="both"/>
        <w:rPr>
          <w:rFonts w:ascii="Arial" w:hAnsi="Arial" w:cs="Arial"/>
          <w:bCs/>
          <w:color w:val="000000" w:themeColor="text1"/>
        </w:rPr>
      </w:pPr>
      <w:r w:rsidRPr="007D0E0A">
        <w:rPr>
          <w:rFonts w:ascii="Arial" w:hAnsi="Arial" w:cs="Arial"/>
          <w:bCs/>
          <w:color w:val="000000" w:themeColor="text1"/>
        </w:rPr>
        <w:t xml:space="preserve">Based on the clustering results, we obtained averaged phosphorylation levels across all conditions for each cluster and fitted our PLSR models with these new data sets. Thereby, our updated data sets contained 25 variables and 10 observation in the AXL model, and 25 variables and 6 observations in the cell viability PLSR model. Although these averaged data sets are significantly less underdetermined than the complete data set, the predictive capabilities of both models showed decreased Q2Y values; saturating at 0.6 at 3 components for the AXL expression PLSR model and consistently remaining below -0.2 in the cell viability model (Fig. 2a). Again, the AXL model showed a reasonable correlation between the predicted against the measured expression levels whereas the cell viability model resulted in no correlation. </w:t>
      </w:r>
    </w:p>
    <w:p w14:paraId="0421E120" w14:textId="54E3DA30" w:rsidR="007D0E0A" w:rsidRPr="007D0E0A" w:rsidRDefault="007D0E0A" w:rsidP="007D0E0A">
      <w:pPr>
        <w:spacing w:before="100" w:beforeAutospacing="1" w:after="100" w:afterAutospacing="1" w:line="276" w:lineRule="auto"/>
        <w:ind w:firstLine="720"/>
        <w:jc w:val="both"/>
        <w:rPr>
          <w:rFonts w:ascii="Arial" w:hAnsi="Arial" w:cs="Arial"/>
          <w:bCs/>
          <w:color w:val="000000" w:themeColor="text1"/>
        </w:rPr>
      </w:pPr>
      <w:r w:rsidRPr="007D0E0A">
        <w:rPr>
          <w:rFonts w:ascii="Arial" w:hAnsi="Arial" w:cs="Arial"/>
          <w:bCs/>
          <w:color w:val="000000" w:themeColor="text1"/>
        </w:rPr>
        <w:t xml:space="preserve">After fitting the model, the 25 protein clusters </w:t>
      </w:r>
      <w:r w:rsidR="00E90F9A">
        <w:rPr>
          <w:rFonts w:ascii="Arial" w:hAnsi="Arial" w:cs="Arial"/>
          <w:bCs/>
          <w:color w:val="000000" w:themeColor="text1"/>
        </w:rPr>
        <w:t>could</w:t>
      </w:r>
      <w:r w:rsidRPr="007D0E0A">
        <w:rPr>
          <w:rFonts w:ascii="Arial" w:hAnsi="Arial" w:cs="Arial"/>
          <w:bCs/>
          <w:color w:val="000000" w:themeColor="text1"/>
        </w:rPr>
        <w:t xml:space="preserve"> then be clearly visualized and assessed for its covariation with respect to the cell phenotype in both </w:t>
      </w:r>
      <w:r w:rsidR="00562FF8" w:rsidRPr="007D0E0A">
        <w:rPr>
          <w:rFonts w:ascii="Arial" w:hAnsi="Arial" w:cs="Arial"/>
          <w:bCs/>
          <w:color w:val="000000" w:themeColor="text1"/>
        </w:rPr>
        <w:t>loadings’</w:t>
      </w:r>
      <w:r w:rsidRPr="007D0E0A">
        <w:rPr>
          <w:rFonts w:ascii="Arial" w:hAnsi="Arial" w:cs="Arial"/>
          <w:bCs/>
          <w:color w:val="000000" w:themeColor="text1"/>
        </w:rPr>
        <w:t xml:space="preserve"> plots. In both models, most of the protein clusters seem to covert remarkably different except from I few which seemed to affect the cell phenotypes. Interestingly, we see that the model predicts proteins in clusters 12 and </w:t>
      </w:r>
      <w:r w:rsidR="00E90F9A">
        <w:rPr>
          <w:rFonts w:ascii="Arial" w:hAnsi="Arial" w:cs="Arial"/>
          <w:bCs/>
          <w:color w:val="000000" w:themeColor="text1"/>
        </w:rPr>
        <w:t>1</w:t>
      </w:r>
      <w:r w:rsidRPr="007D0E0A">
        <w:rPr>
          <w:rFonts w:ascii="Arial" w:hAnsi="Arial" w:cs="Arial"/>
          <w:bCs/>
          <w:color w:val="000000" w:themeColor="text1"/>
        </w:rPr>
        <w:t>5 to positively affect AXL expression whereas they negatively affect cell viability.</w:t>
      </w:r>
      <w:r w:rsidRPr="007D0E0A">
        <w:rPr>
          <w:rFonts w:ascii="Arial" w:hAnsi="Arial" w:cs="Arial"/>
          <w:b/>
          <w:bCs/>
          <w:color w:val="000000" w:themeColor="text1"/>
        </w:rPr>
        <w:t xml:space="preserve"> </w:t>
      </w:r>
      <w:r w:rsidRPr="007D0E0A">
        <w:rPr>
          <w:rFonts w:ascii="Arial" w:hAnsi="Arial" w:cs="Arial"/>
          <w:bCs/>
          <w:color w:val="000000" w:themeColor="text1"/>
        </w:rPr>
        <w:t xml:space="preserve">have been reported to be important mediators of tumor development. Conversely, cluster </w:t>
      </w:r>
      <w:r w:rsidRPr="007D0E0A">
        <w:rPr>
          <w:rFonts w:ascii="Arial" w:hAnsi="Arial" w:cs="Arial"/>
          <w:b/>
          <w:bCs/>
          <w:color w:val="000000" w:themeColor="text1"/>
        </w:rPr>
        <w:t xml:space="preserve">X </w:t>
      </w:r>
      <w:r w:rsidRPr="007D0E0A">
        <w:rPr>
          <w:rFonts w:ascii="Arial" w:hAnsi="Arial" w:cs="Arial"/>
          <w:bCs/>
          <w:color w:val="000000" w:themeColor="text1"/>
        </w:rPr>
        <w:t xml:space="preserve">is predicted to negatively affect AXL expression. In addition, protein cluster 23 and </w:t>
      </w:r>
      <w:r w:rsidR="00E90F9A">
        <w:rPr>
          <w:rFonts w:ascii="Arial" w:hAnsi="Arial" w:cs="Arial"/>
          <w:bCs/>
          <w:color w:val="000000" w:themeColor="text1"/>
        </w:rPr>
        <w:t xml:space="preserve">to a lesser extent cluster </w:t>
      </w:r>
      <w:r w:rsidRPr="007D0E0A">
        <w:rPr>
          <w:rFonts w:ascii="Arial" w:hAnsi="Arial" w:cs="Arial"/>
          <w:bCs/>
          <w:color w:val="000000" w:themeColor="text1"/>
        </w:rPr>
        <w:t>8</w:t>
      </w:r>
      <w:r w:rsidR="00E90F9A">
        <w:rPr>
          <w:rFonts w:ascii="Arial" w:hAnsi="Arial" w:cs="Arial"/>
          <w:bCs/>
          <w:color w:val="000000" w:themeColor="text1"/>
        </w:rPr>
        <w:t>,</w:t>
      </w:r>
      <w:r w:rsidRPr="007D0E0A">
        <w:rPr>
          <w:rFonts w:ascii="Arial" w:hAnsi="Arial" w:cs="Arial"/>
          <w:bCs/>
          <w:color w:val="000000" w:themeColor="text1"/>
        </w:rPr>
        <w:t xml:space="preserve"> lie in the same direction of maximal variation than cell viability, </w:t>
      </w:r>
      <w:r w:rsidR="00E90F9A">
        <w:rPr>
          <w:rFonts w:ascii="Arial" w:hAnsi="Arial" w:cs="Arial"/>
          <w:bCs/>
          <w:color w:val="000000" w:themeColor="text1"/>
        </w:rPr>
        <w:t>which may suggest that these groups of proteins</w:t>
      </w:r>
      <w:r w:rsidRPr="007D0E0A">
        <w:rPr>
          <w:rFonts w:ascii="Arial" w:hAnsi="Arial" w:cs="Arial"/>
          <w:bCs/>
          <w:color w:val="000000" w:themeColor="text1"/>
        </w:rPr>
        <w:t xml:space="preserve"> may have a positive effect in driving this phenotype.</w:t>
      </w:r>
      <w:r w:rsidR="00E90F9A">
        <w:rPr>
          <w:rFonts w:ascii="Arial" w:hAnsi="Arial" w:cs="Arial"/>
          <w:bCs/>
          <w:color w:val="000000" w:themeColor="text1"/>
        </w:rPr>
        <w:t xml:space="preserve"> A list with the members of the mentioned protein clusters can be found in table 1. </w:t>
      </w:r>
      <w:r w:rsidRPr="007D0E0A">
        <w:rPr>
          <w:rFonts w:ascii="Arial" w:hAnsi="Arial" w:cs="Arial"/>
          <w:bCs/>
          <w:color w:val="000000" w:themeColor="text1"/>
        </w:rPr>
        <w:t>However,</w:t>
      </w:r>
      <w:r w:rsidR="00E90F9A">
        <w:rPr>
          <w:rFonts w:ascii="Arial" w:hAnsi="Arial" w:cs="Arial"/>
          <w:bCs/>
          <w:color w:val="000000" w:themeColor="text1"/>
        </w:rPr>
        <w:t xml:space="preserve"> as discussed above,</w:t>
      </w:r>
      <w:r w:rsidRPr="007D0E0A">
        <w:rPr>
          <w:rFonts w:ascii="Arial" w:hAnsi="Arial" w:cs="Arial"/>
          <w:bCs/>
          <w:color w:val="000000" w:themeColor="text1"/>
        </w:rPr>
        <w:t xml:space="preserve"> it is worth noting that caution must be taken when interpreting the results from the cell viability PLSR model given the poor model fitness (Fig. 2a and b)</w:t>
      </w:r>
      <w:r w:rsidR="00E90F9A">
        <w:rPr>
          <w:rFonts w:ascii="Arial" w:hAnsi="Arial" w:cs="Arial"/>
          <w:bCs/>
          <w:color w:val="000000" w:themeColor="text1"/>
        </w:rPr>
        <w:t xml:space="preserve">. </w:t>
      </w:r>
    </w:p>
    <w:p w14:paraId="61AC1AA6" w14:textId="47F2BA83" w:rsidR="007D0E0A" w:rsidRDefault="00562FF8" w:rsidP="00647463">
      <w:pPr>
        <w:spacing w:before="100" w:beforeAutospacing="1" w:after="100" w:afterAutospacing="1"/>
        <w:rPr>
          <w:rFonts w:ascii="Arial" w:hAnsi="Arial" w:cs="Arial"/>
          <w:bCs/>
          <w:color w:val="000000" w:themeColor="text1"/>
          <w:sz w:val="20"/>
          <w:szCs w:val="20"/>
        </w:rPr>
      </w:pPr>
      <w:r>
        <w:rPr>
          <w:rFonts w:ascii="Arial" w:hAnsi="Arial" w:cs="Arial"/>
          <w:b/>
          <w:bCs/>
          <w:noProof/>
          <w:color w:val="823A2D"/>
          <w:sz w:val="20"/>
          <w:szCs w:val="20"/>
        </w:rPr>
        <w:lastRenderedPageBreak/>
        <mc:AlternateContent>
          <mc:Choice Requires="wps">
            <w:drawing>
              <wp:anchor distT="0" distB="0" distL="114300" distR="114300" simplePos="0" relativeHeight="251674624" behindDoc="0" locked="0" layoutInCell="1" allowOverlap="1" wp14:anchorId="45EA1D77" wp14:editId="0612066D">
                <wp:simplePos x="0" y="0"/>
                <wp:positionH relativeFrom="column">
                  <wp:posOffset>3338195</wp:posOffset>
                </wp:positionH>
                <wp:positionV relativeFrom="paragraph">
                  <wp:posOffset>1680845</wp:posOffset>
                </wp:positionV>
                <wp:extent cx="106680" cy="45719"/>
                <wp:effectExtent l="0" t="0" r="7620" b="13335"/>
                <wp:wrapNone/>
                <wp:docPr id="23" name="Rectangle 23"/>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457BC" id="Rectangle 23" o:spid="_x0000_s1026" style="position:absolute;margin-left:262.85pt;margin-top:132.35pt;width:8.4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" fillcolor="white [3212]" strokecolor="white [3212]" strokeweight="1pt"/>
            </w:pict>
          </mc:Fallback>
        </mc:AlternateContent>
      </w:r>
      <w:r>
        <w:rPr>
          <w:rFonts w:ascii="Arial" w:hAnsi="Arial" w:cs="Arial"/>
          <w:b/>
          <w:bCs/>
          <w:noProof/>
          <w:color w:val="823A2D"/>
          <w:sz w:val="20"/>
          <w:szCs w:val="20"/>
        </w:rPr>
        <mc:AlternateContent>
          <mc:Choice Requires="wps">
            <w:drawing>
              <wp:anchor distT="0" distB="0" distL="114300" distR="114300" simplePos="0" relativeHeight="251672576" behindDoc="0" locked="0" layoutInCell="1" allowOverlap="1" wp14:anchorId="1CC7CF05" wp14:editId="38DCD5E1">
                <wp:simplePos x="0" y="0"/>
                <wp:positionH relativeFrom="column">
                  <wp:posOffset>2928620</wp:posOffset>
                </wp:positionH>
                <wp:positionV relativeFrom="paragraph">
                  <wp:posOffset>1681480</wp:posOffset>
                </wp:positionV>
                <wp:extent cx="106680" cy="45719"/>
                <wp:effectExtent l="0" t="0" r="7620" b="18415"/>
                <wp:wrapNone/>
                <wp:docPr id="21" name="Rectangle 21"/>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67AA3" id="Rectangle 21" o:spid="_x0000_s1026" style="position:absolute;margin-left:230.6pt;margin-top:132.4pt;width:8.4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" fillcolor="white [3212]" strokecolor="white [3212]" strokeweight="1pt"/>
            </w:pict>
          </mc:Fallback>
        </mc:AlternateContent>
      </w:r>
      <w:r>
        <w:rPr>
          <w:rFonts w:ascii="Arial" w:hAnsi="Arial" w:cs="Arial"/>
          <w:b/>
          <w:bCs/>
          <w:noProof/>
          <w:color w:val="823A2D"/>
          <w:sz w:val="20"/>
          <w:szCs w:val="20"/>
        </w:rPr>
        <mc:AlternateContent>
          <mc:Choice Requires="wps">
            <w:drawing>
              <wp:anchor distT="0" distB="0" distL="114300" distR="114300" simplePos="0" relativeHeight="251670528" behindDoc="0" locked="0" layoutInCell="1" allowOverlap="1" wp14:anchorId="648C55B2" wp14:editId="7D8B7132">
                <wp:simplePos x="0" y="0"/>
                <wp:positionH relativeFrom="column">
                  <wp:posOffset>2501900</wp:posOffset>
                </wp:positionH>
                <wp:positionV relativeFrom="paragraph">
                  <wp:posOffset>1681480</wp:posOffset>
                </wp:positionV>
                <wp:extent cx="106680" cy="45719"/>
                <wp:effectExtent l="0" t="0" r="7620" b="18415"/>
                <wp:wrapNone/>
                <wp:docPr id="20" name="Rectangle 20"/>
                <wp:cNvGraphicFramePr/>
                <a:graphic xmlns:a="http://schemas.openxmlformats.org/drawingml/2006/main">
                  <a:graphicData uri="http://schemas.microsoft.com/office/word/2010/wordprocessingShape">
                    <wps:wsp>
                      <wps:cNvSpPr/>
                      <wps:spPr>
                        <a:xfrm>
                          <a:off x="0" y="0"/>
                          <a:ext cx="106680"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D8EEC" id="Rectangle 20" o:spid="_x0000_s1026" style="position:absolute;margin-left:197pt;margin-top:132.4pt;width:8.4pt;height:3.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" fillcolor="white [3212]" strokecolor="white [3212]" strokeweight="1pt"/>
            </w:pict>
          </mc:Fallback>
        </mc:AlternateContent>
      </w:r>
      <w:r w:rsidR="007D0E0A">
        <w:rPr>
          <w:rFonts w:ascii="Arial" w:hAnsi="Arial" w:cs="Arial"/>
          <w:b/>
          <w:bCs/>
          <w:noProof/>
          <w:color w:val="823A2D"/>
          <w:sz w:val="20"/>
          <w:szCs w:val="20"/>
        </w:rPr>
        <w:drawing>
          <wp:anchor distT="0" distB="0" distL="114300" distR="114300" simplePos="0" relativeHeight="251669504" behindDoc="0" locked="0" layoutInCell="1" allowOverlap="1" wp14:anchorId="61973B7F" wp14:editId="0E910984">
            <wp:simplePos x="0" y="0"/>
            <wp:positionH relativeFrom="column">
              <wp:posOffset>34290</wp:posOffset>
            </wp:positionH>
            <wp:positionV relativeFrom="page">
              <wp:posOffset>4717636</wp:posOffset>
            </wp:positionV>
            <wp:extent cx="4062730" cy="3392805"/>
            <wp:effectExtent l="0" t="0" r="127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eps"/>
                    <pic:cNvPicPr/>
                  </pic:nvPicPr>
                  <pic:blipFill rotWithShape="1">
                    <a:blip r:embed="rId10">
                      <a:extLst>
                        <a:ext uri="{28A0092B-C50C-407E-A947-70E740481C1C}">
                          <a14:useLocalDpi xmlns:a14="http://schemas.microsoft.com/office/drawing/2010/main" val="0"/>
                        </a:ext>
                      </a:extLst>
                    </a:blip>
                    <a:srcRect t="55781"/>
                    <a:stretch/>
                  </pic:blipFill>
                  <pic:spPr bwMode="auto">
                    <a:xfrm>
                      <a:off x="0" y="0"/>
                      <a:ext cx="4062730" cy="3392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E0A">
        <w:rPr>
          <w:rFonts w:ascii="Arial" w:hAnsi="Arial" w:cs="Arial"/>
          <w:b/>
          <w:bCs/>
          <w:noProof/>
          <w:color w:val="823A2D"/>
          <w:sz w:val="20"/>
          <w:szCs w:val="20"/>
        </w:rPr>
        <w:drawing>
          <wp:anchor distT="0" distB="0" distL="114300" distR="114300" simplePos="0" relativeHeight="251668480" behindDoc="0" locked="0" layoutInCell="1" allowOverlap="1" wp14:anchorId="6F66A2D4" wp14:editId="36B03B78">
            <wp:simplePos x="0" y="0"/>
            <wp:positionH relativeFrom="column">
              <wp:posOffset>-20099</wp:posOffset>
            </wp:positionH>
            <wp:positionV relativeFrom="page">
              <wp:posOffset>817245</wp:posOffset>
            </wp:positionV>
            <wp:extent cx="3971925" cy="38119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3.eps"/>
                    <pic:cNvPicPr/>
                  </pic:nvPicPr>
                  <pic:blipFill rotWithShape="1">
                    <a:blip r:embed="rId11">
                      <a:extLst>
                        <a:ext uri="{28A0092B-C50C-407E-A947-70E740481C1C}">
                          <a14:useLocalDpi xmlns:a14="http://schemas.microsoft.com/office/drawing/2010/main" val="0"/>
                        </a:ext>
                      </a:extLst>
                    </a:blip>
                    <a:srcRect b="45057"/>
                    <a:stretch/>
                  </pic:blipFill>
                  <pic:spPr bwMode="auto">
                    <a:xfrm>
                      <a:off x="0" y="0"/>
                      <a:ext cx="3971925" cy="3811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BDEC8" w14:textId="062F5A69" w:rsidR="00937645" w:rsidRDefault="00937645" w:rsidP="00647463">
      <w:pPr>
        <w:spacing w:before="100" w:beforeAutospacing="1" w:after="100" w:afterAutospacing="1"/>
        <w:rPr>
          <w:rFonts w:ascii="Arial" w:hAnsi="Arial" w:cs="Arial"/>
          <w:bCs/>
          <w:color w:val="000000" w:themeColor="text1"/>
          <w:sz w:val="20"/>
          <w:szCs w:val="20"/>
        </w:rPr>
      </w:pPr>
      <w:r w:rsidRPr="00647463">
        <w:rPr>
          <w:rFonts w:ascii="Arial" w:hAnsi="Arial" w:cs="Arial"/>
          <w:b/>
          <w:bCs/>
          <w:color w:val="000000" w:themeColor="text1"/>
          <w:sz w:val="20"/>
          <w:szCs w:val="20"/>
        </w:rPr>
        <w:t xml:space="preserve">Figure </w:t>
      </w:r>
      <w:r w:rsidRPr="0062096E">
        <w:rPr>
          <w:rFonts w:ascii="Arial" w:hAnsi="Arial" w:cs="Arial"/>
          <w:b/>
          <w:bCs/>
          <w:color w:val="000000" w:themeColor="text1"/>
          <w:sz w:val="20"/>
          <w:szCs w:val="20"/>
        </w:rPr>
        <w:t>3</w:t>
      </w:r>
      <w:r w:rsidRPr="00647463">
        <w:rPr>
          <w:rFonts w:ascii="Arial" w:hAnsi="Arial" w:cs="Arial"/>
          <w:b/>
          <w:bCs/>
          <w:color w:val="000000" w:themeColor="text1"/>
          <w:sz w:val="20"/>
          <w:szCs w:val="20"/>
        </w:rPr>
        <w:t xml:space="preserve">. </w:t>
      </w:r>
      <w:r w:rsidR="005C2109">
        <w:rPr>
          <w:rFonts w:ascii="Arial" w:hAnsi="Arial" w:cs="Arial"/>
          <w:b/>
          <w:bCs/>
          <w:color w:val="000000" w:themeColor="text1"/>
          <w:sz w:val="20"/>
          <w:szCs w:val="20"/>
        </w:rPr>
        <w:t xml:space="preserve">PLSR model fitted by cluster averages. </w:t>
      </w:r>
      <w:r w:rsidR="005C2109" w:rsidRPr="005C2109">
        <w:rPr>
          <w:rFonts w:ascii="Arial" w:hAnsi="Arial" w:cs="Arial"/>
          <w:b/>
          <w:bCs/>
          <w:color w:val="000000" w:themeColor="text1"/>
          <w:sz w:val="20"/>
          <w:szCs w:val="20"/>
        </w:rPr>
        <w:t>A</w:t>
      </w:r>
      <w:r w:rsidR="005C2109">
        <w:rPr>
          <w:rFonts w:ascii="Arial" w:hAnsi="Arial" w:cs="Arial"/>
          <w:bCs/>
          <w:color w:val="000000" w:themeColor="text1"/>
          <w:sz w:val="20"/>
          <w:szCs w:val="20"/>
        </w:rPr>
        <w:t xml:space="preserve"> Q2Y and R2Y values across different number of PLSR components for AXL expression (left) and cell viability (right). </w:t>
      </w:r>
      <w:r w:rsidR="005C2109">
        <w:rPr>
          <w:rFonts w:ascii="Arial" w:hAnsi="Arial" w:cs="Arial"/>
          <w:b/>
          <w:bCs/>
          <w:color w:val="000000" w:themeColor="text1"/>
          <w:sz w:val="20"/>
          <w:szCs w:val="20"/>
        </w:rPr>
        <w:t>B</w:t>
      </w:r>
      <w:r w:rsidR="005C2109">
        <w:rPr>
          <w:rFonts w:ascii="Arial" w:hAnsi="Arial" w:cs="Arial"/>
          <w:bCs/>
          <w:color w:val="000000" w:themeColor="text1"/>
          <w:sz w:val="20"/>
          <w:szCs w:val="20"/>
        </w:rPr>
        <w:t xml:space="preserve"> Leave-one-out cross-validation results for each PLSR model. </w:t>
      </w:r>
      <w:r w:rsidR="005C2109">
        <w:rPr>
          <w:rFonts w:ascii="Arial" w:hAnsi="Arial" w:cs="Arial"/>
          <w:b/>
          <w:bCs/>
          <w:color w:val="000000" w:themeColor="text1"/>
          <w:sz w:val="20"/>
          <w:szCs w:val="20"/>
        </w:rPr>
        <w:t>C</w:t>
      </w:r>
      <w:r w:rsidR="005C2109">
        <w:rPr>
          <w:rFonts w:ascii="Arial" w:hAnsi="Arial" w:cs="Arial"/>
          <w:bCs/>
          <w:color w:val="000000" w:themeColor="text1"/>
          <w:sz w:val="20"/>
          <w:szCs w:val="20"/>
        </w:rPr>
        <w:t xml:space="preserve"> Scores (left) and loadings (center and right).</w:t>
      </w:r>
    </w:p>
    <w:p w14:paraId="3FC9A704" w14:textId="019CCD14" w:rsidR="00F65778" w:rsidRPr="0062096E" w:rsidRDefault="00F65778" w:rsidP="00647463">
      <w:pPr>
        <w:spacing w:before="100" w:beforeAutospacing="1" w:after="100" w:afterAutospacing="1"/>
        <w:rPr>
          <w:color w:val="000000" w:themeColor="text1"/>
        </w:rPr>
      </w:pPr>
    </w:p>
    <w:tbl>
      <w:tblPr>
        <w:tblStyle w:val="TableGrid"/>
        <w:tblW w:w="10343" w:type="dxa"/>
        <w:tblLook w:val="04A0" w:firstRow="1" w:lastRow="0" w:firstColumn="1" w:lastColumn="0" w:noHBand="0" w:noVBand="1"/>
      </w:tblPr>
      <w:tblGrid>
        <w:gridCol w:w="905"/>
        <w:gridCol w:w="5469"/>
        <w:gridCol w:w="3969"/>
      </w:tblGrid>
      <w:tr w:rsidR="009233B9" w14:paraId="654F9912" w14:textId="2C5E7875" w:rsidTr="006B6932">
        <w:trPr>
          <w:trHeight w:val="558"/>
        </w:trPr>
        <w:tc>
          <w:tcPr>
            <w:tcW w:w="905" w:type="dxa"/>
            <w:shd w:val="clear" w:color="auto" w:fill="767171" w:themeFill="background2" w:themeFillShade="80"/>
            <w:vAlign w:val="center"/>
          </w:tcPr>
          <w:p w14:paraId="452DE900" w14:textId="3F921334" w:rsidR="009233B9" w:rsidRPr="006B6932" w:rsidRDefault="009233B9" w:rsidP="009233B9">
            <w:pPr>
              <w:spacing w:before="100" w:beforeAutospacing="1" w:after="100" w:afterAutospacing="1"/>
              <w:jc w:val="center"/>
              <w:rPr>
                <w:rFonts w:ascii="Helvetica Neue" w:hAnsi="Helvetica Neue" w:cs="Arial"/>
                <w:b/>
                <w:bCs/>
                <w:color w:val="FFFFFF" w:themeColor="background1"/>
                <w:sz w:val="20"/>
                <w:szCs w:val="20"/>
              </w:rPr>
            </w:pPr>
            <w:r w:rsidRPr="006B6932">
              <w:rPr>
                <w:rFonts w:ascii="Helvetica Neue" w:hAnsi="Helvetica Neue" w:cs="Arial"/>
                <w:b/>
                <w:bCs/>
                <w:color w:val="FFFFFF" w:themeColor="background1"/>
                <w:sz w:val="20"/>
                <w:szCs w:val="20"/>
              </w:rPr>
              <w:t>Cluster</w:t>
            </w:r>
          </w:p>
        </w:tc>
        <w:tc>
          <w:tcPr>
            <w:tcW w:w="5469" w:type="dxa"/>
            <w:shd w:val="clear" w:color="auto" w:fill="767171" w:themeFill="background2" w:themeFillShade="80"/>
            <w:vAlign w:val="center"/>
          </w:tcPr>
          <w:p w14:paraId="0D5086CA" w14:textId="73B6038E" w:rsidR="009233B9" w:rsidRPr="006B6932" w:rsidRDefault="009233B9" w:rsidP="009233B9">
            <w:pPr>
              <w:spacing w:before="100" w:beforeAutospacing="1" w:after="100" w:afterAutospacing="1"/>
              <w:jc w:val="center"/>
              <w:rPr>
                <w:rFonts w:ascii="Helvetica Neue" w:hAnsi="Helvetica Neue" w:cs="Arial"/>
                <w:b/>
                <w:bCs/>
                <w:color w:val="FFFFFF" w:themeColor="background1"/>
                <w:sz w:val="20"/>
                <w:szCs w:val="20"/>
              </w:rPr>
            </w:pPr>
            <w:r w:rsidRPr="006B6932">
              <w:rPr>
                <w:rFonts w:ascii="Helvetica Neue" w:hAnsi="Helvetica Neue" w:cs="Arial"/>
                <w:b/>
                <w:bCs/>
                <w:color w:val="FFFFFF" w:themeColor="background1"/>
                <w:sz w:val="20"/>
                <w:szCs w:val="20"/>
              </w:rPr>
              <w:t>Protein Name</w:t>
            </w:r>
          </w:p>
        </w:tc>
        <w:tc>
          <w:tcPr>
            <w:tcW w:w="3969" w:type="dxa"/>
            <w:shd w:val="clear" w:color="auto" w:fill="767171" w:themeFill="background2" w:themeFillShade="80"/>
            <w:vAlign w:val="center"/>
          </w:tcPr>
          <w:p w14:paraId="3F3FDF98" w14:textId="2F3AA2C0" w:rsidR="009233B9" w:rsidRPr="006B6932" w:rsidRDefault="0055513E" w:rsidP="009233B9">
            <w:pPr>
              <w:spacing w:before="100" w:beforeAutospacing="1" w:after="100" w:afterAutospacing="1"/>
              <w:jc w:val="center"/>
              <w:rPr>
                <w:rFonts w:ascii="Helvetica Neue" w:hAnsi="Helvetica Neue" w:cs="Arial"/>
                <w:b/>
                <w:bCs/>
                <w:color w:val="FFFFFF" w:themeColor="background1"/>
                <w:sz w:val="20"/>
                <w:szCs w:val="20"/>
              </w:rPr>
            </w:pPr>
            <w:proofErr w:type="spellStart"/>
            <w:r>
              <w:rPr>
                <w:rFonts w:ascii="Helvetica Neue" w:hAnsi="Helvetica Neue" w:cs="Arial"/>
                <w:b/>
                <w:bCs/>
                <w:color w:val="FFFFFF" w:themeColor="background1"/>
                <w:sz w:val="20"/>
                <w:szCs w:val="20"/>
              </w:rPr>
              <w:t>Phosphopeptide</w:t>
            </w:r>
            <w:proofErr w:type="spellEnd"/>
            <w:r w:rsidR="009233B9" w:rsidRPr="006B6932">
              <w:rPr>
                <w:rFonts w:ascii="Helvetica Neue" w:hAnsi="Helvetica Neue" w:cs="Arial"/>
                <w:b/>
                <w:bCs/>
                <w:color w:val="FFFFFF" w:themeColor="background1"/>
                <w:sz w:val="20"/>
                <w:szCs w:val="20"/>
              </w:rPr>
              <w:t xml:space="preserve"> </w:t>
            </w:r>
            <w:r w:rsidR="009233B9" w:rsidRPr="006B6932">
              <w:rPr>
                <w:rFonts w:ascii="Helvetica Neue" w:hAnsi="Helvetica Neue" w:cs="Arial"/>
                <w:b/>
                <w:bCs/>
                <w:color w:val="FFFFFF" w:themeColor="background1"/>
                <w:sz w:val="20"/>
                <w:szCs w:val="20"/>
              </w:rPr>
              <w:t>Sequence</w:t>
            </w:r>
          </w:p>
        </w:tc>
      </w:tr>
      <w:tr w:rsidR="009233B9" w14:paraId="0391B898" w14:textId="72596900" w:rsidTr="006B6932">
        <w:trPr>
          <w:trHeight w:val="476"/>
        </w:trPr>
        <w:tc>
          <w:tcPr>
            <w:tcW w:w="905" w:type="dxa"/>
            <w:vMerge w:val="restart"/>
            <w:vAlign w:val="center"/>
          </w:tcPr>
          <w:p w14:paraId="39B02F64" w14:textId="7390AD27" w:rsidR="009233B9" w:rsidRPr="009233B9" w:rsidRDefault="009233B9" w:rsidP="009233B9">
            <w:pPr>
              <w:spacing w:before="100" w:beforeAutospacing="1" w:after="100" w:afterAutospacing="1"/>
              <w:jc w:val="center"/>
              <w:rPr>
                <w:rFonts w:ascii="Helvetica Neue" w:hAnsi="Helvetica Neue" w:cs="Arial"/>
                <w:bCs/>
                <w:color w:val="000000" w:themeColor="text1"/>
                <w:sz w:val="20"/>
                <w:szCs w:val="20"/>
              </w:rPr>
            </w:pPr>
            <w:r w:rsidRPr="009233B9">
              <w:rPr>
                <w:rFonts w:ascii="Helvetica Neue" w:hAnsi="Helvetica Neue" w:cs="Arial"/>
                <w:bCs/>
                <w:color w:val="000000" w:themeColor="text1"/>
                <w:sz w:val="20"/>
                <w:szCs w:val="20"/>
              </w:rPr>
              <w:t>12</w:t>
            </w:r>
          </w:p>
        </w:tc>
        <w:tc>
          <w:tcPr>
            <w:tcW w:w="5469" w:type="dxa"/>
            <w:tcBorders>
              <w:bottom w:val="single" w:sz="4" w:space="0" w:color="000000" w:themeColor="text1"/>
            </w:tcBorders>
            <w:vAlign w:val="center"/>
          </w:tcPr>
          <w:p w14:paraId="3716DFBA" w14:textId="670C4364" w:rsidR="009233B9" w:rsidRPr="006B6932" w:rsidRDefault="009233B9" w:rsidP="009233B9">
            <w:pPr>
              <w:pStyle w:val="HTMLPreformatted"/>
              <w:shd w:val="clear" w:color="auto" w:fill="FFFFFF"/>
              <w:wordWrap w:val="0"/>
              <w:textAlignment w:val="baseline"/>
              <w:rPr>
                <w:rFonts w:ascii="Helvetica Neue" w:hAnsi="Helvetica Neue"/>
                <w:color w:val="000000" w:themeColor="text1"/>
                <w:sz w:val="21"/>
                <w:szCs w:val="21"/>
              </w:rPr>
            </w:pPr>
            <w:proofErr w:type="spellStart"/>
            <w:r w:rsidRPr="006B6932">
              <w:rPr>
                <w:rFonts w:ascii="Helvetica Neue" w:hAnsi="Helvetica Neue"/>
                <w:color w:val="000000" w:themeColor="text1"/>
                <w:sz w:val="21"/>
                <w:szCs w:val="21"/>
              </w:rPr>
              <w:t>Palmitoyltransferase</w:t>
            </w:r>
            <w:proofErr w:type="spellEnd"/>
            <w:r w:rsidRPr="006B6932">
              <w:rPr>
                <w:rFonts w:ascii="Helvetica Neue" w:hAnsi="Helvetica Neue"/>
                <w:color w:val="000000" w:themeColor="text1"/>
                <w:sz w:val="21"/>
                <w:szCs w:val="21"/>
              </w:rPr>
              <w:t xml:space="preserve"> ZDHHC7 </w:t>
            </w:r>
          </w:p>
        </w:tc>
        <w:tc>
          <w:tcPr>
            <w:tcW w:w="3969" w:type="dxa"/>
            <w:tcBorders>
              <w:bottom w:val="single" w:sz="4" w:space="0" w:color="000000" w:themeColor="text1"/>
            </w:tcBorders>
          </w:tcPr>
          <w:p w14:paraId="6B1E06EE" w14:textId="0A247A84" w:rsidR="009233B9" w:rsidRPr="006B6932" w:rsidRDefault="009233B9" w:rsidP="009233B9">
            <w:pPr>
              <w:rPr>
                <w:rFonts w:ascii="Helvetica Neue" w:hAnsi="Helvetica Neue"/>
                <w:color w:val="000000"/>
                <w:sz w:val="21"/>
                <w:szCs w:val="21"/>
              </w:rPr>
            </w:pPr>
            <w:r w:rsidRPr="006B6932">
              <w:rPr>
                <w:rFonts w:ascii="Helvetica Neue" w:hAnsi="Helvetica Neue"/>
                <w:color w:val="000000"/>
                <w:sz w:val="21"/>
                <w:szCs w:val="21"/>
              </w:rPr>
              <w:t>eYMESLQLkPGEVI</w:t>
            </w:r>
            <w:r w:rsidRPr="006B6932">
              <w:rPr>
                <w:rFonts w:ascii="Helvetica Neue" w:hAnsi="Helvetica Neue"/>
                <w:color w:val="FFC000"/>
                <w:sz w:val="21"/>
                <w:szCs w:val="21"/>
              </w:rPr>
              <w:t>y</w:t>
            </w:r>
            <w:r w:rsidRPr="006B6932">
              <w:rPr>
                <w:rFonts w:ascii="Helvetica Neue" w:hAnsi="Helvetica Neue"/>
                <w:color w:val="000000"/>
                <w:sz w:val="21"/>
                <w:szCs w:val="21"/>
              </w:rPr>
              <w:t>k-0</w:t>
            </w:r>
          </w:p>
        </w:tc>
      </w:tr>
      <w:tr w:rsidR="009233B9" w14:paraId="4DC0BF9B" w14:textId="70A6EAD1" w:rsidTr="006B6932">
        <w:trPr>
          <w:trHeight w:val="476"/>
        </w:trPr>
        <w:tc>
          <w:tcPr>
            <w:tcW w:w="905" w:type="dxa"/>
            <w:vMerge/>
            <w:vAlign w:val="center"/>
          </w:tcPr>
          <w:p w14:paraId="04E5EA0E" w14:textId="77777777" w:rsidR="009233B9" w:rsidRPr="009233B9" w:rsidRDefault="009233B9" w:rsidP="009233B9">
            <w:pPr>
              <w:spacing w:before="100" w:beforeAutospacing="1" w:after="100" w:afterAutospacing="1"/>
              <w:jc w:val="center"/>
              <w:rPr>
                <w:rFonts w:ascii="Helvetica Neue" w:hAnsi="Helvetica Neue" w:cs="Arial"/>
                <w:bCs/>
                <w:color w:val="000000" w:themeColor="text1"/>
                <w:sz w:val="20"/>
                <w:szCs w:val="20"/>
              </w:rPr>
            </w:pPr>
          </w:p>
        </w:tc>
        <w:tc>
          <w:tcPr>
            <w:tcW w:w="5469" w:type="dxa"/>
            <w:tcBorders>
              <w:top w:val="single" w:sz="4" w:space="0" w:color="000000" w:themeColor="text1"/>
            </w:tcBorders>
            <w:vAlign w:val="center"/>
          </w:tcPr>
          <w:p w14:paraId="0350CC78" w14:textId="542D0EE8" w:rsidR="009233B9" w:rsidRPr="006B6932" w:rsidRDefault="009233B9" w:rsidP="009233B9">
            <w:pPr>
              <w:pStyle w:val="HTMLPreformatted"/>
              <w:shd w:val="clear" w:color="auto" w:fill="FFFFFF"/>
              <w:wordWrap w:val="0"/>
              <w:textAlignment w:val="baseline"/>
              <w:rPr>
                <w:rFonts w:ascii="Helvetica Neue" w:hAnsi="Helvetica Neue"/>
                <w:color w:val="000000" w:themeColor="text1"/>
                <w:sz w:val="21"/>
                <w:szCs w:val="21"/>
              </w:rPr>
            </w:pPr>
            <w:r w:rsidRPr="006B6932">
              <w:rPr>
                <w:rFonts w:ascii="Helvetica Neue" w:hAnsi="Helvetica Neue"/>
                <w:color w:val="000000" w:themeColor="text1"/>
                <w:sz w:val="21"/>
                <w:szCs w:val="21"/>
              </w:rPr>
              <w:t>Phosphatidylinositol 3-kinase regulatory subunit alpha</w:t>
            </w:r>
          </w:p>
        </w:tc>
        <w:tc>
          <w:tcPr>
            <w:tcW w:w="3969" w:type="dxa"/>
            <w:tcBorders>
              <w:top w:val="single" w:sz="4" w:space="0" w:color="000000" w:themeColor="text1"/>
            </w:tcBorders>
          </w:tcPr>
          <w:p w14:paraId="0F248616" w14:textId="77777777" w:rsidR="009233B9" w:rsidRPr="006B6932" w:rsidRDefault="009233B9" w:rsidP="009233B9">
            <w:pPr>
              <w:rPr>
                <w:rFonts w:ascii="Helvetica Neue" w:hAnsi="Helvetica Neue"/>
                <w:color w:val="000000"/>
                <w:sz w:val="21"/>
                <w:szCs w:val="21"/>
              </w:rPr>
            </w:pPr>
            <w:r w:rsidRPr="006B6932">
              <w:rPr>
                <w:rFonts w:ascii="Helvetica Neue" w:hAnsi="Helvetica Neue"/>
                <w:color w:val="000000"/>
                <w:sz w:val="21"/>
                <w:szCs w:val="21"/>
              </w:rPr>
              <w:t>dQ</w:t>
            </w:r>
            <w:r w:rsidRPr="006B6932">
              <w:rPr>
                <w:rFonts w:ascii="Helvetica Neue" w:hAnsi="Helvetica Neue"/>
                <w:color w:val="FFC000"/>
                <w:sz w:val="21"/>
                <w:szCs w:val="21"/>
              </w:rPr>
              <w:t>y</w:t>
            </w:r>
            <w:r w:rsidRPr="006B6932">
              <w:rPr>
                <w:rFonts w:ascii="Helvetica Neue" w:hAnsi="Helvetica Neue"/>
                <w:color w:val="000000"/>
                <w:sz w:val="21"/>
                <w:szCs w:val="21"/>
              </w:rPr>
              <w:t>LMWLTQk-0</w:t>
            </w:r>
          </w:p>
          <w:p w14:paraId="4E8B4D89" w14:textId="77777777" w:rsidR="009233B9" w:rsidRPr="006B6932" w:rsidRDefault="009233B9" w:rsidP="009233B9">
            <w:pPr>
              <w:pStyle w:val="HTMLPreformatted"/>
              <w:shd w:val="clear" w:color="auto" w:fill="FFFFFF"/>
              <w:wordWrap w:val="0"/>
              <w:textAlignment w:val="baseline"/>
              <w:rPr>
                <w:rFonts w:ascii="Helvetica Neue" w:hAnsi="Helvetica Neue"/>
                <w:color w:val="000000" w:themeColor="text1"/>
                <w:sz w:val="21"/>
                <w:szCs w:val="21"/>
              </w:rPr>
            </w:pPr>
          </w:p>
        </w:tc>
      </w:tr>
      <w:tr w:rsidR="009233B9" w14:paraId="518EF74F" w14:textId="5FC37146" w:rsidTr="006B6932">
        <w:trPr>
          <w:trHeight w:val="476"/>
        </w:trPr>
        <w:tc>
          <w:tcPr>
            <w:tcW w:w="905" w:type="dxa"/>
            <w:vMerge w:val="restart"/>
            <w:vAlign w:val="center"/>
          </w:tcPr>
          <w:p w14:paraId="0863406A" w14:textId="57F34DB2" w:rsidR="009233B9" w:rsidRPr="009233B9" w:rsidRDefault="009233B9" w:rsidP="009233B9">
            <w:pPr>
              <w:spacing w:before="100" w:beforeAutospacing="1" w:after="100" w:afterAutospacing="1"/>
              <w:jc w:val="center"/>
              <w:rPr>
                <w:rFonts w:ascii="Helvetica Neue" w:hAnsi="Helvetica Neue" w:cs="Arial"/>
                <w:bCs/>
                <w:color w:val="000000" w:themeColor="text1"/>
                <w:sz w:val="20"/>
                <w:szCs w:val="20"/>
              </w:rPr>
            </w:pPr>
            <w:r w:rsidRPr="009233B9">
              <w:rPr>
                <w:rFonts w:ascii="Helvetica Neue" w:hAnsi="Helvetica Neue" w:cs="Arial"/>
                <w:bCs/>
                <w:color w:val="000000" w:themeColor="text1"/>
                <w:sz w:val="20"/>
                <w:szCs w:val="20"/>
              </w:rPr>
              <w:t>15</w:t>
            </w:r>
          </w:p>
        </w:tc>
        <w:tc>
          <w:tcPr>
            <w:tcW w:w="5469" w:type="dxa"/>
            <w:tcBorders>
              <w:bottom w:val="single" w:sz="4" w:space="0" w:color="000000" w:themeColor="text1"/>
            </w:tcBorders>
            <w:vAlign w:val="center"/>
          </w:tcPr>
          <w:p w14:paraId="62AAE7E4" w14:textId="3853DC28"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G</w:t>
            </w:r>
            <w:r w:rsidRPr="006B6932">
              <w:rPr>
                <w:rFonts w:ascii="Helvetica Neue" w:hAnsi="Helvetica Neue"/>
                <w:color w:val="000000"/>
                <w:sz w:val="21"/>
                <w:szCs w:val="21"/>
              </w:rPr>
              <w:t xml:space="preserve">RB2-associated-binding protein 1 </w:t>
            </w:r>
          </w:p>
        </w:tc>
        <w:tc>
          <w:tcPr>
            <w:tcW w:w="3969" w:type="dxa"/>
            <w:tcBorders>
              <w:bottom w:val="single" w:sz="4" w:space="0" w:color="000000" w:themeColor="text1"/>
            </w:tcBorders>
          </w:tcPr>
          <w:p w14:paraId="504E01E6"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dASSQDc</w:t>
            </w:r>
            <w:r w:rsidRPr="006B6932">
              <w:rPr>
                <w:rFonts w:ascii="Helvetica Neue" w:hAnsi="Helvetica Neue"/>
                <w:color w:val="FFC000"/>
                <w:sz w:val="21"/>
                <w:szCs w:val="21"/>
              </w:rPr>
              <w:t>y</w:t>
            </w:r>
            <w:r w:rsidRPr="006B6932">
              <w:rPr>
                <w:rFonts w:ascii="Helvetica Neue" w:hAnsi="Helvetica Neue"/>
                <w:color w:val="000000"/>
                <w:sz w:val="21"/>
                <w:szCs w:val="21"/>
              </w:rPr>
              <w:t>DIPR-0</w:t>
            </w:r>
          </w:p>
          <w:p w14:paraId="67DD804A" w14:textId="5BABC6BE" w:rsidR="009233B9"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 </w:t>
            </w:r>
          </w:p>
        </w:tc>
      </w:tr>
      <w:tr w:rsidR="009233B9" w14:paraId="63279616" w14:textId="1908EB29" w:rsidTr="006B6932">
        <w:trPr>
          <w:trHeight w:val="476"/>
        </w:trPr>
        <w:tc>
          <w:tcPr>
            <w:tcW w:w="905" w:type="dxa"/>
            <w:vMerge/>
            <w:vAlign w:val="center"/>
          </w:tcPr>
          <w:p w14:paraId="4CF04AC9"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3971F097" w14:textId="4E92EFD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GRB2-associated-binding protein 1 </w:t>
            </w:r>
          </w:p>
        </w:tc>
        <w:tc>
          <w:tcPr>
            <w:tcW w:w="3969" w:type="dxa"/>
            <w:tcBorders>
              <w:top w:val="single" w:sz="4" w:space="0" w:color="000000" w:themeColor="text1"/>
              <w:bottom w:val="single" w:sz="4" w:space="0" w:color="000000" w:themeColor="text1"/>
            </w:tcBorders>
          </w:tcPr>
          <w:p w14:paraId="751A1261"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kDASSQDc</w:t>
            </w:r>
            <w:r w:rsidRPr="006B6932">
              <w:rPr>
                <w:rFonts w:ascii="Helvetica Neue" w:hAnsi="Helvetica Neue"/>
                <w:color w:val="FFC000"/>
                <w:sz w:val="21"/>
                <w:szCs w:val="21"/>
              </w:rPr>
              <w:t>y</w:t>
            </w:r>
            <w:r w:rsidRPr="006B6932">
              <w:rPr>
                <w:rFonts w:ascii="Helvetica Neue" w:hAnsi="Helvetica Neue"/>
                <w:color w:val="000000"/>
                <w:sz w:val="21"/>
                <w:szCs w:val="21"/>
              </w:rPr>
              <w:t>DIPR-0</w:t>
            </w:r>
          </w:p>
          <w:p w14:paraId="063244C9" w14:textId="04400E93" w:rsidR="009233B9"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 </w:t>
            </w:r>
          </w:p>
        </w:tc>
      </w:tr>
      <w:tr w:rsidR="009233B9" w14:paraId="3A743430" w14:textId="0C4033E5" w:rsidTr="006B6932">
        <w:trPr>
          <w:trHeight w:val="476"/>
        </w:trPr>
        <w:tc>
          <w:tcPr>
            <w:tcW w:w="905" w:type="dxa"/>
            <w:vMerge/>
            <w:vAlign w:val="center"/>
          </w:tcPr>
          <w:p w14:paraId="16B74DBF"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112E5B60" w14:textId="18568192"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Cofilin-1           </w:t>
            </w:r>
          </w:p>
        </w:tc>
        <w:tc>
          <w:tcPr>
            <w:tcW w:w="3969" w:type="dxa"/>
            <w:tcBorders>
              <w:top w:val="single" w:sz="4" w:space="0" w:color="000000" w:themeColor="text1"/>
              <w:bottom w:val="single" w:sz="4" w:space="0" w:color="000000" w:themeColor="text1"/>
            </w:tcBorders>
          </w:tcPr>
          <w:p w14:paraId="1C1D7A22"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hELQANc</w:t>
            </w:r>
            <w:r w:rsidRPr="006B6932">
              <w:rPr>
                <w:rFonts w:ascii="Helvetica Neue" w:hAnsi="Helvetica Neue"/>
                <w:color w:val="FFC000"/>
                <w:sz w:val="21"/>
                <w:szCs w:val="21"/>
              </w:rPr>
              <w:t>y</w:t>
            </w:r>
            <w:r w:rsidRPr="006B6932">
              <w:rPr>
                <w:rFonts w:ascii="Helvetica Neue" w:hAnsi="Helvetica Neue"/>
                <w:color w:val="000000"/>
                <w:sz w:val="21"/>
                <w:szCs w:val="21"/>
              </w:rPr>
              <w:t>EEVkDR-0</w:t>
            </w:r>
          </w:p>
          <w:p w14:paraId="16139CC1" w14:textId="7777777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p>
        </w:tc>
      </w:tr>
      <w:tr w:rsidR="009233B9" w14:paraId="6F9F1DD2" w14:textId="5B95C435" w:rsidTr="006B6932">
        <w:trPr>
          <w:trHeight w:val="444"/>
        </w:trPr>
        <w:tc>
          <w:tcPr>
            <w:tcW w:w="905" w:type="dxa"/>
            <w:vMerge/>
            <w:vAlign w:val="center"/>
          </w:tcPr>
          <w:p w14:paraId="62FDB39C"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39E05EBC" w14:textId="1E66071B"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Filamin-A          </w:t>
            </w:r>
          </w:p>
        </w:tc>
        <w:tc>
          <w:tcPr>
            <w:tcW w:w="3969" w:type="dxa"/>
            <w:tcBorders>
              <w:top w:val="single" w:sz="4" w:space="0" w:color="000000" w:themeColor="text1"/>
              <w:bottom w:val="single" w:sz="4" w:space="0" w:color="000000" w:themeColor="text1"/>
            </w:tcBorders>
          </w:tcPr>
          <w:p w14:paraId="7A198948"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vHSPSGALEEc</w:t>
            </w:r>
            <w:r w:rsidRPr="006B6932">
              <w:rPr>
                <w:rFonts w:ascii="Helvetica Neue" w:hAnsi="Helvetica Neue"/>
                <w:color w:val="FFC000"/>
                <w:sz w:val="21"/>
                <w:szCs w:val="21"/>
              </w:rPr>
              <w:t>y</w:t>
            </w:r>
            <w:r w:rsidRPr="006B6932">
              <w:rPr>
                <w:rFonts w:ascii="Helvetica Neue" w:hAnsi="Helvetica Neue"/>
                <w:color w:val="000000"/>
                <w:sz w:val="21"/>
                <w:szCs w:val="21"/>
              </w:rPr>
              <w:t>VTEIDQDkYAVR-0</w:t>
            </w:r>
          </w:p>
          <w:p w14:paraId="1B94FC2C" w14:textId="7777777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p>
        </w:tc>
      </w:tr>
      <w:tr w:rsidR="009233B9" w14:paraId="47ED92DA" w14:textId="7C536CFA" w:rsidTr="006B6932">
        <w:trPr>
          <w:trHeight w:val="476"/>
        </w:trPr>
        <w:tc>
          <w:tcPr>
            <w:tcW w:w="905" w:type="dxa"/>
            <w:vMerge/>
            <w:vAlign w:val="center"/>
          </w:tcPr>
          <w:p w14:paraId="2E1DAF91"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43E51F46" w14:textId="1809D7C3"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Filamin-B         </w:t>
            </w:r>
          </w:p>
        </w:tc>
        <w:tc>
          <w:tcPr>
            <w:tcW w:w="3969" w:type="dxa"/>
            <w:tcBorders>
              <w:top w:val="single" w:sz="4" w:space="0" w:color="000000" w:themeColor="text1"/>
              <w:bottom w:val="single" w:sz="4" w:space="0" w:color="000000" w:themeColor="text1"/>
            </w:tcBorders>
          </w:tcPr>
          <w:p w14:paraId="2110CF42"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sSTETc</w:t>
            </w:r>
            <w:r w:rsidRPr="006B6932">
              <w:rPr>
                <w:rFonts w:ascii="Helvetica Neue" w:hAnsi="Helvetica Neue"/>
                <w:color w:val="FFC000"/>
                <w:sz w:val="21"/>
                <w:szCs w:val="21"/>
              </w:rPr>
              <w:t>y</w:t>
            </w:r>
            <w:r w:rsidRPr="006B6932">
              <w:rPr>
                <w:rFonts w:ascii="Helvetica Neue" w:hAnsi="Helvetica Neue"/>
                <w:color w:val="000000"/>
                <w:sz w:val="21"/>
                <w:szCs w:val="21"/>
              </w:rPr>
              <w:t>SAIPk-0</w:t>
            </w:r>
          </w:p>
          <w:p w14:paraId="2788BF2A" w14:textId="7777777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p>
        </w:tc>
      </w:tr>
      <w:tr w:rsidR="009233B9" w14:paraId="52A0421B" w14:textId="44606CBE" w:rsidTr="006B6932">
        <w:trPr>
          <w:trHeight w:val="476"/>
        </w:trPr>
        <w:tc>
          <w:tcPr>
            <w:tcW w:w="905" w:type="dxa"/>
            <w:vMerge/>
            <w:vAlign w:val="center"/>
          </w:tcPr>
          <w:p w14:paraId="6A2D7BD4"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6DF45CFD" w14:textId="4CA71EC5"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Actin, cytoplasmic 1 </w:t>
            </w:r>
          </w:p>
        </w:tc>
        <w:tc>
          <w:tcPr>
            <w:tcW w:w="3969" w:type="dxa"/>
            <w:tcBorders>
              <w:top w:val="single" w:sz="4" w:space="0" w:color="000000" w:themeColor="text1"/>
              <w:bottom w:val="single" w:sz="4" w:space="0" w:color="000000" w:themeColor="text1"/>
            </w:tcBorders>
          </w:tcPr>
          <w:p w14:paraId="67537133"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lc</w:t>
            </w:r>
            <w:r w:rsidRPr="006B6932">
              <w:rPr>
                <w:rFonts w:ascii="Helvetica Neue" w:hAnsi="Helvetica Neue"/>
                <w:color w:val="FFC000"/>
                <w:sz w:val="21"/>
                <w:szCs w:val="21"/>
              </w:rPr>
              <w:t>y</w:t>
            </w:r>
            <w:r w:rsidRPr="006B6932">
              <w:rPr>
                <w:rFonts w:ascii="Helvetica Neue" w:hAnsi="Helvetica Neue"/>
                <w:color w:val="000000"/>
                <w:sz w:val="21"/>
                <w:szCs w:val="21"/>
              </w:rPr>
              <w:t>VALDFEQEMATAASSSSLEk-0</w:t>
            </w:r>
          </w:p>
          <w:p w14:paraId="42389575" w14:textId="7777777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p>
        </w:tc>
      </w:tr>
      <w:tr w:rsidR="009233B9" w14:paraId="5F90EB5A" w14:textId="65CD47C5" w:rsidTr="00E90F9A">
        <w:trPr>
          <w:trHeight w:val="476"/>
        </w:trPr>
        <w:tc>
          <w:tcPr>
            <w:tcW w:w="905" w:type="dxa"/>
            <w:vMerge/>
            <w:vAlign w:val="center"/>
          </w:tcPr>
          <w:p w14:paraId="56AED1B1" w14:textId="77777777" w:rsidR="009233B9" w:rsidRPr="009233B9" w:rsidRDefault="009233B9"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0BAF4FB1" w14:textId="53E063B9"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 xml:space="preserve">Hepatocyte </w:t>
            </w:r>
            <w:r w:rsidR="006B6932">
              <w:rPr>
                <w:rFonts w:ascii="Helvetica Neue" w:hAnsi="Helvetica Neue"/>
                <w:color w:val="000000"/>
                <w:sz w:val="21"/>
                <w:szCs w:val="21"/>
              </w:rPr>
              <w:t>GF</w:t>
            </w:r>
            <w:r w:rsidRPr="006B6932">
              <w:rPr>
                <w:rFonts w:ascii="Helvetica Neue" w:hAnsi="Helvetica Neue"/>
                <w:color w:val="000000"/>
                <w:sz w:val="21"/>
                <w:szCs w:val="21"/>
              </w:rPr>
              <w:t>-regulated tyrosine kinase substrate</w:t>
            </w:r>
          </w:p>
        </w:tc>
        <w:tc>
          <w:tcPr>
            <w:tcW w:w="3969" w:type="dxa"/>
            <w:tcBorders>
              <w:top w:val="single" w:sz="4" w:space="0" w:color="000000" w:themeColor="text1"/>
              <w:bottom w:val="single" w:sz="4" w:space="0" w:color="000000" w:themeColor="text1"/>
            </w:tcBorders>
          </w:tcPr>
          <w:p w14:paraId="07F05414" w14:textId="77777777" w:rsidR="006B6932" w:rsidRPr="006B6932" w:rsidRDefault="006B6932" w:rsidP="006B6932">
            <w:pPr>
              <w:pStyle w:val="HTMLPreformatted"/>
              <w:shd w:val="clear" w:color="auto" w:fill="FFFFFF"/>
              <w:wordWrap w:val="0"/>
              <w:textAlignment w:val="baseline"/>
              <w:rPr>
                <w:rFonts w:ascii="Helvetica Neue" w:hAnsi="Helvetica Neue"/>
                <w:color w:val="000000"/>
                <w:sz w:val="21"/>
                <w:szCs w:val="21"/>
              </w:rPr>
            </w:pPr>
            <w:r w:rsidRPr="006B6932">
              <w:rPr>
                <w:rFonts w:ascii="Helvetica Neue" w:hAnsi="Helvetica Neue"/>
                <w:color w:val="000000"/>
                <w:sz w:val="21"/>
                <w:szCs w:val="21"/>
              </w:rPr>
              <w:t>vcEPc</w:t>
            </w:r>
            <w:r w:rsidRPr="006B6932">
              <w:rPr>
                <w:rFonts w:ascii="Helvetica Neue" w:hAnsi="Helvetica Neue"/>
                <w:color w:val="FFC000"/>
                <w:sz w:val="21"/>
                <w:szCs w:val="21"/>
              </w:rPr>
              <w:t>y</w:t>
            </w:r>
            <w:r w:rsidRPr="006B6932">
              <w:rPr>
                <w:rFonts w:ascii="Helvetica Neue" w:hAnsi="Helvetica Neue"/>
                <w:color w:val="000000"/>
                <w:sz w:val="21"/>
                <w:szCs w:val="21"/>
              </w:rPr>
              <w:t>EQLNR-0</w:t>
            </w:r>
          </w:p>
          <w:p w14:paraId="0F473FC3" w14:textId="77777777" w:rsidR="009233B9" w:rsidRPr="006B6932" w:rsidRDefault="009233B9" w:rsidP="009233B9">
            <w:pPr>
              <w:pStyle w:val="HTMLPreformatted"/>
              <w:shd w:val="clear" w:color="auto" w:fill="FFFFFF"/>
              <w:wordWrap w:val="0"/>
              <w:textAlignment w:val="baseline"/>
              <w:rPr>
                <w:rFonts w:ascii="Helvetica Neue" w:hAnsi="Helvetica Neue"/>
                <w:color w:val="000000"/>
                <w:sz w:val="21"/>
                <w:szCs w:val="21"/>
              </w:rPr>
            </w:pPr>
          </w:p>
        </w:tc>
      </w:tr>
      <w:tr w:rsidR="0055513E" w14:paraId="490BA34C" w14:textId="77777777" w:rsidTr="0055513E">
        <w:trPr>
          <w:trHeight w:val="476"/>
        </w:trPr>
        <w:tc>
          <w:tcPr>
            <w:tcW w:w="905" w:type="dxa"/>
            <w:vMerge w:val="restart"/>
            <w:vAlign w:val="center"/>
          </w:tcPr>
          <w:p w14:paraId="509B1090" w14:textId="7A339CFA" w:rsidR="0055513E" w:rsidRPr="00E90F9A" w:rsidRDefault="0055513E" w:rsidP="009233B9">
            <w:pPr>
              <w:spacing w:before="100" w:beforeAutospacing="1" w:after="100" w:afterAutospacing="1"/>
              <w:jc w:val="center"/>
              <w:rPr>
                <w:rFonts w:ascii="Helvetica Neue" w:hAnsi="Helvetica Neue" w:cs="Arial"/>
                <w:bCs/>
                <w:color w:val="000000" w:themeColor="text1"/>
                <w:sz w:val="20"/>
                <w:szCs w:val="20"/>
              </w:rPr>
            </w:pPr>
            <w:r>
              <w:rPr>
                <w:rFonts w:ascii="Helvetica Neue" w:hAnsi="Helvetica Neue" w:cs="Arial"/>
                <w:bCs/>
                <w:color w:val="000000" w:themeColor="text1"/>
                <w:sz w:val="20"/>
                <w:szCs w:val="20"/>
              </w:rPr>
              <w:t>23</w:t>
            </w:r>
          </w:p>
        </w:tc>
        <w:tc>
          <w:tcPr>
            <w:tcW w:w="5469" w:type="dxa"/>
            <w:tcBorders>
              <w:top w:val="single" w:sz="4" w:space="0" w:color="000000" w:themeColor="text1"/>
              <w:bottom w:val="single" w:sz="4" w:space="0" w:color="000000" w:themeColor="text1"/>
            </w:tcBorders>
            <w:vAlign w:val="center"/>
          </w:tcPr>
          <w:p w14:paraId="67D74890" w14:textId="17228405" w:rsidR="0055513E" w:rsidRPr="006B6932" w:rsidRDefault="0055513E" w:rsidP="00E90F9A">
            <w:pPr>
              <w:pStyle w:val="HTMLPreformatted"/>
              <w:shd w:val="clear" w:color="auto" w:fill="FFFFFF"/>
              <w:wordWrap w:val="0"/>
              <w:textAlignment w:val="baseline"/>
              <w:rPr>
                <w:rFonts w:ascii="Helvetica Neue" w:hAnsi="Helvetica Neue"/>
                <w:color w:val="000000"/>
                <w:sz w:val="21"/>
                <w:szCs w:val="21"/>
              </w:rPr>
            </w:pPr>
            <w:r w:rsidRPr="00E90F9A">
              <w:rPr>
                <w:rFonts w:ascii="Helvetica Neue" w:hAnsi="Helvetica Neue"/>
                <w:color w:val="000000"/>
                <w:sz w:val="21"/>
                <w:szCs w:val="21"/>
              </w:rPr>
              <w:t>Actin, cytoplasmic 1</w:t>
            </w:r>
          </w:p>
        </w:tc>
        <w:tc>
          <w:tcPr>
            <w:tcW w:w="3969" w:type="dxa"/>
            <w:tcBorders>
              <w:top w:val="single" w:sz="4" w:space="0" w:color="000000" w:themeColor="text1"/>
              <w:bottom w:val="single" w:sz="4" w:space="0" w:color="000000" w:themeColor="text1"/>
            </w:tcBorders>
            <w:vAlign w:val="center"/>
          </w:tcPr>
          <w:p w14:paraId="4907BDDD" w14:textId="222F84BE" w:rsidR="0055513E" w:rsidRPr="006B6932" w:rsidRDefault="0055513E" w:rsidP="0055513E">
            <w:pPr>
              <w:pStyle w:val="HTMLPreformatted"/>
              <w:rPr>
                <w:rFonts w:ascii="Helvetica Neue" w:hAnsi="Helvetica Neue"/>
                <w:color w:val="000000"/>
                <w:sz w:val="21"/>
                <w:szCs w:val="21"/>
              </w:rPr>
            </w:pPr>
            <w:proofErr w:type="spellStart"/>
            <w:r w:rsidRPr="0055513E">
              <w:rPr>
                <w:rFonts w:ascii="Helvetica Neue" w:hAnsi="Helvetica Neue"/>
                <w:color w:val="000000"/>
                <w:sz w:val="21"/>
                <w:szCs w:val="21"/>
              </w:rPr>
              <w:t>s</w:t>
            </w:r>
            <w:r w:rsidRPr="0055513E">
              <w:rPr>
                <w:rFonts w:ascii="Helvetica Neue" w:hAnsi="Helvetica Neue"/>
                <w:color w:val="FFC000"/>
                <w:sz w:val="21"/>
                <w:szCs w:val="21"/>
              </w:rPr>
              <w:t>y</w:t>
            </w:r>
            <w:r w:rsidRPr="0055513E">
              <w:rPr>
                <w:rFonts w:ascii="Helvetica Neue" w:hAnsi="Helvetica Neue"/>
                <w:color w:val="000000"/>
                <w:sz w:val="21"/>
                <w:szCs w:val="21"/>
              </w:rPr>
              <w:t>ELPDGQVITIGNER</w:t>
            </w:r>
            <w:proofErr w:type="spellEnd"/>
          </w:p>
        </w:tc>
      </w:tr>
      <w:tr w:rsidR="0055513E" w14:paraId="2A34DA9A" w14:textId="77777777" w:rsidTr="0055513E">
        <w:trPr>
          <w:trHeight w:val="476"/>
        </w:trPr>
        <w:tc>
          <w:tcPr>
            <w:tcW w:w="905" w:type="dxa"/>
            <w:vMerge/>
            <w:vAlign w:val="center"/>
          </w:tcPr>
          <w:p w14:paraId="582AD623" w14:textId="77777777" w:rsidR="0055513E" w:rsidRPr="009233B9" w:rsidRDefault="0055513E"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7E65F32C" w14:textId="7E5C94CA" w:rsidR="0055513E" w:rsidRPr="006B6932" w:rsidRDefault="0055513E" w:rsidP="009233B9">
            <w:pPr>
              <w:pStyle w:val="HTMLPreformatted"/>
              <w:shd w:val="clear" w:color="auto" w:fill="FFFFFF"/>
              <w:wordWrap w:val="0"/>
              <w:textAlignment w:val="baseline"/>
              <w:rPr>
                <w:rFonts w:ascii="Helvetica Neue" w:hAnsi="Helvetica Neue"/>
                <w:color w:val="000000"/>
                <w:sz w:val="21"/>
                <w:szCs w:val="21"/>
              </w:rPr>
            </w:pPr>
            <w:r w:rsidRPr="00E90F9A">
              <w:rPr>
                <w:rFonts w:ascii="Helvetica Neue" w:hAnsi="Helvetica Neue"/>
                <w:color w:val="000000"/>
                <w:sz w:val="21"/>
                <w:szCs w:val="21"/>
              </w:rPr>
              <w:t>Anion exchange protein 2</w:t>
            </w:r>
          </w:p>
        </w:tc>
        <w:tc>
          <w:tcPr>
            <w:tcW w:w="3969" w:type="dxa"/>
            <w:tcBorders>
              <w:top w:val="single" w:sz="4" w:space="0" w:color="000000" w:themeColor="text1"/>
              <w:bottom w:val="single" w:sz="4" w:space="0" w:color="000000" w:themeColor="text1"/>
            </w:tcBorders>
            <w:vAlign w:val="center"/>
          </w:tcPr>
          <w:p w14:paraId="40C4F7C1" w14:textId="77777777" w:rsidR="0055513E" w:rsidRPr="0055513E" w:rsidRDefault="0055513E" w:rsidP="0055513E">
            <w:pPr>
              <w:pStyle w:val="HTMLPreformatted"/>
              <w:shd w:val="clear" w:color="auto" w:fill="FFFFFF"/>
              <w:wordWrap w:val="0"/>
              <w:textAlignment w:val="baseline"/>
              <w:rPr>
                <w:rFonts w:ascii="Helvetica Neue" w:hAnsi="Helvetica Neue"/>
                <w:color w:val="000000"/>
                <w:sz w:val="21"/>
                <w:szCs w:val="21"/>
              </w:rPr>
            </w:pPr>
            <w:proofErr w:type="spellStart"/>
            <w:r w:rsidRPr="0055513E">
              <w:rPr>
                <w:rFonts w:ascii="Helvetica Neue" w:hAnsi="Helvetica Neue"/>
                <w:color w:val="000000"/>
                <w:sz w:val="21"/>
                <w:szCs w:val="21"/>
              </w:rPr>
              <w:t>sYGEEDFE</w:t>
            </w:r>
            <w:r w:rsidRPr="0055513E">
              <w:rPr>
                <w:rFonts w:ascii="Helvetica Neue" w:hAnsi="Helvetica Neue"/>
                <w:color w:val="FFC000"/>
                <w:sz w:val="21"/>
                <w:szCs w:val="21"/>
              </w:rPr>
              <w:t>y</w:t>
            </w:r>
            <w:r w:rsidRPr="0055513E">
              <w:rPr>
                <w:rFonts w:ascii="Helvetica Neue" w:hAnsi="Helvetica Neue"/>
                <w:color w:val="000000"/>
                <w:sz w:val="21"/>
                <w:szCs w:val="21"/>
              </w:rPr>
              <w:t>HR</w:t>
            </w:r>
            <w:proofErr w:type="spellEnd"/>
          </w:p>
          <w:p w14:paraId="282EE5DB" w14:textId="77777777" w:rsidR="0055513E" w:rsidRPr="006B6932" w:rsidRDefault="0055513E" w:rsidP="0055513E">
            <w:pPr>
              <w:pStyle w:val="HTMLPreformatted"/>
              <w:shd w:val="clear" w:color="auto" w:fill="FFFFFF"/>
              <w:wordWrap w:val="0"/>
              <w:textAlignment w:val="baseline"/>
              <w:rPr>
                <w:rFonts w:ascii="Helvetica Neue" w:hAnsi="Helvetica Neue"/>
                <w:color w:val="000000"/>
                <w:sz w:val="21"/>
                <w:szCs w:val="21"/>
              </w:rPr>
            </w:pPr>
          </w:p>
        </w:tc>
      </w:tr>
      <w:tr w:rsidR="0055513E" w14:paraId="1FD1859F" w14:textId="77777777" w:rsidTr="0055513E">
        <w:trPr>
          <w:trHeight w:val="476"/>
        </w:trPr>
        <w:tc>
          <w:tcPr>
            <w:tcW w:w="905" w:type="dxa"/>
            <w:vMerge/>
            <w:vAlign w:val="center"/>
          </w:tcPr>
          <w:p w14:paraId="0AD5171E" w14:textId="77777777" w:rsidR="0055513E" w:rsidRPr="009233B9" w:rsidRDefault="0055513E"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2BE4A1AE" w14:textId="38133F8A" w:rsidR="0055513E" w:rsidRPr="006B6932" w:rsidRDefault="0055513E" w:rsidP="009233B9">
            <w:pPr>
              <w:pStyle w:val="HTMLPreformatted"/>
              <w:shd w:val="clear" w:color="auto" w:fill="FFFFFF"/>
              <w:wordWrap w:val="0"/>
              <w:textAlignment w:val="baseline"/>
              <w:rPr>
                <w:rFonts w:ascii="Helvetica Neue" w:hAnsi="Helvetica Neue"/>
                <w:color w:val="000000"/>
                <w:sz w:val="21"/>
                <w:szCs w:val="21"/>
              </w:rPr>
            </w:pPr>
            <w:r w:rsidRPr="00E90F9A">
              <w:rPr>
                <w:rFonts w:ascii="Helvetica Neue" w:hAnsi="Helvetica Neue"/>
                <w:color w:val="000000"/>
                <w:sz w:val="21"/>
                <w:szCs w:val="21"/>
              </w:rPr>
              <w:t xml:space="preserve">Tyrosine-protein kinase </w:t>
            </w:r>
            <w:proofErr w:type="spellStart"/>
            <w:r w:rsidRPr="00E90F9A">
              <w:rPr>
                <w:rFonts w:ascii="Helvetica Neue" w:hAnsi="Helvetica Neue"/>
                <w:color w:val="000000"/>
                <w:sz w:val="21"/>
                <w:szCs w:val="21"/>
              </w:rPr>
              <w:t>Lck</w:t>
            </w:r>
            <w:proofErr w:type="spellEnd"/>
          </w:p>
        </w:tc>
        <w:tc>
          <w:tcPr>
            <w:tcW w:w="3969" w:type="dxa"/>
            <w:tcBorders>
              <w:top w:val="single" w:sz="4" w:space="0" w:color="000000" w:themeColor="text1"/>
              <w:bottom w:val="single" w:sz="4" w:space="0" w:color="000000" w:themeColor="text1"/>
            </w:tcBorders>
            <w:vAlign w:val="center"/>
          </w:tcPr>
          <w:p w14:paraId="2B55FE45" w14:textId="4236F0DB" w:rsidR="0055513E" w:rsidRPr="0055513E" w:rsidRDefault="0055513E" w:rsidP="0055513E">
            <w:pPr>
              <w:pStyle w:val="HTMLPreformatted"/>
              <w:rPr>
                <w:rFonts w:ascii="Helvetica Neue" w:hAnsi="Helvetica Neue"/>
                <w:color w:val="000000"/>
                <w:sz w:val="21"/>
                <w:szCs w:val="21"/>
              </w:rPr>
            </w:pPr>
            <w:proofErr w:type="spellStart"/>
            <w:r w:rsidRPr="0055513E">
              <w:rPr>
                <w:rFonts w:ascii="Helvetica Neue" w:hAnsi="Helvetica Neue"/>
                <w:color w:val="000000"/>
                <w:sz w:val="21"/>
                <w:szCs w:val="21"/>
              </w:rPr>
              <w:t>sVLEDFFTA</w:t>
            </w:r>
            <w:r w:rsidRPr="0055513E">
              <w:rPr>
                <w:rFonts w:ascii="Helvetica Neue" w:hAnsi="Helvetica Neue"/>
                <w:color w:val="FFC000"/>
                <w:sz w:val="21"/>
                <w:szCs w:val="21"/>
              </w:rPr>
              <w:t>y</w:t>
            </w:r>
            <w:r w:rsidRPr="0055513E">
              <w:rPr>
                <w:rFonts w:ascii="Helvetica Neue" w:hAnsi="Helvetica Neue"/>
                <w:color w:val="000000"/>
                <w:sz w:val="21"/>
                <w:szCs w:val="21"/>
              </w:rPr>
              <w:t>EGQYQPQP</w:t>
            </w:r>
            <w:proofErr w:type="spellEnd"/>
          </w:p>
          <w:p w14:paraId="7D1B6A7F" w14:textId="55797529" w:rsidR="0055513E" w:rsidRPr="006B6932" w:rsidRDefault="0055513E" w:rsidP="0055513E">
            <w:pPr>
              <w:pStyle w:val="HTMLPreformatted"/>
              <w:shd w:val="clear" w:color="auto" w:fill="FFFFFF"/>
              <w:wordWrap w:val="0"/>
              <w:textAlignment w:val="baseline"/>
              <w:rPr>
                <w:rFonts w:ascii="Helvetica Neue" w:hAnsi="Helvetica Neue"/>
                <w:color w:val="000000"/>
                <w:sz w:val="21"/>
                <w:szCs w:val="21"/>
              </w:rPr>
            </w:pPr>
          </w:p>
        </w:tc>
      </w:tr>
      <w:tr w:rsidR="0055513E" w14:paraId="4C8C19D0" w14:textId="77777777" w:rsidTr="0055513E">
        <w:trPr>
          <w:trHeight w:val="476"/>
        </w:trPr>
        <w:tc>
          <w:tcPr>
            <w:tcW w:w="905" w:type="dxa"/>
            <w:vMerge/>
            <w:tcBorders>
              <w:bottom w:val="single" w:sz="4" w:space="0" w:color="000000" w:themeColor="text1"/>
            </w:tcBorders>
            <w:vAlign w:val="center"/>
          </w:tcPr>
          <w:p w14:paraId="2B363A31" w14:textId="77777777" w:rsidR="0055513E" w:rsidRPr="009233B9" w:rsidRDefault="0055513E" w:rsidP="009233B9">
            <w:pPr>
              <w:spacing w:before="100" w:beforeAutospacing="1" w:after="100" w:afterAutospacing="1"/>
              <w:jc w:val="center"/>
              <w:rPr>
                <w:rFonts w:ascii="Helvetica Neue" w:hAnsi="Helvetica Neue" w:cs="Arial"/>
                <w:b/>
                <w:bCs/>
                <w:color w:val="000000" w:themeColor="text1"/>
                <w:sz w:val="20"/>
                <w:szCs w:val="20"/>
              </w:rPr>
            </w:pPr>
          </w:p>
        </w:tc>
        <w:tc>
          <w:tcPr>
            <w:tcW w:w="5469" w:type="dxa"/>
            <w:tcBorders>
              <w:top w:val="single" w:sz="4" w:space="0" w:color="000000" w:themeColor="text1"/>
              <w:bottom w:val="single" w:sz="4" w:space="0" w:color="000000" w:themeColor="text1"/>
            </w:tcBorders>
            <w:vAlign w:val="center"/>
          </w:tcPr>
          <w:p w14:paraId="5A632A2A" w14:textId="60B7C9C0" w:rsidR="0055513E" w:rsidRPr="00E90F9A" w:rsidRDefault="0055513E" w:rsidP="009233B9">
            <w:pPr>
              <w:pStyle w:val="HTMLPreformatted"/>
              <w:shd w:val="clear" w:color="auto" w:fill="FFFFFF"/>
              <w:wordWrap w:val="0"/>
              <w:textAlignment w:val="baseline"/>
              <w:rPr>
                <w:rFonts w:ascii="Helvetica Neue" w:hAnsi="Helvetica Neue"/>
                <w:color w:val="000000"/>
                <w:sz w:val="21"/>
                <w:szCs w:val="21"/>
              </w:rPr>
            </w:pPr>
            <w:r w:rsidRPr="00E90F9A">
              <w:rPr>
                <w:rFonts w:ascii="Helvetica Neue" w:hAnsi="Helvetica Neue"/>
                <w:color w:val="000000"/>
                <w:sz w:val="21"/>
                <w:szCs w:val="21"/>
              </w:rPr>
              <w:t>Sodium-coupled neutral amino acid transporter</w:t>
            </w:r>
            <w:r>
              <w:rPr>
                <w:rFonts w:ascii="Helvetica Neue" w:hAnsi="Helvetica Neue"/>
                <w:color w:val="000000"/>
                <w:sz w:val="21"/>
                <w:szCs w:val="21"/>
              </w:rPr>
              <w:t xml:space="preserve"> 2</w:t>
            </w:r>
          </w:p>
        </w:tc>
        <w:tc>
          <w:tcPr>
            <w:tcW w:w="3969" w:type="dxa"/>
            <w:tcBorders>
              <w:top w:val="single" w:sz="4" w:space="0" w:color="000000" w:themeColor="text1"/>
              <w:bottom w:val="single" w:sz="4" w:space="0" w:color="000000" w:themeColor="text1"/>
            </w:tcBorders>
            <w:vAlign w:val="center"/>
          </w:tcPr>
          <w:p w14:paraId="3DEF3F23" w14:textId="77777777" w:rsidR="0055513E" w:rsidRPr="0055513E" w:rsidRDefault="0055513E" w:rsidP="0055513E">
            <w:pPr>
              <w:pStyle w:val="HTMLPreformatted"/>
              <w:shd w:val="clear" w:color="auto" w:fill="FFFFFF"/>
              <w:wordWrap w:val="0"/>
              <w:textAlignment w:val="baseline"/>
              <w:rPr>
                <w:rFonts w:ascii="Helvetica Neue" w:hAnsi="Helvetica Neue"/>
                <w:color w:val="000000"/>
                <w:sz w:val="21"/>
                <w:szCs w:val="21"/>
              </w:rPr>
            </w:pPr>
            <w:proofErr w:type="spellStart"/>
            <w:r w:rsidRPr="0055513E">
              <w:rPr>
                <w:rFonts w:ascii="Helvetica Neue" w:hAnsi="Helvetica Neue"/>
                <w:color w:val="000000"/>
                <w:sz w:val="21"/>
                <w:szCs w:val="21"/>
              </w:rPr>
              <w:t>fSISPDEDSSSYSSNSDFN</w:t>
            </w:r>
            <w:r w:rsidRPr="0055513E">
              <w:rPr>
                <w:rFonts w:ascii="Helvetica Neue" w:hAnsi="Helvetica Neue"/>
                <w:color w:val="FFC000"/>
                <w:sz w:val="21"/>
                <w:szCs w:val="21"/>
              </w:rPr>
              <w:t>y</w:t>
            </w:r>
            <w:r w:rsidRPr="0055513E">
              <w:rPr>
                <w:rFonts w:ascii="Helvetica Neue" w:hAnsi="Helvetica Neue"/>
                <w:color w:val="000000"/>
                <w:sz w:val="21"/>
                <w:szCs w:val="21"/>
              </w:rPr>
              <w:t>SYPTk</w:t>
            </w:r>
            <w:proofErr w:type="spellEnd"/>
          </w:p>
          <w:p w14:paraId="29556839" w14:textId="77777777" w:rsidR="0055513E" w:rsidRPr="006B6932" w:rsidRDefault="0055513E" w:rsidP="0055513E">
            <w:pPr>
              <w:pStyle w:val="HTMLPreformatted"/>
              <w:shd w:val="clear" w:color="auto" w:fill="FFFFFF"/>
              <w:wordWrap w:val="0"/>
              <w:textAlignment w:val="baseline"/>
              <w:rPr>
                <w:rFonts w:ascii="Helvetica Neue" w:hAnsi="Helvetica Neue"/>
                <w:color w:val="000000"/>
                <w:sz w:val="21"/>
                <w:szCs w:val="21"/>
              </w:rPr>
            </w:pPr>
          </w:p>
        </w:tc>
      </w:tr>
    </w:tbl>
    <w:p w14:paraId="1F5BACE8" w14:textId="1185004D" w:rsidR="004A2E9E" w:rsidRPr="004A2E9E" w:rsidRDefault="0062096E" w:rsidP="00490E97">
      <w:pPr>
        <w:spacing w:before="100" w:beforeAutospacing="1" w:after="100" w:afterAutospacing="1"/>
        <w:rPr>
          <w:color w:val="000000" w:themeColor="text1"/>
        </w:rPr>
      </w:pPr>
      <w:r w:rsidRPr="0062096E">
        <w:rPr>
          <w:rFonts w:ascii="Arial" w:hAnsi="Arial" w:cs="Arial"/>
          <w:b/>
          <w:bCs/>
          <w:color w:val="000000" w:themeColor="text1"/>
          <w:sz w:val="20"/>
          <w:szCs w:val="20"/>
        </w:rPr>
        <w:t>Table</w:t>
      </w:r>
      <w:r w:rsidRPr="00647463">
        <w:rPr>
          <w:rFonts w:ascii="Arial" w:hAnsi="Arial" w:cs="Arial"/>
          <w:b/>
          <w:bCs/>
          <w:color w:val="000000" w:themeColor="text1"/>
          <w:sz w:val="20"/>
          <w:szCs w:val="20"/>
        </w:rPr>
        <w:t xml:space="preserve"> </w:t>
      </w:r>
      <w:r w:rsidRPr="0062096E">
        <w:rPr>
          <w:rFonts w:ascii="Arial" w:hAnsi="Arial" w:cs="Arial"/>
          <w:b/>
          <w:bCs/>
          <w:color w:val="000000" w:themeColor="text1"/>
          <w:sz w:val="20"/>
          <w:szCs w:val="20"/>
        </w:rPr>
        <w:t>1</w:t>
      </w:r>
      <w:r w:rsidRPr="00647463">
        <w:rPr>
          <w:rFonts w:ascii="Arial" w:hAnsi="Arial" w:cs="Arial"/>
          <w:b/>
          <w:bCs/>
          <w:color w:val="000000" w:themeColor="text1"/>
          <w:sz w:val="20"/>
          <w:szCs w:val="20"/>
        </w:rPr>
        <w:t xml:space="preserve">. </w:t>
      </w:r>
      <w:r w:rsidR="00166494">
        <w:rPr>
          <w:rFonts w:ascii="Arial" w:hAnsi="Arial" w:cs="Arial"/>
          <w:b/>
          <w:bCs/>
          <w:color w:val="000000" w:themeColor="text1"/>
          <w:sz w:val="20"/>
          <w:szCs w:val="20"/>
        </w:rPr>
        <w:t>Proteins pertaining to clusters 12</w:t>
      </w:r>
      <w:r w:rsidR="0055513E">
        <w:rPr>
          <w:rFonts w:ascii="Arial" w:hAnsi="Arial" w:cs="Arial"/>
          <w:b/>
          <w:bCs/>
          <w:color w:val="000000" w:themeColor="text1"/>
          <w:sz w:val="20"/>
          <w:szCs w:val="20"/>
        </w:rPr>
        <w:t xml:space="preserve">, </w:t>
      </w:r>
      <w:r w:rsidR="00166494">
        <w:rPr>
          <w:rFonts w:ascii="Arial" w:hAnsi="Arial" w:cs="Arial"/>
          <w:b/>
          <w:bCs/>
          <w:color w:val="000000" w:themeColor="text1"/>
          <w:sz w:val="20"/>
          <w:szCs w:val="20"/>
        </w:rPr>
        <w:t>15</w:t>
      </w:r>
      <w:r w:rsidR="0055513E">
        <w:rPr>
          <w:rFonts w:ascii="Arial" w:hAnsi="Arial" w:cs="Arial"/>
          <w:b/>
          <w:bCs/>
          <w:color w:val="000000" w:themeColor="text1"/>
          <w:sz w:val="20"/>
          <w:szCs w:val="20"/>
        </w:rPr>
        <w:t>, and 23</w:t>
      </w:r>
      <w:r w:rsidR="004A2E9E" w:rsidRPr="004A2E9E">
        <w:br/>
      </w:r>
    </w:p>
    <w:p w14:paraId="1B050A9D" w14:textId="2B6FA732" w:rsidR="004A2E9E" w:rsidRPr="004A2E9E" w:rsidRDefault="00562FF8" w:rsidP="00562FF8">
      <w:pPr>
        <w:spacing w:line="276" w:lineRule="auto"/>
      </w:pPr>
      <w:r>
        <w:rPr>
          <w:rFonts w:ascii="Arial" w:hAnsi="Arial" w:cs="Arial"/>
          <w:b/>
          <w:bCs/>
          <w:color w:val="000000"/>
        </w:rPr>
        <w:t>DISCUSSION</w:t>
      </w:r>
    </w:p>
    <w:p w14:paraId="6DF4FCD0" w14:textId="77777777" w:rsidR="00562FF8" w:rsidRDefault="00562FF8" w:rsidP="00562FF8">
      <w:pPr>
        <w:spacing w:line="276" w:lineRule="auto"/>
        <w:rPr>
          <w:rFonts w:ascii="Arial" w:hAnsi="Arial" w:cs="Arial"/>
          <w:color w:val="000000"/>
        </w:rPr>
      </w:pPr>
    </w:p>
    <w:p w14:paraId="4D2E47BB" w14:textId="31964C2C" w:rsidR="00562FF8" w:rsidRPr="00562FF8" w:rsidRDefault="00562FF8" w:rsidP="00562FF8">
      <w:pPr>
        <w:spacing w:line="276" w:lineRule="auto"/>
        <w:rPr>
          <w:rFonts w:ascii="Arial" w:hAnsi="Arial" w:cs="Arial"/>
          <w:color w:val="000000"/>
        </w:rPr>
      </w:pPr>
      <w:r w:rsidRPr="00562FF8">
        <w:rPr>
          <w:rFonts w:ascii="Arial" w:hAnsi="Arial" w:cs="Arial"/>
          <w:color w:val="000000"/>
        </w:rPr>
        <w:t>Here, we aimed to explore the correlation between the phosphorylation status of cell populations cultured under different conditions and the extent of AXL expression and cell viability. In addition, we also aimed to identify potential signaling proteins involved in driving our cell phenotypes of interest by leveraging PLSR and clustering methods.</w:t>
      </w:r>
    </w:p>
    <w:p w14:paraId="0382A83B" w14:textId="77777777" w:rsidR="00562FF8" w:rsidRPr="00562FF8" w:rsidRDefault="00562FF8" w:rsidP="00562FF8">
      <w:pPr>
        <w:spacing w:line="276" w:lineRule="auto"/>
        <w:rPr>
          <w:rFonts w:ascii="Arial" w:hAnsi="Arial" w:cs="Arial"/>
          <w:color w:val="000000"/>
        </w:rPr>
      </w:pPr>
    </w:p>
    <w:p w14:paraId="467C8400" w14:textId="77777777" w:rsidR="00562FF8" w:rsidRPr="00562FF8" w:rsidRDefault="00562FF8" w:rsidP="00562FF8">
      <w:pPr>
        <w:spacing w:line="276" w:lineRule="auto"/>
        <w:rPr>
          <w:rFonts w:ascii="Arial" w:hAnsi="Arial" w:cs="Arial"/>
          <w:b/>
          <w:bCs/>
          <w:color w:val="000000"/>
        </w:rPr>
      </w:pPr>
      <w:r w:rsidRPr="00562FF8">
        <w:rPr>
          <w:rFonts w:ascii="Arial" w:hAnsi="Arial" w:cs="Arial"/>
          <w:i/>
          <w:iCs/>
          <w:color w:val="000000"/>
        </w:rPr>
        <w:t xml:space="preserve">Limitations of our PLSR models and Next Steps </w:t>
      </w:r>
    </w:p>
    <w:p w14:paraId="31E0C00E" w14:textId="77777777" w:rsidR="00562FF8" w:rsidRPr="00562FF8" w:rsidRDefault="00562FF8" w:rsidP="00562FF8">
      <w:pPr>
        <w:spacing w:line="276" w:lineRule="auto"/>
        <w:rPr>
          <w:rFonts w:ascii="Arial" w:hAnsi="Arial" w:cs="Arial"/>
          <w:color w:val="000000"/>
        </w:rPr>
      </w:pPr>
    </w:p>
    <w:p w14:paraId="16349A93" w14:textId="39D83843" w:rsidR="00562FF8" w:rsidRPr="00562FF8" w:rsidRDefault="00562FF8" w:rsidP="00562FF8">
      <w:pPr>
        <w:spacing w:line="276" w:lineRule="auto"/>
        <w:jc w:val="both"/>
        <w:rPr>
          <w:rFonts w:ascii="Arial" w:hAnsi="Arial" w:cs="Arial"/>
          <w:color w:val="000000"/>
        </w:rPr>
      </w:pPr>
      <w:r w:rsidRPr="00562FF8">
        <w:rPr>
          <w:rFonts w:ascii="Arial" w:hAnsi="Arial" w:cs="Arial"/>
          <w:color w:val="000000"/>
        </w:rPr>
        <w:t xml:space="preserve">Although the AXL PLSR models showed acceptable model fitness, we found negative Q2Y values across any number of components for cell viability (Fig. 1a and 2a), suggesting the breakdown of PLSR due to the significant difference between the number of variables (300) and observations (6). Surprisingly, when evaluating the fitness of the PLSR models fitted with the </w:t>
      </w:r>
      <w:r w:rsidRPr="00562FF8">
        <w:rPr>
          <w:rFonts w:ascii="Arial" w:hAnsi="Arial" w:cs="Arial"/>
          <w:color w:val="000000"/>
        </w:rPr>
        <w:lastRenderedPageBreak/>
        <w:t xml:space="preserve">averaged phosphorylation levels of all proteins present in each one of the 25 clusters, thus obtaining a new data set of 25 variables and 10 (AXL) or 6 (cell viability) observations, we found a worse model performance in all cases than when fitting all 300 variables. This clearly limits our ability to interpret the model predictions of proteins affecting cell viability, and thus caution must be taken when analyzing the model predictions. We think of two further plausible scenarios that explain the breakdown of PLSR when trying to predict cell viability but not AXL expression. First, the quality of the viability measurements is questionable since the data was obtained from disparate sources and thus data cohesion might affect our analysis. This is reinforced by the fact the resulting loadings plots in the cell viability PLSR models show that treatment of R428 positively affect cell viability, which is not realistic (Fig. 1c and 2c bottom left). Second, it is also feasible that no correlation can actually be established between the signaling signatures and the observed cell viability. Therefore, an immediate next step is to generate new cell viability measurements matching all 10 culture conditions and evaluate the PLSR model again in order to improve the quality of the data but also increase the number of observations. Likewise, even though the AXL PLSR models performed acceptably in predicting protein expression, the phosphorylation form of AXL is indicative of AXL activation - and its phenotypic consequences - rather than cell surface receptor abundance. Thereby, measuring </w:t>
      </w:r>
      <w:proofErr w:type="spellStart"/>
      <w:r w:rsidRPr="00562FF8">
        <w:rPr>
          <w:rFonts w:ascii="Arial" w:hAnsi="Arial" w:cs="Arial"/>
          <w:color w:val="000000"/>
        </w:rPr>
        <w:t>pAXL</w:t>
      </w:r>
      <w:proofErr w:type="spellEnd"/>
      <w:r w:rsidRPr="00562FF8">
        <w:rPr>
          <w:rFonts w:ascii="Arial" w:hAnsi="Arial" w:cs="Arial"/>
          <w:color w:val="000000"/>
        </w:rPr>
        <w:t xml:space="preserve"> levels across all culture conditions would be valuable. </w:t>
      </w:r>
    </w:p>
    <w:p w14:paraId="7B1AC9CC" w14:textId="77777777" w:rsidR="00562FF8" w:rsidRPr="00562FF8" w:rsidRDefault="00562FF8" w:rsidP="00562FF8">
      <w:pPr>
        <w:spacing w:line="276" w:lineRule="auto"/>
        <w:jc w:val="both"/>
        <w:rPr>
          <w:rFonts w:ascii="Arial" w:hAnsi="Arial" w:cs="Arial"/>
          <w:color w:val="000000"/>
        </w:rPr>
      </w:pPr>
    </w:p>
    <w:p w14:paraId="4DBC937D" w14:textId="77777777" w:rsidR="00562FF8" w:rsidRPr="00562FF8" w:rsidRDefault="00562FF8" w:rsidP="00562FF8">
      <w:pPr>
        <w:spacing w:line="276" w:lineRule="auto"/>
        <w:jc w:val="both"/>
        <w:rPr>
          <w:rFonts w:ascii="Arial" w:hAnsi="Arial" w:cs="Arial"/>
          <w:b/>
          <w:bCs/>
          <w:color w:val="000000"/>
        </w:rPr>
      </w:pPr>
      <w:r w:rsidRPr="00562FF8">
        <w:rPr>
          <w:rFonts w:ascii="Arial" w:hAnsi="Arial" w:cs="Arial"/>
          <w:i/>
          <w:iCs/>
          <w:color w:val="000000"/>
        </w:rPr>
        <w:t xml:space="preserve">Limitations of sequence similarity calculation and Next Steps </w:t>
      </w:r>
    </w:p>
    <w:p w14:paraId="56731054" w14:textId="77777777" w:rsidR="00562FF8" w:rsidRPr="00562FF8" w:rsidRDefault="00562FF8" w:rsidP="00562FF8">
      <w:pPr>
        <w:spacing w:line="276" w:lineRule="auto"/>
        <w:jc w:val="both"/>
        <w:rPr>
          <w:rFonts w:ascii="Arial" w:hAnsi="Arial" w:cs="Arial"/>
          <w:color w:val="000000"/>
        </w:rPr>
      </w:pPr>
    </w:p>
    <w:p w14:paraId="17465244" w14:textId="329AEE0E" w:rsidR="00562FF8" w:rsidRPr="00562FF8" w:rsidRDefault="00562FF8" w:rsidP="00562FF8">
      <w:pPr>
        <w:spacing w:line="276" w:lineRule="auto"/>
        <w:jc w:val="both"/>
        <w:rPr>
          <w:rFonts w:ascii="Arial" w:hAnsi="Arial" w:cs="Arial"/>
          <w:color w:val="000000"/>
        </w:rPr>
      </w:pPr>
      <w:r w:rsidRPr="00562FF8">
        <w:rPr>
          <w:rFonts w:ascii="Arial" w:hAnsi="Arial" w:cs="Arial"/>
          <w:color w:val="000000"/>
        </w:rPr>
        <w:t xml:space="preserve">In regards to our sequence similarity computation, as explained in our methods section, the resulting distance accuracy and reliability was affected by limitations on our </w:t>
      </w:r>
      <w:proofErr w:type="spellStart"/>
      <w:r w:rsidRPr="00562FF8">
        <w:rPr>
          <w:rFonts w:ascii="Arial" w:hAnsi="Arial" w:cs="Arial"/>
          <w:color w:val="000000"/>
        </w:rPr>
        <w:t>phosphopeptide</w:t>
      </w:r>
      <w:proofErr w:type="spellEnd"/>
      <w:r w:rsidRPr="00562FF8">
        <w:rPr>
          <w:rFonts w:ascii="Arial" w:hAnsi="Arial" w:cs="Arial"/>
          <w:color w:val="000000"/>
        </w:rPr>
        <w:t xml:space="preserve"> sequencing data. The assignment of random amino acids to the sequences lacking any of the surrounding six amino acids from the phosphorylation site could potentially bias our distance calculations and thus our clustering. To overcome this, we propose either (</w:t>
      </w:r>
      <w:proofErr w:type="spellStart"/>
      <w:r w:rsidRPr="00562FF8">
        <w:rPr>
          <w:rFonts w:ascii="Arial" w:hAnsi="Arial" w:cs="Arial"/>
          <w:color w:val="000000"/>
        </w:rPr>
        <w:t>i</w:t>
      </w:r>
      <w:proofErr w:type="spellEnd"/>
      <w:r w:rsidRPr="00562FF8">
        <w:rPr>
          <w:rFonts w:ascii="Arial" w:hAnsi="Arial" w:cs="Arial"/>
          <w:color w:val="000000"/>
        </w:rPr>
        <w:t xml:space="preserve">) find the bug preventing us from disregarding distance calculation when a residue within the motif sequence is missing, or (ii) find a way to incorporate the correct amino acids in these sequences by mapping them from proteomics databases such as </w:t>
      </w:r>
      <w:proofErr w:type="spellStart"/>
      <w:r>
        <w:rPr>
          <w:rFonts w:ascii="Arial" w:hAnsi="Arial" w:cs="Arial"/>
          <w:color w:val="000000"/>
        </w:rPr>
        <w:t>U</w:t>
      </w:r>
      <w:r w:rsidRPr="00562FF8">
        <w:rPr>
          <w:rFonts w:ascii="Arial" w:hAnsi="Arial" w:cs="Arial"/>
          <w:color w:val="000000"/>
        </w:rPr>
        <w:t>niprot</w:t>
      </w:r>
      <w:proofErr w:type="spellEnd"/>
      <w:r w:rsidRPr="00562FF8">
        <w:rPr>
          <w:rFonts w:ascii="Arial" w:hAnsi="Arial" w:cs="Arial"/>
          <w:color w:val="000000"/>
        </w:rPr>
        <w:t>.  N</w:t>
      </w:r>
      <w:r>
        <w:rPr>
          <w:rFonts w:ascii="Arial" w:hAnsi="Arial" w:cs="Arial"/>
          <w:color w:val="000000"/>
        </w:rPr>
        <w:t>e</w:t>
      </w:r>
      <w:r w:rsidRPr="00562FF8">
        <w:rPr>
          <w:rFonts w:ascii="Arial" w:hAnsi="Arial" w:cs="Arial"/>
          <w:color w:val="000000"/>
        </w:rPr>
        <w:t xml:space="preserve">vertheless, despite this limitation, repeated runs of our program provided consistent clustering results and PLSR outputs. In addition, given the assumption that lowercase residues within the </w:t>
      </w:r>
      <w:proofErr w:type="spellStart"/>
      <w:r w:rsidRPr="00562FF8">
        <w:rPr>
          <w:rFonts w:ascii="Arial" w:hAnsi="Arial" w:cs="Arial"/>
          <w:color w:val="000000"/>
        </w:rPr>
        <w:t>phosphopeptide</w:t>
      </w:r>
      <w:proofErr w:type="spellEnd"/>
      <w:r w:rsidRPr="00562FF8">
        <w:rPr>
          <w:rFonts w:ascii="Arial" w:hAnsi="Arial" w:cs="Arial"/>
          <w:color w:val="000000"/>
        </w:rPr>
        <w:t xml:space="preserve"> sequences correspond to low quality/accuracy sequencing results, we could attempt to further improve distance calculation by weighting more uppercase residues. </w:t>
      </w:r>
    </w:p>
    <w:p w14:paraId="7FCEB5D1" w14:textId="77777777" w:rsidR="00562FF8" w:rsidRPr="00562FF8" w:rsidRDefault="00562FF8" w:rsidP="00562FF8">
      <w:pPr>
        <w:spacing w:line="276" w:lineRule="auto"/>
        <w:jc w:val="both"/>
        <w:rPr>
          <w:rFonts w:ascii="Arial" w:hAnsi="Arial" w:cs="Arial"/>
          <w:color w:val="000000"/>
        </w:rPr>
      </w:pPr>
    </w:p>
    <w:p w14:paraId="4882865D" w14:textId="532A8780" w:rsidR="004A2E9E" w:rsidRDefault="00562FF8" w:rsidP="00562FF8">
      <w:pPr>
        <w:spacing w:line="276" w:lineRule="auto"/>
        <w:jc w:val="both"/>
        <w:rPr>
          <w:rFonts w:ascii="Arial" w:hAnsi="Arial" w:cs="Arial"/>
          <w:color w:val="000000"/>
        </w:rPr>
      </w:pPr>
      <w:r w:rsidRPr="00562FF8">
        <w:rPr>
          <w:rFonts w:ascii="Arial" w:hAnsi="Arial" w:cs="Arial"/>
          <w:color w:val="000000"/>
        </w:rPr>
        <w:t>Conclusively, even though the aforementioned analysis limitations prevent us from digging any deeper on the interpretation of the predicted signaling clusters driving our cell phenotypes of interest, these study shows that, after overcoming these issues, our methodology could help unravel the network-level signaling state of bypass resistant tumors.</w:t>
      </w:r>
    </w:p>
    <w:p w14:paraId="219D0A6D" w14:textId="77777777" w:rsidR="00562FF8" w:rsidRPr="004A2E9E" w:rsidRDefault="00562FF8" w:rsidP="00562FF8"/>
    <w:p w14:paraId="57CDC9FC" w14:textId="77777777" w:rsidR="00562FF8" w:rsidRDefault="00562FF8" w:rsidP="004A2E9E">
      <w:pPr>
        <w:rPr>
          <w:rFonts w:ascii="Arial" w:hAnsi="Arial" w:cs="Arial"/>
          <w:b/>
          <w:bCs/>
          <w:color w:val="000000"/>
        </w:rPr>
      </w:pPr>
    </w:p>
    <w:p w14:paraId="544D1BA5" w14:textId="77777777" w:rsidR="00562FF8" w:rsidRDefault="00562FF8" w:rsidP="004A2E9E">
      <w:pPr>
        <w:rPr>
          <w:rFonts w:ascii="Arial" w:hAnsi="Arial" w:cs="Arial"/>
          <w:b/>
          <w:bCs/>
          <w:color w:val="000000"/>
        </w:rPr>
      </w:pPr>
    </w:p>
    <w:p w14:paraId="52697D9E" w14:textId="7E08E131" w:rsidR="004A2E9E" w:rsidRPr="004A2E9E" w:rsidRDefault="00562FF8" w:rsidP="004A2E9E">
      <w:r>
        <w:rPr>
          <w:rFonts w:ascii="Arial" w:hAnsi="Arial" w:cs="Arial"/>
          <w:b/>
          <w:bCs/>
          <w:color w:val="000000"/>
        </w:rPr>
        <w:lastRenderedPageBreak/>
        <w:t>REFERENCES</w:t>
      </w:r>
    </w:p>
    <w:p w14:paraId="64AFE793" w14:textId="77777777" w:rsidR="0019058E" w:rsidRDefault="0019058E" w:rsidP="004A2E9E"/>
    <w:p w14:paraId="6D0A54CF" w14:textId="0647F657" w:rsidR="00562FF8" w:rsidRPr="00562FF8" w:rsidRDefault="00562FF8" w:rsidP="00562FF8">
      <w:pPr>
        <w:widowControl w:val="0"/>
        <w:autoSpaceDE w:val="0"/>
        <w:autoSpaceDN w:val="0"/>
        <w:adjustRightInd w:val="0"/>
        <w:spacing w:line="276" w:lineRule="auto"/>
        <w:ind w:left="640" w:hanging="640"/>
        <w:rPr>
          <w:rFonts w:ascii="Arial" w:hAnsi="Arial" w:cs="Arial"/>
          <w:noProof/>
        </w:rPr>
      </w:pPr>
      <w:r>
        <w:rPr>
          <w:rFonts w:ascii="Arial" w:hAnsi="Arial" w:cs="Arial"/>
          <w:color w:val="000000"/>
        </w:rPr>
        <w:fldChar w:fldCharType="begin" w:fldLock="1"/>
      </w:r>
      <w:r>
        <w:rPr>
          <w:rFonts w:ascii="Arial" w:hAnsi="Arial" w:cs="Arial"/>
          <w:color w:val="000000"/>
        </w:rPr>
        <w:instrText xml:space="preserve">ADDIN Mendeley Bibliography CSL_BIBLIOGRAPHY </w:instrText>
      </w:r>
      <w:r>
        <w:rPr>
          <w:rFonts w:ascii="Arial" w:hAnsi="Arial" w:cs="Arial"/>
          <w:color w:val="000000"/>
        </w:rPr>
        <w:fldChar w:fldCharType="separate"/>
      </w:r>
      <w:r w:rsidRPr="00562FF8">
        <w:rPr>
          <w:rFonts w:ascii="Arial" w:hAnsi="Arial" w:cs="Arial"/>
          <w:noProof/>
        </w:rPr>
        <w:t>1.</w:t>
      </w:r>
      <w:r w:rsidRPr="00562FF8">
        <w:rPr>
          <w:rFonts w:ascii="Arial" w:hAnsi="Arial" w:cs="Arial"/>
          <w:noProof/>
        </w:rPr>
        <w:tab/>
        <w:t xml:space="preserve">Hanahan, D. &amp; Weinberg, R. A. The hallmarks of cancer. </w:t>
      </w:r>
      <w:r w:rsidRPr="00562FF8">
        <w:rPr>
          <w:rFonts w:ascii="Arial" w:hAnsi="Arial" w:cs="Arial"/>
          <w:i/>
          <w:iCs/>
          <w:noProof/>
        </w:rPr>
        <w:t>Cell</w:t>
      </w:r>
      <w:r w:rsidRPr="00562FF8">
        <w:rPr>
          <w:rFonts w:ascii="Arial" w:hAnsi="Arial" w:cs="Arial"/>
          <w:noProof/>
        </w:rPr>
        <w:t xml:space="preserve"> </w:t>
      </w:r>
      <w:r w:rsidRPr="00562FF8">
        <w:rPr>
          <w:rFonts w:ascii="Arial" w:hAnsi="Arial" w:cs="Arial"/>
          <w:b/>
          <w:bCs/>
          <w:noProof/>
        </w:rPr>
        <w:t>100,</w:t>
      </w:r>
      <w:r w:rsidRPr="00562FF8">
        <w:rPr>
          <w:rFonts w:ascii="Arial" w:hAnsi="Arial" w:cs="Arial"/>
          <w:noProof/>
        </w:rPr>
        <w:t xml:space="preserve"> 57–70 (2000).</w:t>
      </w:r>
    </w:p>
    <w:p w14:paraId="406477A5" w14:textId="77777777" w:rsidR="00562FF8" w:rsidRPr="00562FF8" w:rsidRDefault="00562FF8" w:rsidP="00562FF8">
      <w:pPr>
        <w:widowControl w:val="0"/>
        <w:autoSpaceDE w:val="0"/>
        <w:autoSpaceDN w:val="0"/>
        <w:adjustRightInd w:val="0"/>
        <w:spacing w:line="276" w:lineRule="auto"/>
        <w:ind w:left="640" w:hanging="640"/>
        <w:rPr>
          <w:rFonts w:ascii="Arial" w:hAnsi="Arial" w:cs="Arial"/>
          <w:noProof/>
        </w:rPr>
      </w:pPr>
      <w:r w:rsidRPr="00562FF8">
        <w:rPr>
          <w:rFonts w:ascii="Arial" w:hAnsi="Arial" w:cs="Arial"/>
          <w:noProof/>
        </w:rPr>
        <w:t>2.</w:t>
      </w:r>
      <w:r w:rsidRPr="00562FF8">
        <w:rPr>
          <w:rFonts w:ascii="Arial" w:hAnsi="Arial" w:cs="Arial"/>
          <w:noProof/>
        </w:rPr>
        <w:tab/>
        <w:t>Manole, S., Richards, E. J. &amp; Meyer, A. S. JNK Pathway Activation Modulates Acquired Resistance to EGFR / HER2 – Targeted Therapies. 5219–5229 (2016). doi:10.1158/0008-5472.CAN-16-0123</w:t>
      </w:r>
    </w:p>
    <w:p w14:paraId="694EC4E3" w14:textId="67A29D93" w:rsidR="00562FF8" w:rsidRDefault="00562FF8" w:rsidP="00562FF8">
      <w:pPr>
        <w:widowControl w:val="0"/>
        <w:autoSpaceDE w:val="0"/>
        <w:autoSpaceDN w:val="0"/>
        <w:adjustRightInd w:val="0"/>
        <w:spacing w:line="276" w:lineRule="auto"/>
        <w:ind w:left="640" w:hanging="640"/>
        <w:rPr>
          <w:rFonts w:ascii="Arial" w:hAnsi="Arial" w:cs="Arial"/>
          <w:noProof/>
        </w:rPr>
      </w:pPr>
      <w:r w:rsidRPr="00562FF8">
        <w:rPr>
          <w:rFonts w:ascii="Arial" w:hAnsi="Arial" w:cs="Arial"/>
          <w:noProof/>
        </w:rPr>
        <w:t>3.</w:t>
      </w:r>
      <w:r w:rsidRPr="00562FF8">
        <w:rPr>
          <w:rFonts w:ascii="Arial" w:hAnsi="Arial" w:cs="Arial"/>
          <w:noProof/>
        </w:rPr>
        <w:tab/>
        <w:t xml:space="preserve">Begley, M. J. </w:t>
      </w:r>
      <w:r w:rsidRPr="00562FF8">
        <w:rPr>
          <w:rFonts w:ascii="Arial" w:hAnsi="Arial" w:cs="Arial"/>
          <w:i/>
          <w:iCs/>
          <w:noProof/>
        </w:rPr>
        <w:t>et al.</w:t>
      </w:r>
      <w:r w:rsidRPr="00562FF8">
        <w:rPr>
          <w:rFonts w:ascii="Arial" w:hAnsi="Arial" w:cs="Arial"/>
          <w:noProof/>
        </w:rPr>
        <w:t xml:space="preserve"> EGF-receptor specificity for phosphotyrosine-primed substrates provides signal integration with Src. </w:t>
      </w:r>
      <w:r w:rsidRPr="00562FF8">
        <w:rPr>
          <w:rFonts w:ascii="Arial" w:hAnsi="Arial" w:cs="Arial"/>
          <w:i/>
          <w:iCs/>
          <w:noProof/>
        </w:rPr>
        <w:t>Nat. Struct. Mol. Biol.</w:t>
      </w:r>
      <w:r w:rsidRPr="00562FF8">
        <w:rPr>
          <w:rFonts w:ascii="Arial" w:hAnsi="Arial" w:cs="Arial"/>
          <w:noProof/>
        </w:rPr>
        <w:t xml:space="preserve"> </w:t>
      </w:r>
      <w:r w:rsidRPr="00562FF8">
        <w:rPr>
          <w:rFonts w:ascii="Arial" w:hAnsi="Arial" w:cs="Arial"/>
          <w:b/>
          <w:bCs/>
          <w:noProof/>
        </w:rPr>
        <w:t>22,</w:t>
      </w:r>
      <w:r w:rsidRPr="00562FF8">
        <w:rPr>
          <w:rFonts w:ascii="Arial" w:hAnsi="Arial" w:cs="Arial"/>
          <w:noProof/>
        </w:rPr>
        <w:t xml:space="preserve"> 983–990 (2015).</w:t>
      </w:r>
    </w:p>
    <w:p w14:paraId="1DCF27B7" w14:textId="13FBDE3E" w:rsidR="00562FF8" w:rsidRPr="004A2E9E" w:rsidRDefault="00562FF8" w:rsidP="00562FF8">
      <w:pPr>
        <w:spacing w:line="276" w:lineRule="auto"/>
      </w:pPr>
      <w:r>
        <w:rPr>
          <w:rFonts w:ascii="Arial" w:hAnsi="Arial" w:cs="Arial"/>
          <w:noProof/>
        </w:rPr>
        <w:t>4.</w:t>
      </w:r>
      <w:r>
        <w:rPr>
          <w:rFonts w:ascii="Arial" w:hAnsi="Arial" w:cs="Arial"/>
          <w:noProof/>
        </w:rPr>
        <w:tab/>
      </w:r>
      <w:r w:rsidRPr="004A2E9E">
        <w:rPr>
          <w:rFonts w:ascii="Arial" w:hAnsi="Arial" w:cs="Arial"/>
          <w:color w:val="000000"/>
        </w:rPr>
        <w:t>https://github.com/adamcweiner/flu-vax/tree/master/fluv</w:t>
      </w:r>
    </w:p>
    <w:p w14:paraId="64840E0E" w14:textId="64F4C8FB" w:rsidR="00562FF8" w:rsidRPr="00562FF8" w:rsidRDefault="00562FF8" w:rsidP="00562FF8">
      <w:pPr>
        <w:widowControl w:val="0"/>
        <w:autoSpaceDE w:val="0"/>
        <w:autoSpaceDN w:val="0"/>
        <w:adjustRightInd w:val="0"/>
        <w:ind w:left="640" w:hanging="640"/>
        <w:rPr>
          <w:rFonts w:ascii="Arial" w:hAnsi="Arial" w:cs="Arial"/>
          <w:noProof/>
        </w:rPr>
      </w:pPr>
      <w:r>
        <w:rPr>
          <w:rFonts w:ascii="Arial" w:hAnsi="Arial" w:cs="Arial"/>
          <w:noProof/>
        </w:rPr>
        <w:t xml:space="preserve"> </w:t>
      </w:r>
    </w:p>
    <w:p w14:paraId="786AA1F1" w14:textId="2F336BDA" w:rsidR="004A2E9E" w:rsidRPr="004A2E9E" w:rsidRDefault="00562FF8" w:rsidP="00562FF8">
      <w:pPr>
        <w:widowControl w:val="0"/>
        <w:autoSpaceDE w:val="0"/>
        <w:autoSpaceDN w:val="0"/>
        <w:adjustRightInd w:val="0"/>
        <w:rPr>
          <w:rFonts w:ascii="Arial" w:hAnsi="Arial" w:cs="Arial"/>
          <w:color w:val="000000"/>
        </w:rPr>
      </w:pPr>
      <w:r>
        <w:rPr>
          <w:rFonts w:ascii="Arial" w:hAnsi="Arial" w:cs="Arial"/>
          <w:color w:val="000000"/>
        </w:rPr>
        <w:fldChar w:fldCharType="end"/>
      </w:r>
    </w:p>
    <w:p w14:paraId="30DB5C57" w14:textId="77777777" w:rsidR="004A2E9E" w:rsidRDefault="004A2E9E"/>
    <w:p w14:paraId="5E7B8C61" w14:textId="7BADD144" w:rsidR="00BC708B" w:rsidRDefault="00BC708B"/>
    <w:sectPr w:rsidR="00BC708B" w:rsidSect="008927B0">
      <w:footerReference w:type="even" r:id="rId12"/>
      <w:footerReference w:type="default" r:id="rId1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BD3725" w14:textId="77777777" w:rsidR="001C28B1" w:rsidRDefault="001C28B1" w:rsidP="005C2109">
      <w:r>
        <w:separator/>
      </w:r>
    </w:p>
  </w:endnote>
  <w:endnote w:type="continuationSeparator" w:id="0">
    <w:p w14:paraId="28983AA6" w14:textId="77777777" w:rsidR="001C28B1" w:rsidRDefault="001C28B1" w:rsidP="005C21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11687983"/>
      <w:docPartObj>
        <w:docPartGallery w:val="Page Numbers (Bottom of Page)"/>
        <w:docPartUnique/>
      </w:docPartObj>
    </w:sdtPr>
    <w:sdtContent>
      <w:p w14:paraId="26E861EE" w14:textId="2A0593CA" w:rsidR="005C2109" w:rsidRDefault="005C2109" w:rsidP="00F953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26990E5" w14:textId="77777777" w:rsidR="005C2109" w:rsidRDefault="005C21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8846647"/>
      <w:docPartObj>
        <w:docPartGallery w:val="Page Numbers (Bottom of Page)"/>
        <w:docPartUnique/>
      </w:docPartObj>
    </w:sdtPr>
    <w:sdtContent>
      <w:p w14:paraId="2E18B02D" w14:textId="012CE9D3" w:rsidR="005C2109" w:rsidRDefault="005C2109" w:rsidP="00F953A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605E92" w14:textId="77777777" w:rsidR="005C2109" w:rsidRDefault="005C21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304EB" w14:textId="77777777" w:rsidR="001C28B1" w:rsidRDefault="001C28B1" w:rsidP="005C2109">
      <w:r>
        <w:separator/>
      </w:r>
    </w:p>
  </w:footnote>
  <w:footnote w:type="continuationSeparator" w:id="0">
    <w:p w14:paraId="0AD3B085" w14:textId="77777777" w:rsidR="001C28B1" w:rsidRDefault="001C28B1" w:rsidP="005C21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AAB20D0"/>
    <w:multiLevelType w:val="multilevel"/>
    <w:tmpl w:val="FBBAA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71E343C"/>
    <w:multiLevelType w:val="multilevel"/>
    <w:tmpl w:val="5BA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BF38F3"/>
    <w:multiLevelType w:val="hybridMultilevel"/>
    <w:tmpl w:val="A8007304"/>
    <w:lvl w:ilvl="0" w:tplc="8B34F514">
      <w:start w:val="12"/>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08B"/>
    <w:rsid w:val="000865A5"/>
    <w:rsid w:val="000D1158"/>
    <w:rsid w:val="000F058F"/>
    <w:rsid w:val="00161A9D"/>
    <w:rsid w:val="00166494"/>
    <w:rsid w:val="0019058E"/>
    <w:rsid w:val="001C28B1"/>
    <w:rsid w:val="001C4F9E"/>
    <w:rsid w:val="00277E92"/>
    <w:rsid w:val="002A71A0"/>
    <w:rsid w:val="002E6240"/>
    <w:rsid w:val="00481554"/>
    <w:rsid w:val="00490E97"/>
    <w:rsid w:val="004A2E9E"/>
    <w:rsid w:val="0055513E"/>
    <w:rsid w:val="00562FF8"/>
    <w:rsid w:val="005C2109"/>
    <w:rsid w:val="0062096E"/>
    <w:rsid w:val="00647463"/>
    <w:rsid w:val="006B6932"/>
    <w:rsid w:val="007217BA"/>
    <w:rsid w:val="00743535"/>
    <w:rsid w:val="007D0E0A"/>
    <w:rsid w:val="007E1948"/>
    <w:rsid w:val="00854DB3"/>
    <w:rsid w:val="008927B0"/>
    <w:rsid w:val="009233B9"/>
    <w:rsid w:val="00937645"/>
    <w:rsid w:val="00AD5682"/>
    <w:rsid w:val="00B86AF9"/>
    <w:rsid w:val="00BC708B"/>
    <w:rsid w:val="00C22E67"/>
    <w:rsid w:val="00C528C2"/>
    <w:rsid w:val="00CB06EF"/>
    <w:rsid w:val="00DC6F3E"/>
    <w:rsid w:val="00DE2493"/>
    <w:rsid w:val="00E45C5B"/>
    <w:rsid w:val="00E90F9A"/>
    <w:rsid w:val="00F65778"/>
    <w:rsid w:val="00F93B7A"/>
    <w:rsid w:val="00FA7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AA46B"/>
  <w15:chartTrackingRefBased/>
  <w15:docId w15:val="{76BB6E0F-8719-5F44-AFA3-1DC688ADC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3B9"/>
    <w:rPr>
      <w:rFonts w:ascii="Times New Roman" w:eastAsia="Times New Roman" w:hAnsi="Times New Roman" w:cs="Times New Roman"/>
    </w:rPr>
  </w:style>
  <w:style w:type="paragraph" w:styleId="Heading3">
    <w:name w:val="heading 3"/>
    <w:basedOn w:val="Normal"/>
    <w:link w:val="Heading3Char"/>
    <w:uiPriority w:val="9"/>
    <w:qFormat/>
    <w:rsid w:val="00FA77A7"/>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2E9E"/>
    <w:pPr>
      <w:spacing w:before="100" w:beforeAutospacing="1" w:after="100" w:afterAutospacing="1"/>
    </w:pPr>
  </w:style>
  <w:style w:type="paragraph" w:styleId="Caption">
    <w:name w:val="caption"/>
    <w:basedOn w:val="Normal"/>
    <w:next w:val="Normal"/>
    <w:uiPriority w:val="35"/>
    <w:semiHidden/>
    <w:unhideWhenUsed/>
    <w:qFormat/>
    <w:rsid w:val="00647463"/>
    <w:pPr>
      <w:spacing w:after="200"/>
    </w:pPr>
    <w:rPr>
      <w:i/>
      <w:iCs/>
      <w:color w:val="44546A" w:themeColor="text2"/>
      <w:sz w:val="18"/>
      <w:szCs w:val="18"/>
    </w:rPr>
  </w:style>
  <w:style w:type="table" w:styleId="TableGrid">
    <w:name w:val="Table Grid"/>
    <w:basedOn w:val="TableNormal"/>
    <w:uiPriority w:val="39"/>
    <w:rsid w:val="006209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C528C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
    <w:name w:val="List Table 3"/>
    <w:basedOn w:val="TableNormal"/>
    <w:uiPriority w:val="48"/>
    <w:rsid w:val="00C528C2"/>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C52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528C2"/>
    <w:rPr>
      <w:rFonts w:ascii="Courier New" w:eastAsia="Times New Roman" w:hAnsi="Courier New" w:cs="Courier New"/>
      <w:sz w:val="20"/>
      <w:szCs w:val="20"/>
    </w:rPr>
  </w:style>
  <w:style w:type="paragraph" w:styleId="ListParagraph">
    <w:name w:val="List Paragraph"/>
    <w:basedOn w:val="Normal"/>
    <w:uiPriority w:val="34"/>
    <w:qFormat/>
    <w:rsid w:val="00C528C2"/>
    <w:pPr>
      <w:ind w:left="720"/>
      <w:contextualSpacing/>
    </w:pPr>
  </w:style>
  <w:style w:type="paragraph" w:styleId="Footer">
    <w:name w:val="footer"/>
    <w:basedOn w:val="Normal"/>
    <w:link w:val="FooterChar"/>
    <w:uiPriority w:val="99"/>
    <w:unhideWhenUsed/>
    <w:rsid w:val="005C2109"/>
    <w:pPr>
      <w:tabs>
        <w:tab w:val="center" w:pos="4680"/>
        <w:tab w:val="right" w:pos="9360"/>
      </w:tabs>
    </w:pPr>
  </w:style>
  <w:style w:type="character" w:customStyle="1" w:styleId="FooterChar">
    <w:name w:val="Footer Char"/>
    <w:basedOn w:val="DefaultParagraphFont"/>
    <w:link w:val="Footer"/>
    <w:uiPriority w:val="99"/>
    <w:rsid w:val="005C2109"/>
    <w:rPr>
      <w:rFonts w:ascii="Times New Roman" w:eastAsia="Times New Roman" w:hAnsi="Times New Roman" w:cs="Times New Roman"/>
    </w:rPr>
  </w:style>
  <w:style w:type="character" w:styleId="PageNumber">
    <w:name w:val="page number"/>
    <w:basedOn w:val="DefaultParagraphFont"/>
    <w:uiPriority w:val="99"/>
    <w:semiHidden/>
    <w:unhideWhenUsed/>
    <w:rsid w:val="005C2109"/>
  </w:style>
  <w:style w:type="character" w:customStyle="1" w:styleId="Heading3Char">
    <w:name w:val="Heading 3 Char"/>
    <w:basedOn w:val="DefaultParagraphFont"/>
    <w:link w:val="Heading3"/>
    <w:uiPriority w:val="9"/>
    <w:rsid w:val="00FA77A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A77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6864">
      <w:bodyDiv w:val="1"/>
      <w:marLeft w:val="0"/>
      <w:marRight w:val="0"/>
      <w:marTop w:val="0"/>
      <w:marBottom w:val="0"/>
      <w:divBdr>
        <w:top w:val="none" w:sz="0" w:space="0" w:color="auto"/>
        <w:left w:val="none" w:sz="0" w:space="0" w:color="auto"/>
        <w:bottom w:val="none" w:sz="0" w:space="0" w:color="auto"/>
        <w:right w:val="none" w:sz="0" w:space="0" w:color="auto"/>
      </w:divBdr>
      <w:divsChild>
        <w:div w:id="966592659">
          <w:marLeft w:val="0"/>
          <w:marRight w:val="0"/>
          <w:marTop w:val="0"/>
          <w:marBottom w:val="0"/>
          <w:divBdr>
            <w:top w:val="none" w:sz="0" w:space="0" w:color="auto"/>
            <w:left w:val="none" w:sz="0" w:space="0" w:color="auto"/>
            <w:bottom w:val="none" w:sz="0" w:space="0" w:color="auto"/>
            <w:right w:val="none" w:sz="0" w:space="0" w:color="auto"/>
          </w:divBdr>
          <w:divsChild>
            <w:div w:id="1768648987">
              <w:marLeft w:val="0"/>
              <w:marRight w:val="0"/>
              <w:marTop w:val="0"/>
              <w:marBottom w:val="0"/>
              <w:divBdr>
                <w:top w:val="none" w:sz="0" w:space="0" w:color="auto"/>
                <w:left w:val="none" w:sz="0" w:space="0" w:color="auto"/>
                <w:bottom w:val="none" w:sz="0" w:space="0" w:color="auto"/>
                <w:right w:val="none" w:sz="0" w:space="0" w:color="auto"/>
              </w:divBdr>
              <w:divsChild>
                <w:div w:id="15635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6371">
      <w:bodyDiv w:val="1"/>
      <w:marLeft w:val="0"/>
      <w:marRight w:val="0"/>
      <w:marTop w:val="0"/>
      <w:marBottom w:val="0"/>
      <w:divBdr>
        <w:top w:val="none" w:sz="0" w:space="0" w:color="auto"/>
        <w:left w:val="none" w:sz="0" w:space="0" w:color="auto"/>
        <w:bottom w:val="none" w:sz="0" w:space="0" w:color="auto"/>
        <w:right w:val="none" w:sz="0" w:space="0" w:color="auto"/>
      </w:divBdr>
      <w:divsChild>
        <w:div w:id="1439791791">
          <w:marLeft w:val="0"/>
          <w:marRight w:val="0"/>
          <w:marTop w:val="0"/>
          <w:marBottom w:val="0"/>
          <w:divBdr>
            <w:top w:val="none" w:sz="0" w:space="0" w:color="auto"/>
            <w:left w:val="none" w:sz="0" w:space="0" w:color="auto"/>
            <w:bottom w:val="none" w:sz="0" w:space="0" w:color="auto"/>
            <w:right w:val="none" w:sz="0" w:space="0" w:color="auto"/>
          </w:divBdr>
        </w:div>
        <w:div w:id="833841663">
          <w:marLeft w:val="0"/>
          <w:marRight w:val="0"/>
          <w:marTop w:val="0"/>
          <w:marBottom w:val="0"/>
          <w:divBdr>
            <w:top w:val="none" w:sz="0" w:space="0" w:color="auto"/>
            <w:left w:val="none" w:sz="0" w:space="0" w:color="auto"/>
            <w:bottom w:val="none" w:sz="0" w:space="0" w:color="auto"/>
            <w:right w:val="none" w:sz="0" w:space="0" w:color="auto"/>
          </w:divBdr>
        </w:div>
      </w:divsChild>
    </w:div>
    <w:div w:id="202669359">
      <w:bodyDiv w:val="1"/>
      <w:marLeft w:val="0"/>
      <w:marRight w:val="0"/>
      <w:marTop w:val="0"/>
      <w:marBottom w:val="0"/>
      <w:divBdr>
        <w:top w:val="none" w:sz="0" w:space="0" w:color="auto"/>
        <w:left w:val="none" w:sz="0" w:space="0" w:color="auto"/>
        <w:bottom w:val="none" w:sz="0" w:space="0" w:color="auto"/>
        <w:right w:val="none" w:sz="0" w:space="0" w:color="auto"/>
      </w:divBdr>
    </w:div>
    <w:div w:id="213195733">
      <w:bodyDiv w:val="1"/>
      <w:marLeft w:val="0"/>
      <w:marRight w:val="0"/>
      <w:marTop w:val="0"/>
      <w:marBottom w:val="0"/>
      <w:divBdr>
        <w:top w:val="none" w:sz="0" w:space="0" w:color="auto"/>
        <w:left w:val="none" w:sz="0" w:space="0" w:color="auto"/>
        <w:bottom w:val="none" w:sz="0" w:space="0" w:color="auto"/>
        <w:right w:val="none" w:sz="0" w:space="0" w:color="auto"/>
      </w:divBdr>
    </w:div>
    <w:div w:id="352000297">
      <w:bodyDiv w:val="1"/>
      <w:marLeft w:val="0"/>
      <w:marRight w:val="0"/>
      <w:marTop w:val="0"/>
      <w:marBottom w:val="0"/>
      <w:divBdr>
        <w:top w:val="none" w:sz="0" w:space="0" w:color="auto"/>
        <w:left w:val="none" w:sz="0" w:space="0" w:color="auto"/>
        <w:bottom w:val="none" w:sz="0" w:space="0" w:color="auto"/>
        <w:right w:val="none" w:sz="0" w:space="0" w:color="auto"/>
      </w:divBdr>
    </w:div>
    <w:div w:id="438186870">
      <w:bodyDiv w:val="1"/>
      <w:marLeft w:val="0"/>
      <w:marRight w:val="0"/>
      <w:marTop w:val="0"/>
      <w:marBottom w:val="0"/>
      <w:divBdr>
        <w:top w:val="none" w:sz="0" w:space="0" w:color="auto"/>
        <w:left w:val="none" w:sz="0" w:space="0" w:color="auto"/>
        <w:bottom w:val="none" w:sz="0" w:space="0" w:color="auto"/>
        <w:right w:val="none" w:sz="0" w:space="0" w:color="auto"/>
      </w:divBdr>
    </w:div>
    <w:div w:id="491874690">
      <w:bodyDiv w:val="1"/>
      <w:marLeft w:val="0"/>
      <w:marRight w:val="0"/>
      <w:marTop w:val="0"/>
      <w:marBottom w:val="0"/>
      <w:divBdr>
        <w:top w:val="none" w:sz="0" w:space="0" w:color="auto"/>
        <w:left w:val="none" w:sz="0" w:space="0" w:color="auto"/>
        <w:bottom w:val="none" w:sz="0" w:space="0" w:color="auto"/>
        <w:right w:val="none" w:sz="0" w:space="0" w:color="auto"/>
      </w:divBdr>
    </w:div>
    <w:div w:id="645088385">
      <w:bodyDiv w:val="1"/>
      <w:marLeft w:val="0"/>
      <w:marRight w:val="0"/>
      <w:marTop w:val="0"/>
      <w:marBottom w:val="0"/>
      <w:divBdr>
        <w:top w:val="none" w:sz="0" w:space="0" w:color="auto"/>
        <w:left w:val="none" w:sz="0" w:space="0" w:color="auto"/>
        <w:bottom w:val="none" w:sz="0" w:space="0" w:color="auto"/>
        <w:right w:val="none" w:sz="0" w:space="0" w:color="auto"/>
      </w:divBdr>
    </w:div>
    <w:div w:id="820390883">
      <w:bodyDiv w:val="1"/>
      <w:marLeft w:val="0"/>
      <w:marRight w:val="0"/>
      <w:marTop w:val="0"/>
      <w:marBottom w:val="0"/>
      <w:divBdr>
        <w:top w:val="none" w:sz="0" w:space="0" w:color="auto"/>
        <w:left w:val="none" w:sz="0" w:space="0" w:color="auto"/>
        <w:bottom w:val="none" w:sz="0" w:space="0" w:color="auto"/>
        <w:right w:val="none" w:sz="0" w:space="0" w:color="auto"/>
      </w:divBdr>
    </w:div>
    <w:div w:id="906377728">
      <w:bodyDiv w:val="1"/>
      <w:marLeft w:val="0"/>
      <w:marRight w:val="0"/>
      <w:marTop w:val="0"/>
      <w:marBottom w:val="0"/>
      <w:divBdr>
        <w:top w:val="none" w:sz="0" w:space="0" w:color="auto"/>
        <w:left w:val="none" w:sz="0" w:space="0" w:color="auto"/>
        <w:bottom w:val="none" w:sz="0" w:space="0" w:color="auto"/>
        <w:right w:val="none" w:sz="0" w:space="0" w:color="auto"/>
      </w:divBdr>
    </w:div>
    <w:div w:id="1007826164">
      <w:bodyDiv w:val="1"/>
      <w:marLeft w:val="0"/>
      <w:marRight w:val="0"/>
      <w:marTop w:val="0"/>
      <w:marBottom w:val="0"/>
      <w:divBdr>
        <w:top w:val="none" w:sz="0" w:space="0" w:color="auto"/>
        <w:left w:val="none" w:sz="0" w:space="0" w:color="auto"/>
        <w:bottom w:val="none" w:sz="0" w:space="0" w:color="auto"/>
        <w:right w:val="none" w:sz="0" w:space="0" w:color="auto"/>
      </w:divBdr>
      <w:divsChild>
        <w:div w:id="1685478314">
          <w:marLeft w:val="0"/>
          <w:marRight w:val="0"/>
          <w:marTop w:val="0"/>
          <w:marBottom w:val="0"/>
          <w:divBdr>
            <w:top w:val="none" w:sz="0" w:space="0" w:color="auto"/>
            <w:left w:val="none" w:sz="0" w:space="0" w:color="auto"/>
            <w:bottom w:val="none" w:sz="0" w:space="0" w:color="auto"/>
            <w:right w:val="none" w:sz="0" w:space="0" w:color="auto"/>
          </w:divBdr>
          <w:divsChild>
            <w:div w:id="496069525">
              <w:marLeft w:val="0"/>
              <w:marRight w:val="0"/>
              <w:marTop w:val="0"/>
              <w:marBottom w:val="0"/>
              <w:divBdr>
                <w:top w:val="none" w:sz="0" w:space="0" w:color="auto"/>
                <w:left w:val="none" w:sz="0" w:space="0" w:color="auto"/>
                <w:bottom w:val="none" w:sz="0" w:space="0" w:color="auto"/>
                <w:right w:val="none" w:sz="0" w:space="0" w:color="auto"/>
              </w:divBdr>
              <w:divsChild>
                <w:div w:id="14468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52518">
      <w:bodyDiv w:val="1"/>
      <w:marLeft w:val="0"/>
      <w:marRight w:val="0"/>
      <w:marTop w:val="0"/>
      <w:marBottom w:val="0"/>
      <w:divBdr>
        <w:top w:val="none" w:sz="0" w:space="0" w:color="auto"/>
        <w:left w:val="none" w:sz="0" w:space="0" w:color="auto"/>
        <w:bottom w:val="none" w:sz="0" w:space="0" w:color="auto"/>
        <w:right w:val="none" w:sz="0" w:space="0" w:color="auto"/>
      </w:divBdr>
    </w:div>
    <w:div w:id="1041511162">
      <w:bodyDiv w:val="1"/>
      <w:marLeft w:val="0"/>
      <w:marRight w:val="0"/>
      <w:marTop w:val="0"/>
      <w:marBottom w:val="0"/>
      <w:divBdr>
        <w:top w:val="none" w:sz="0" w:space="0" w:color="auto"/>
        <w:left w:val="none" w:sz="0" w:space="0" w:color="auto"/>
        <w:bottom w:val="none" w:sz="0" w:space="0" w:color="auto"/>
        <w:right w:val="none" w:sz="0" w:space="0" w:color="auto"/>
      </w:divBdr>
    </w:div>
    <w:div w:id="1328054117">
      <w:bodyDiv w:val="1"/>
      <w:marLeft w:val="0"/>
      <w:marRight w:val="0"/>
      <w:marTop w:val="0"/>
      <w:marBottom w:val="0"/>
      <w:divBdr>
        <w:top w:val="none" w:sz="0" w:space="0" w:color="auto"/>
        <w:left w:val="none" w:sz="0" w:space="0" w:color="auto"/>
        <w:bottom w:val="none" w:sz="0" w:space="0" w:color="auto"/>
        <w:right w:val="none" w:sz="0" w:space="0" w:color="auto"/>
      </w:divBdr>
    </w:div>
    <w:div w:id="1385175006">
      <w:bodyDiv w:val="1"/>
      <w:marLeft w:val="0"/>
      <w:marRight w:val="0"/>
      <w:marTop w:val="0"/>
      <w:marBottom w:val="0"/>
      <w:divBdr>
        <w:top w:val="none" w:sz="0" w:space="0" w:color="auto"/>
        <w:left w:val="none" w:sz="0" w:space="0" w:color="auto"/>
        <w:bottom w:val="none" w:sz="0" w:space="0" w:color="auto"/>
        <w:right w:val="none" w:sz="0" w:space="0" w:color="auto"/>
      </w:divBdr>
    </w:div>
    <w:div w:id="1391228632">
      <w:bodyDiv w:val="1"/>
      <w:marLeft w:val="0"/>
      <w:marRight w:val="0"/>
      <w:marTop w:val="0"/>
      <w:marBottom w:val="0"/>
      <w:divBdr>
        <w:top w:val="none" w:sz="0" w:space="0" w:color="auto"/>
        <w:left w:val="none" w:sz="0" w:space="0" w:color="auto"/>
        <w:bottom w:val="none" w:sz="0" w:space="0" w:color="auto"/>
        <w:right w:val="none" w:sz="0" w:space="0" w:color="auto"/>
      </w:divBdr>
    </w:div>
    <w:div w:id="1513567996">
      <w:bodyDiv w:val="1"/>
      <w:marLeft w:val="0"/>
      <w:marRight w:val="0"/>
      <w:marTop w:val="0"/>
      <w:marBottom w:val="0"/>
      <w:divBdr>
        <w:top w:val="none" w:sz="0" w:space="0" w:color="auto"/>
        <w:left w:val="none" w:sz="0" w:space="0" w:color="auto"/>
        <w:bottom w:val="none" w:sz="0" w:space="0" w:color="auto"/>
        <w:right w:val="none" w:sz="0" w:space="0" w:color="auto"/>
      </w:divBdr>
    </w:div>
    <w:div w:id="1645889748">
      <w:bodyDiv w:val="1"/>
      <w:marLeft w:val="0"/>
      <w:marRight w:val="0"/>
      <w:marTop w:val="0"/>
      <w:marBottom w:val="0"/>
      <w:divBdr>
        <w:top w:val="none" w:sz="0" w:space="0" w:color="auto"/>
        <w:left w:val="none" w:sz="0" w:space="0" w:color="auto"/>
        <w:bottom w:val="none" w:sz="0" w:space="0" w:color="auto"/>
        <w:right w:val="none" w:sz="0" w:space="0" w:color="auto"/>
      </w:divBdr>
    </w:div>
    <w:div w:id="1745493267">
      <w:bodyDiv w:val="1"/>
      <w:marLeft w:val="0"/>
      <w:marRight w:val="0"/>
      <w:marTop w:val="0"/>
      <w:marBottom w:val="0"/>
      <w:divBdr>
        <w:top w:val="none" w:sz="0" w:space="0" w:color="auto"/>
        <w:left w:val="none" w:sz="0" w:space="0" w:color="auto"/>
        <w:bottom w:val="none" w:sz="0" w:space="0" w:color="auto"/>
        <w:right w:val="none" w:sz="0" w:space="0" w:color="auto"/>
      </w:divBdr>
    </w:div>
    <w:div w:id="1776708601">
      <w:bodyDiv w:val="1"/>
      <w:marLeft w:val="0"/>
      <w:marRight w:val="0"/>
      <w:marTop w:val="0"/>
      <w:marBottom w:val="0"/>
      <w:divBdr>
        <w:top w:val="none" w:sz="0" w:space="0" w:color="auto"/>
        <w:left w:val="none" w:sz="0" w:space="0" w:color="auto"/>
        <w:bottom w:val="none" w:sz="0" w:space="0" w:color="auto"/>
        <w:right w:val="none" w:sz="0" w:space="0" w:color="auto"/>
      </w:divBdr>
    </w:div>
    <w:div w:id="1797412778">
      <w:bodyDiv w:val="1"/>
      <w:marLeft w:val="0"/>
      <w:marRight w:val="0"/>
      <w:marTop w:val="0"/>
      <w:marBottom w:val="0"/>
      <w:divBdr>
        <w:top w:val="none" w:sz="0" w:space="0" w:color="auto"/>
        <w:left w:val="none" w:sz="0" w:space="0" w:color="auto"/>
        <w:bottom w:val="none" w:sz="0" w:space="0" w:color="auto"/>
        <w:right w:val="none" w:sz="0" w:space="0" w:color="auto"/>
      </w:divBdr>
    </w:div>
    <w:div w:id="1846087084">
      <w:bodyDiv w:val="1"/>
      <w:marLeft w:val="0"/>
      <w:marRight w:val="0"/>
      <w:marTop w:val="0"/>
      <w:marBottom w:val="0"/>
      <w:divBdr>
        <w:top w:val="none" w:sz="0" w:space="0" w:color="auto"/>
        <w:left w:val="none" w:sz="0" w:space="0" w:color="auto"/>
        <w:bottom w:val="none" w:sz="0" w:space="0" w:color="auto"/>
        <w:right w:val="none" w:sz="0" w:space="0" w:color="auto"/>
      </w:divBdr>
    </w:div>
    <w:div w:id="1884557229">
      <w:bodyDiv w:val="1"/>
      <w:marLeft w:val="0"/>
      <w:marRight w:val="0"/>
      <w:marTop w:val="0"/>
      <w:marBottom w:val="0"/>
      <w:divBdr>
        <w:top w:val="none" w:sz="0" w:space="0" w:color="auto"/>
        <w:left w:val="none" w:sz="0" w:space="0" w:color="auto"/>
        <w:bottom w:val="none" w:sz="0" w:space="0" w:color="auto"/>
        <w:right w:val="none" w:sz="0" w:space="0" w:color="auto"/>
      </w:divBdr>
      <w:divsChild>
        <w:div w:id="530849216">
          <w:marLeft w:val="0"/>
          <w:marRight w:val="0"/>
          <w:marTop w:val="0"/>
          <w:marBottom w:val="0"/>
          <w:divBdr>
            <w:top w:val="none" w:sz="0" w:space="0" w:color="auto"/>
            <w:left w:val="none" w:sz="0" w:space="0" w:color="auto"/>
            <w:bottom w:val="none" w:sz="0" w:space="0" w:color="auto"/>
            <w:right w:val="none" w:sz="0" w:space="0" w:color="auto"/>
          </w:divBdr>
          <w:divsChild>
            <w:div w:id="1481271164">
              <w:marLeft w:val="0"/>
              <w:marRight w:val="0"/>
              <w:marTop w:val="0"/>
              <w:marBottom w:val="0"/>
              <w:divBdr>
                <w:top w:val="none" w:sz="0" w:space="0" w:color="auto"/>
                <w:left w:val="none" w:sz="0" w:space="0" w:color="auto"/>
                <w:bottom w:val="none" w:sz="0" w:space="0" w:color="auto"/>
                <w:right w:val="none" w:sz="0" w:space="0" w:color="auto"/>
              </w:divBdr>
              <w:divsChild>
                <w:div w:id="4296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983890">
      <w:bodyDiv w:val="1"/>
      <w:marLeft w:val="0"/>
      <w:marRight w:val="0"/>
      <w:marTop w:val="0"/>
      <w:marBottom w:val="0"/>
      <w:divBdr>
        <w:top w:val="none" w:sz="0" w:space="0" w:color="auto"/>
        <w:left w:val="none" w:sz="0" w:space="0" w:color="auto"/>
        <w:bottom w:val="none" w:sz="0" w:space="0" w:color="auto"/>
        <w:right w:val="none" w:sz="0" w:space="0" w:color="auto"/>
      </w:divBdr>
    </w:div>
    <w:div w:id="2074087227">
      <w:bodyDiv w:val="1"/>
      <w:marLeft w:val="0"/>
      <w:marRight w:val="0"/>
      <w:marTop w:val="0"/>
      <w:marBottom w:val="0"/>
      <w:divBdr>
        <w:top w:val="none" w:sz="0" w:space="0" w:color="auto"/>
        <w:left w:val="none" w:sz="0" w:space="0" w:color="auto"/>
        <w:bottom w:val="none" w:sz="0" w:space="0" w:color="auto"/>
        <w:right w:val="none" w:sz="0" w:space="0" w:color="auto"/>
      </w:divBdr>
    </w:div>
    <w:div w:id="2129425809">
      <w:bodyDiv w:val="1"/>
      <w:marLeft w:val="0"/>
      <w:marRight w:val="0"/>
      <w:marTop w:val="0"/>
      <w:marBottom w:val="0"/>
      <w:divBdr>
        <w:top w:val="none" w:sz="0" w:space="0" w:color="auto"/>
        <w:left w:val="none" w:sz="0" w:space="0" w:color="auto"/>
        <w:bottom w:val="none" w:sz="0" w:space="0" w:color="auto"/>
        <w:right w:val="none" w:sz="0" w:space="0" w:color="auto"/>
      </w:divBdr>
    </w:div>
    <w:div w:id="213170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01F68-5D42-8345-8C33-4572DFA3C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Pages>
  <Words>3221</Words>
  <Characters>18364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 Santa-Olalla Adell</dc:creator>
  <cp:keywords/>
  <dc:description/>
  <cp:lastModifiedBy>Cris Santa-Olalla Adell</cp:lastModifiedBy>
  <cp:revision>9</cp:revision>
  <dcterms:created xsi:type="dcterms:W3CDTF">2019-03-19T18:46:00Z</dcterms:created>
  <dcterms:modified xsi:type="dcterms:W3CDTF">2019-03-21T09:05:00Z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97f933e1-ebc4-327a-994d-8eb7e1bc3672</vt:lpwstr>
  </property>
  <property fmtid="{D5CDD505-2E9C-101B-9397-08002B2CF9AE}" pid="4" name="Mendeley Citation Style_1">
    <vt:lpwstr>http://www.zotero.org/styles/nature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