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2171F"/>
          <w:sz w:val="42"/>
          <w:szCs w:val="42"/>
        </w:rPr>
        <w:t xml:space="preserve">Place Data Acquisition Strategy</w:t>
      </w:r>
    </w:p>
    <w:p>
      <w:pPr>
        <w:spacing w:after="240"/>
      </w:pPr>
      <w:r>
        <w:rPr>
          <w:color w:val="5B6472"/>
          <w:sz w:val="24"/>
          <w:szCs w:val="24"/>
        </w:rPr>
        <w:t xml:space="preserve">How Vamo builds an owned place graph — and where Confluendo fits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Owner</w:t>
            </w:r>
          </w:p>
        </w:tc>
        <w:tc>
          <w:tcPr>
            <w:tcW w:type="pct" w:w="32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Tiziano</w:t>
            </w:r>
          </w:p>
        </w:tc>
        <w:tc>
          <w:tcPr>
            <w:tcW w:type="pct" w:w="18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Date</w:t>
            </w:r>
          </w:p>
        </w:tc>
        <w:tc>
          <w:tcPr>
            <w:tcW w:type="pct" w:w="32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3 August 2026</w:t>
            </w:r>
          </w:p>
        </w:tc>
      </w:tr>
      <w:tr>
        <w:tc>
          <w:tcPr>
            <w:tcW w:type="pct" w:w="20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Draft for review</w:t>
            </w:r>
          </w:p>
        </w:tc>
        <w:tc>
          <w:tcPr>
            <w:tcW w:type="pct" w:w="20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Applies to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Vamo place graph · Confluendo</w:t>
            </w:r>
          </w:p>
        </w:tc>
      </w:tr>
    </w:tbl>
    <w:p>
      <w:pPr>
        <w:spacing w:after="140" w:line="276"/>
      </w:pPr>
      <w:r>
        <w:rPr>
          <w:sz w:val="21"/>
          <w:szCs w:val="21"/>
        </w:rPr>
        <w:t xml:space="preserve"/>
      </w:r>
    </w:p>
    <w:p>
      <w:pPr>
        <w:spacing w:after="200" w:line="276"/>
      </w:pPr>
      <w:r>
        <w:rPr>
          <w:b/>
          <w:bCs/>
          <w:color w:val="B3261E"/>
          <w:sz w:val="21"/>
          <w:szCs w:val="21"/>
        </w:rPr>
        <w:t xml:space="preserve">Not legal advice. </w:t>
      </w:r>
      <w:r>
        <w:rPr>
          <w:sz w:val="21"/>
          <w:szCs w:val="21"/>
        </w:rPr>
        <w:t xml:space="preserve">Items marked </w:t>
      </w:r>
      <w:r>
        <w:rPr>
          <w:b/>
          <w:bCs/>
          <w:sz w:val="21"/>
          <w:szCs w:val="21"/>
        </w:rPr>
        <w:t xml:space="preserve">⚖</w:t>
      </w:r>
      <w:r>
        <w:rPr>
          <w:sz w:val="21"/>
          <w:szCs w:val="21"/>
        </w:rPr>
        <w:t xml:space="preserve"> require confirmation from counsel before we rely on them commercially.</w:t>
      </w:r>
    </w:p>
    <w:p>
      <w:pPr>
        <w:pStyle w:val="Heading1"/>
        <w:spacing w:after="160" w:before="340"/>
      </w:pPr>
      <w:r>
        <w:rPr>
          <w:b/>
          <w:bCs/>
          <w:color w:val="12171F"/>
          <w:sz w:val="30"/>
          <w:szCs w:val="30"/>
        </w:rPr>
        <w:t xml:space="preserve">1.  Why this document exists</w:t>
      </w:r>
    </w:p>
    <w:p>
      <w:pPr>
        <w:spacing w:after="140" w:line="276"/>
      </w:pPr>
      <w:r>
        <w:rPr>
          <w:sz w:val="21"/>
          <w:szCs w:val="21"/>
        </w:rPr>
        <w:t xml:space="preserve">Vamo's place data architecture — and Confluendo's existence — rests on a small number of assumptions about what data we are permitted to keep. Those assumptions were never written down, and one of them was wrong.</w:t>
      </w:r>
    </w:p>
    <w:p>
      <w:pPr>
        <w:spacing w:after="140" w:line="276"/>
      </w:pPr>
      <w:r>
        <w:rPr>
          <w:sz w:val="21"/>
          <w:szCs w:val="21"/>
        </w:rPr>
        <w:t xml:space="preserve">This document states them explicitly so they can be challenged, and defines the rules that follow. If any load-bearing rule in §9 turns out to be wrong, the architecture changes. That is precisely why they are written down rather than held in memory.</w:t>
      </w:r>
    </w:p>
    <w:p>
      <w:pPr>
        <w:pStyle w:val="Heading1"/>
        <w:spacing w:after="160" w:before="340"/>
      </w:pPr>
      <w:r>
        <w:rPr>
          <w:b/>
          <w:bCs/>
          <w:color w:val="12171F"/>
          <w:sz w:val="30"/>
          <w:szCs w:val="30"/>
        </w:rPr>
        <w:t xml:space="preserve">2.  Correcting the founding assumption</w:t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What we assumed: </w:t>
      </w:r>
      <w:r>
        <w:rPr>
          <w:sz w:val="21"/>
          <w:szCs w:val="21"/>
        </w:rPr>
        <w:t xml:space="preserve">that data received from a places provider cannot be stored, and that any durable place database must therefore be built from a wholly separate source. Confluendo was built on this premise.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What is actually true: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Storage is not prohibited by law. Facts — a name, a coordinate, an address — carry no copyright. What binds us is the </w:t>
      </w:r>
      <w:r>
        <w:rPr>
          <w:b/>
          <w:bCs/>
          <w:sz w:val="21"/>
          <w:szCs w:val="21"/>
        </w:rPr>
        <w:t xml:space="preserve">contract</w:t>
      </w:r>
      <w:r>
        <w:rPr>
          <w:sz w:val="21"/>
          <w:szCs w:val="21"/>
        </w:rPr>
        <w:t xml:space="preserve"> we accept when calling a commercial API, not statute.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Commercial API terms generally </w:t>
      </w:r>
      <w:r>
        <w:rPr>
          <w:i/>
          <w:iCs/>
          <w:sz w:val="21"/>
          <w:szCs w:val="21"/>
        </w:rPr>
        <w:t xml:space="preserve">do</w:t>
      </w:r>
      <w:r>
        <w:rPr>
          <w:sz w:val="21"/>
          <w:szCs w:val="21"/>
        </w:rPr>
        <w:t xml:space="preserve"> permit caching for performance within a stated window, and generally </w:t>
      </w:r>
      <w:r>
        <w:rPr>
          <w:i/>
          <w:iCs/>
          <w:sz w:val="21"/>
          <w:szCs w:val="21"/>
        </w:rPr>
        <w:t xml:space="preserve">do</w:t>
      </w:r>
      <w:r>
        <w:rPr>
          <w:sz w:val="21"/>
          <w:szCs w:val="21"/>
        </w:rPr>
        <w:t xml:space="preserve"> permit retaining the provider's identifier indefinitely.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What they prohibit is the clause that actually matters: </w:t>
      </w:r>
      <w:r>
        <w:rPr>
          <w:b/>
          <w:bCs/>
          <w:sz w:val="21"/>
          <w:szCs w:val="21"/>
        </w:rPr>
        <w:t xml:space="preserve">using the service to create a database or dataset.</w:t>
      </w:r>
      <w:r>
        <w:rPr>
          <w:sz w:val="21"/>
          <w:szCs w:val="21"/>
        </w:rPr>
        <w:t xml:space="preserve"> Accumulating query results into a permanent reference store is exactly what that clause exists to prevent, because it converts per-query billing into a one-time extraction.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The EU sui generis database right (Directive 96/9/EC) does not rescue us. Article 8 preserves a lawful user's right to extract </w:t>
      </w:r>
      <w:r>
        <w:rPr>
          <w:i/>
          <w:iCs/>
          <w:sz w:val="21"/>
          <w:szCs w:val="21"/>
        </w:rPr>
        <w:t xml:space="preserve">insubstantial</w:t>
      </w:r>
      <w:r>
        <w:rPr>
          <w:sz w:val="21"/>
          <w:szCs w:val="21"/>
        </w:rPr>
        <w:t xml:space="preserve"> parts and Article 15 voids contract terms to the contrary — but systematically accumulating a POI layer is substantial extraction, outside that protection.</w:t>
      </w:r>
    </w:p>
    <w:p>
      <w:pPr>
        <w:spacing w:after="140" w:line="276"/>
      </w:pPr>
      <w:r>
        <w:rPr>
          <w:sz w:val="21"/>
          <w:szCs w:val="21"/>
        </w:rPr>
        <w:t xml:space="preserve"/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What follows: </w:t>
      </w:r>
      <w:r>
        <w:rPr>
          <w:sz w:val="21"/>
          <w:szCs w:val="21"/>
        </w:rPr>
        <w:t xml:space="preserve">the original instinct was right; the statement of it was too broad. The correct formulation is not </w:t>
      </w:r>
      <w:r>
        <w:rPr>
          <w:i/>
          <w:iCs/>
          <w:sz w:val="21"/>
          <w:szCs w:val="21"/>
        </w:rPr>
        <w:t xml:space="preserve">“we cannot store their data”</w:t>
      </w:r>
      <w:r>
        <w:rPr>
          <w:sz w:val="21"/>
          <w:szCs w:val="21"/>
        </w:rPr>
        <w:t xml:space="preserve"> but:</w:t>
      </w:r>
    </w:p>
    <w:p>
      <w:pPr>
        <w:pBdr>
          <w:left w:val="single" w:color="1D5334" w:sz="18" w:space="12"/>
        </w:pBdr>
        <w:spacing w:after="160" w:before="140" w:line="276"/>
        <w:ind w:left="420"/>
      </w:pPr>
      <w:r>
        <w:rPr>
          <w:i/>
          <w:iCs/>
          <w:color w:val="1D2A35"/>
          <w:sz w:val="21"/>
          <w:szCs w:val="21"/>
        </w:rPr>
        <w:t xml:space="preserve">We cannot accumulate licensed API data into a store that substitutes for querying it, and we cannot redistribute it. We can keep anything acquired under a licence that permits it, and anything we originate ourselves.</w:t>
      </w:r>
    </w:p>
    <w:p>
      <w:pPr>
        <w:spacing w:after="140" w:line="276"/>
      </w:pPr>
      <w:r>
        <w:rPr>
          <w:sz w:val="21"/>
          <w:szCs w:val="21"/>
        </w:rPr>
        <w:t xml:space="preserve">Confluendo is therefore not misconceived. It is the mechanism for the first half of that sentence: acquiring, at scale, data we are licensed to keep and to redistribute. Its scope is narrower than “all place data”, and that narrowing is a correction rather than a reduction in value.</w:t>
      </w:r>
    </w:p>
    <w:p>
      <w:pPr>
        <w:pStyle w:val="Heading1"/>
        <w:spacing w:after="160" w:before="340"/>
      </w:pPr>
      <w:r>
        <w:rPr>
          <w:b/>
          <w:bCs/>
          <w:color w:val="12171F"/>
          <w:sz w:val="30"/>
          <w:szCs w:val="30"/>
        </w:rPr>
        <w:t xml:space="preserve">3.  Three classes of data</w:t>
      </w:r>
    </w:p>
    <w:p>
      <w:pPr>
        <w:spacing w:after="140" w:line="276"/>
      </w:pPr>
      <w:r>
        <w:rPr>
          <w:sz w:val="21"/>
          <w:szCs w:val="21"/>
        </w:rPr>
        <w:t xml:space="preserve">Every fact we hold falls into exactly one of three rights classes.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Class</w:t>
            </w:r>
          </w:p>
        </w:tc>
        <w:tc>
          <w:tcPr>
            <w:tcW w:type="pct" w:w="27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Examples</w:t>
            </w:r>
          </w:p>
        </w:tc>
        <w:tc>
          <w:tcPr>
            <w:tcW w:type="pct" w:w="30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Rights position</w:t>
            </w:r>
          </w:p>
        </w:tc>
        <w:tc>
          <w:tcPr>
            <w:tcW w:type="pct" w:w="12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Redistribute?</w:t>
            </w:r>
          </w:p>
        </w:tc>
        <w:tc>
          <w:tcPr>
            <w:tcW w:type="pct" w:w="14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Retention</w:t>
            </w:r>
          </w:p>
        </w:tc>
      </w:tr>
      <w:tr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2F7A4D"/>
                <w:sz w:val="19"/>
                <w:szCs w:val="19"/>
              </w:rPr>
              <w:t xml:space="preserve">Open licensed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FSQ OS Places (Apache 2.0), OpenStreetMap (ODbL), Wikidata (CC0)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Licensed for reuse and redistribution, with attribution and — for ODbL — share-alike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Permanent</w:t>
            </w:r>
          </w:p>
        </w:tc>
      </w:tr>
      <w:tr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2A5D9E"/>
                <w:sz w:val="19"/>
                <w:szCs w:val="19"/>
              </w:rPr>
              <w:t xml:space="preserve">Vamo-originated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Device GPS fixes, user-typed names, confirmations, corrections, saves, visits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Ours. No third party holds rights in the facts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Permanent, subject to GDPR</w:t>
            </w:r>
          </w:p>
        </w:tc>
      </w:tr>
      <w:tr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A8641B"/>
                <w:sz w:val="19"/>
                <w:szCs w:val="19"/>
              </w:rPr>
              <w:t xml:space="preserve">Licensed-restricted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Commercial Places API responses, provider photos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Governed by the API contract, including its anti-database clause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B3261E"/>
                <w:sz w:val="19"/>
                <w:szCs w:val="19"/>
              </w:rPr>
              <w:t xml:space="preserve">No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TTL only</w:t>
            </w:r>
          </w:p>
        </w:tc>
      </w:tr>
    </w:tbl>
    <w:p>
      <w:pPr>
        <w:spacing w:after="140" w:line="276"/>
      </w:pPr>
      <w:r>
        <w:rPr>
          <w:sz w:val="21"/>
          <w:szCs w:val="21"/>
        </w:rPr>
        <w:t xml:space="preserve"/>
      </w:r>
    </w:p>
    <w:p>
      <w:pPr>
        <w:spacing w:after="140" w:line="276"/>
      </w:pPr>
      <w:r>
        <w:rPr>
          <w:sz w:val="21"/>
          <w:szCs w:val="21"/>
        </w:rPr>
        <w:t xml:space="preserve">The single most important structural decision is that these classes are tracked </w:t>
      </w:r>
      <w:r>
        <w:rPr>
          <w:b/>
          <w:bCs/>
          <w:sz w:val="21"/>
          <w:szCs w:val="21"/>
        </w:rPr>
        <w:t xml:space="preserve">per fact, not per record.</w:t>
      </w:r>
      <w:r>
        <w:rPr>
          <w:sz w:val="21"/>
          <w:szCs w:val="21"/>
        </w:rPr>
        <w:t xml:space="preserve"> One canonical place may carry a name from OS Places, a coordinate corroborated by our own users, and a photo we may not keep at all. </w:t>
      </w:r>
      <w:r>
        <w:rPr>
          <w:b/>
          <w:bCs/>
          <w:sz w:val="21"/>
          <w:szCs w:val="21"/>
        </w:rPr>
        <w:t xml:space="preserve">location_source_refs</w:t>
      </w:r>
      <w:r>
        <w:rPr>
          <w:sz w:val="21"/>
          <w:szCs w:val="21"/>
        </w:rPr>
        <w:t xml:space="preserve"> already models this; it must remain authoritative rather than decorative. Without that separation, every row would have to be treated at the most restrictive level of any fact inside it.</w:t>
      </w:r>
    </w:p>
    <w:p>
      <w:pPr>
        <w:sectPr>
          <w:pgSz w:w="11906" w:h="16838" w:orient="portrait"/>
          <w:pgMar w:top="1000" w:right="1000" w:bottom="1000" w:left="1000" w:header="708" w:footer="708" w:gutter="0"/>
          <w:pgNumType/>
          <w:docGrid w:linePitch="360"/>
        </w:sectPr>
      </w:pPr>
    </w:p>
    <w:p>
      <w:pPr>
        <w:spacing w:after="140"/>
      </w:pPr>
      <w:r>
        <w:rPr>
          <w:b/>
          <w:bCs/>
          <w:color w:val="12171F"/>
          <w:sz w:val="30"/>
          <w:szCs w:val="30"/>
        </w:rPr>
        <w:t xml:space="preserve">4.  The funnel</w:t>
      </w:r>
    </w:p>
    <w:p>
      <w:pPr>
        <w:jc w:val="center"/>
      </w:pPr>
      <w:r>
        <w:drawing>
          <wp:inline distT="0" distB="0" distL="0" distR="0">
            <wp:extent cx="9334500" cy="5838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0" cy="583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700" w:right="700" w:bottom="700" w:left="700" w:header="708" w:footer="708" w:gutter="0"/>
          <w:pgNumType/>
          <w:docGrid w:linePitch="360"/>
        </w:sectPr>
      </w:pPr>
    </w:p>
    <w:p>
      <w:pPr>
        <w:pStyle w:val="Heading1"/>
        <w:spacing w:after="160" w:before="340"/>
      </w:pPr>
      <w:r>
        <w:rPr>
          <w:b/>
          <w:bCs/>
          <w:color w:val="12171F"/>
          <w:sz w:val="30"/>
          <w:szCs w:val="30"/>
        </w:rPr>
        <w:t xml:space="preserve">5.  Layer 1 — the open licensed base</w:t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This is where independence comes from. Not from user observations.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FSQ OS Places</w:t>
      </w:r>
      <w:r>
        <w:rPr>
          <w:sz w:val="21"/>
          <w:szCs w:val="21"/>
        </w:rPr>
        <w:t xml:space="preserve"> under Apache 2.0 — on the order of 100M POIs, no redistribution restriction, no per-query cost, no expiry. This is the backbone.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OpenStreetMap</w:t>
      </w:r>
      <w:r>
        <w:rPr>
          <w:sz w:val="21"/>
          <w:szCs w:val="21"/>
        </w:rPr>
        <w:t xml:space="preserve"> under ODbL adds depth, at the cost of share-alike obligations on derived databases. ⚖ This needs a decision, because it constrains resale.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Wikidata</w:t>
      </w:r>
      <w:r>
        <w:rPr>
          <w:sz w:val="21"/>
          <w:szCs w:val="21"/>
        </w:rPr>
        <w:t xml:space="preserve"> under CC0 supplies identifiers and cross-references with no obligations at all.</w:t>
      </w:r>
    </w:p>
    <w:p>
      <w:pPr>
        <w:spacing w:after="140" w:line="276"/>
      </w:pPr>
      <w:r>
        <w:rPr>
          <w:sz w:val="21"/>
          <w:szCs w:val="21"/>
        </w:rPr>
        <w:t xml:space="preserve"/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Acquire in bulk, not on demand. </w:t>
      </w:r>
      <w:r>
        <w:rPr>
          <w:sz w:val="21"/>
          <w:szCs w:val="21"/>
        </w:rPr>
        <w:t xml:space="preserve">Place-by-place acquisition will never build coverage — the arithmetic does not work at any plausible user count. The demand signal (§7) should influence </w:t>
      </w:r>
      <w:r>
        <w:rPr>
          <w:i/>
          <w:iCs/>
          <w:sz w:val="21"/>
          <w:szCs w:val="21"/>
        </w:rPr>
        <w:t xml:space="preserve">priority</w:t>
      </w:r>
      <w:r>
        <w:rPr>
          <w:sz w:val="21"/>
          <w:szCs w:val="21"/>
        </w:rPr>
        <w:t xml:space="preserve"> within a bulk programme, never replace it.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Confluendo's role</w:t>
      </w:r>
    </w:p>
    <w:p>
      <w:pPr>
        <w:spacing w:after="140" w:line="276"/>
      </w:pPr>
      <w:r>
        <w:rPr>
          <w:sz w:val="21"/>
          <w:szCs w:val="21"/>
        </w:rPr>
        <w:t xml:space="preserve">Confluendo is the governed path from an external dataset into Vamo's production database. The properties this strategy depends on are the ones it already has: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Immutable, content-addressed artifacts</w:t>
      </w:r>
      <w:r>
        <w:rPr>
          <w:sz w:val="21"/>
          <w:szCs w:val="21"/>
        </w:rPr>
        <w:t xml:space="preserve"> — release ID and bundle SHA-256, so what was verified is provably what was applied.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Dry-run and staging verification before production</w:t>
      </w:r>
      <w:r>
        <w:rPr>
          <w:sz w:val="21"/>
          <w:szCs w:val="21"/>
        </w:rPr>
        <w:t xml:space="preserve"> — a licence or schema error surfaces in a disposable environment.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Consumer-owned apply</w:t>
      </w:r>
      <w:r>
        <w:rPr>
          <w:sz w:val="21"/>
          <w:szCs w:val="21"/>
        </w:rPr>
        <w:t xml:space="preserve"> — Confluendo never writes Vamo's product tables. Vamo's own function decides what lands.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Delivered ≠ applied as an explicit state</w:t>
      </w:r>
      <w:r>
        <w:rPr>
          <w:sz w:val="21"/>
          <w:szCs w:val="21"/>
        </w:rPr>
        <w:t xml:space="preserve"> — so a successful delivery is never mistaken for a persisted row. The July reconciliation is the cautionary case: audit 387 recorded a successful apply for rows not present in either Vamo environment.</w:t>
      </w:r>
    </w:p>
    <w:p>
      <w:pPr>
        <w:spacing w:after="140" w:line="276"/>
      </w:pPr>
      <w:r>
        <w:rPr>
          <w:sz w:val="21"/>
          <w:szCs w:val="21"/>
        </w:rPr>
        <w:t xml:space="preserve"/>
      </w:r>
    </w:p>
    <w:p>
      <w:pPr>
        <w:spacing w:after="100" w:line="276"/>
      </w:pPr>
      <w:r>
        <w:rPr>
          <w:sz w:val="21"/>
          <w:szCs w:val="21"/>
        </w:rPr>
        <w:t xml:space="preserve">What Confluendo must add to serve this strategy: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1.  </w:t>
      </w:r>
      <w:r>
        <w:rPr>
          <w:b/>
          <w:bCs/>
          <w:sz w:val="21"/>
          <w:szCs w:val="21"/>
        </w:rPr>
        <w:t xml:space="preserve">Licence metadata as a first-class field on every artifact</w:t>
      </w:r>
      <w:r>
        <w:rPr>
          <w:sz w:val="21"/>
          <w:szCs w:val="21"/>
        </w:rPr>
        <w:t xml:space="preserve">, carried through to location_source_refs. A fact whose licence is unknown must be unusable by construction.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2.  </w:t>
      </w:r>
      <w:r>
        <w:rPr>
          <w:b/>
          <w:bCs/>
          <w:sz w:val="21"/>
          <w:szCs w:val="21"/>
        </w:rPr>
        <w:t xml:space="preserve">A persistence receipt</w:t>
      </w:r>
      <w:r>
        <w:rPr>
          <w:sz w:val="21"/>
          <w:szCs w:val="21"/>
        </w:rPr>
        <w:t xml:space="preserve"> computed by the consumer, in the consumer's database, and read back from it — target identity, package ID, persisted row count, content hash. This is the currently open P0.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3.  </w:t>
      </w:r>
      <w:r>
        <w:rPr>
          <w:b/>
          <w:bCs/>
          <w:sz w:val="21"/>
          <w:szCs w:val="21"/>
        </w:rPr>
        <w:t xml:space="preserve">An acquisition target queue</w:t>
      </w:r>
      <w:r>
        <w:rPr>
          <w:sz w:val="21"/>
          <w:szCs w:val="21"/>
        </w:rPr>
        <w:t xml:space="preserve"> fed by the demand signal described in §7.</w:t>
      </w:r>
    </w:p>
    <w:p>
      <w:pPr>
        <w:pStyle w:val="Heading1"/>
        <w:spacing w:after="160" w:before="340"/>
      </w:pPr>
      <w:r>
        <w:rPr>
          <w:b/>
          <w:bCs/>
          <w:color w:val="12171F"/>
          <w:sz w:val="30"/>
          <w:szCs w:val="30"/>
        </w:rPr>
        <w:t xml:space="preserve">6.  Layer 2 — user observations</w:t>
      </w:r>
    </w:p>
    <w:p>
      <w:pPr>
        <w:spacing w:after="140" w:line="276"/>
      </w:pPr>
      <w:r>
        <w:rPr>
          <w:sz w:val="21"/>
          <w:szCs w:val="21"/>
        </w:rPr>
        <w:t xml:space="preserve">This is the layer no competitor can buy from under us, and the one open data is worst at: whether a place still exists, has moved, or has changed its hours.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What is ours</w:t>
      </w:r>
    </w:p>
    <w:p>
      <w:pPr>
        <w:spacing w:after="140" w:line="276"/>
      </w:pPr>
      <w:r>
        <w:rPr>
          <w:sz w:val="21"/>
          <w:szCs w:val="21"/>
        </w:rPr>
        <w:t xml:space="preserve">The user's action and everything derived from it: that a place was saved, when, in which trip, alongside what else; a name the user typed or confirmed; a device coordinate; a correction. No provider has a claim on any of it. In aggregate this is also the more commercially interesting dataset — it is demand data, and nobody else has it.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What consent this requires ⚖</w:t>
      </w:r>
    </w:p>
    <w:p>
      <w:pPr>
        <w:spacing w:after="140" w:line="276"/>
      </w:pPr>
      <w:r>
        <w:rPr>
          <w:b/>
          <w:bCs/>
          <w:color w:val="B3261E"/>
          <w:sz w:val="21"/>
          <w:szCs w:val="21"/>
        </w:rPr>
        <w:t xml:space="preserve">Not the EULA. </w:t>
      </w:r>
      <w:r>
        <w:rPr>
          <w:sz w:val="21"/>
          <w:szCs w:val="21"/>
        </w:rPr>
        <w:t xml:space="preserve">Location is personal data. Bundling consent into terms-of-service acceptance is not valid consent under GDPR Art. 7 — it must be specific, informed, granular and freely declinable. It is also a purpose-limitation problem: </w:t>
      </w:r>
      <w:r>
        <w:rPr>
          <w:i/>
          <w:iCs/>
          <w:sz w:val="21"/>
          <w:szCs w:val="21"/>
        </w:rPr>
        <w:t xml:space="preserve">“use my location to show me what is nearby”</w:t>
      </w:r>
      <w:r>
        <w:rPr>
          <w:sz w:val="21"/>
          <w:szCs w:val="21"/>
        </w:rPr>
        <w:t xml:space="preserve"> and </w:t>
      </w:r>
      <w:r>
        <w:rPr>
          <w:i/>
          <w:iCs/>
          <w:sz w:val="21"/>
          <w:szCs w:val="21"/>
        </w:rPr>
        <w:t xml:space="preserve">“use my location to improve Vamo's place database”</w:t>
      </w:r>
      <w:r>
        <w:rPr>
          <w:sz w:val="21"/>
          <w:szCs w:val="21"/>
        </w:rPr>
        <w:t xml:space="preserve"> are different purposes, and the second does not ride along on the first (Art. 6(4)).</w:t>
      </w:r>
    </w:p>
    <w:p>
      <w:pPr>
        <w:spacing w:after="100" w:line="276"/>
      </w:pPr>
      <w:r>
        <w:rPr>
          <w:sz w:val="21"/>
          <w:szCs w:val="21"/>
        </w:rPr>
        <w:t xml:space="preserve">Required: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a separate, declinable opt-in for the contribution purpose;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no degradation of the app for users who decline;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a plain statement of what is retained after aggregation, and what is discarded.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The corroboration gate</w:t>
      </w:r>
    </w:p>
    <w:p>
      <w:pPr>
        <w:spacing w:after="140" w:line="276"/>
      </w:pPr>
      <w:r>
        <w:rPr>
          <w:sz w:val="21"/>
          <w:szCs w:val="21"/>
        </w:rPr>
        <w:t xml:space="preserve">Individual traces are never promoted. A fact enters the canonical graph only when </w:t>
      </w:r>
      <w:r>
        <w:rPr>
          <w:b/>
          <w:bCs/>
          <w:sz w:val="21"/>
          <w:szCs w:val="21"/>
        </w:rPr>
        <w:t xml:space="preserve">k ≥ 3 distinct users on distinct days</w:t>
      </w:r>
      <w:r>
        <w:rPr>
          <w:sz w:val="21"/>
          <w:szCs w:val="21"/>
        </w:rPr>
        <w:t xml:space="preserve"> independently support it, and the raw observations are dropped at promotion.</w:t>
      </w:r>
    </w:p>
    <w:p>
      <w:pPr>
        <w:spacing w:after="140" w:line="276"/>
      </w:pPr>
      <w:r>
        <w:rPr>
          <w:sz w:val="21"/>
          <w:szCs w:val="21"/>
        </w:rPr>
        <w:t xml:space="preserve">This threshold does three jobs at once, which is why it is the highest-leverage decision in the layer: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it filters GPS noise and one-off error, so data quality rises;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it removes the canonical layer from personal-data scope, so a subject-access or erasure request never reaches the place graph;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it makes the resulting fact defensibly ours, because it is a statistical derivation over our own observations.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The independence rule — this one must be structurally true</w:t>
      </w:r>
    </w:p>
    <w:p>
      <w:pPr>
        <w:spacing w:after="140" w:line="276"/>
      </w:pPr>
      <w:r>
        <w:rPr>
          <w:sz w:val="21"/>
          <w:szCs w:val="21"/>
        </w:rPr>
        <w:t xml:space="preserve">The temptation in this layer is to treat a provider's coordinate as “confirmed by the user” and relabel it as ours. That is not derivation; it is relabelling, and it would not survive anyone looking at the pipeline.</w:t>
      </w:r>
    </w:p>
    <w:p>
      <w:pPr>
        <w:spacing w:after="140" w:line="276"/>
      </w:pPr>
      <w:r>
        <w:rPr>
          <w:sz w:val="21"/>
          <w:szCs w:val="21"/>
        </w:rPr>
        <w:t xml:space="preserve">The test to apply:</w:t>
      </w:r>
    </w:p>
    <w:p>
      <w:pPr>
        <w:pBdr>
          <w:left w:val="single" w:color="1D5334" w:sz="18" w:space="12"/>
        </w:pBdr>
        <w:spacing w:after="160" w:before="140" w:line="276"/>
        <w:ind w:left="420"/>
      </w:pPr>
      <w:r>
        <w:rPr>
          <w:i/>
          <w:iCs/>
          <w:color w:val="1D2A35"/>
          <w:sz w:val="21"/>
          <w:szCs w:val="21"/>
        </w:rPr>
        <w:t xml:space="preserve">Could we have produced this fact if the provider's response had been empty?</w:t>
      </w:r>
    </w:p>
    <w:p>
      <w:pPr>
        <w:spacing w:after="140" w:line="276"/>
      </w:pPr>
      <w:r>
        <w:rPr>
          <w:sz w:val="21"/>
          <w:szCs w:val="21"/>
        </w:rPr>
        <w:t xml:space="preserve">Which yields a hard implementation constraint: </w:t>
      </w:r>
      <w:r>
        <w:rPr>
          <w:b/>
          <w:bCs/>
          <w:sz w:val="21"/>
          <w:szCs w:val="21"/>
        </w:rPr>
        <w:t xml:space="preserve">the canonical coordinate must be computed from device fixes — the median of corroborating observations — and never copied from a provider response field.</w:t>
      </w:r>
      <w:r>
        <w:rPr>
          <w:sz w:val="21"/>
          <w:szCs w:val="21"/>
        </w:rPr>
        <w:t xml:space="preserve"> The provider's role is to give the user something to point at. It is a UI affordance, not the source of the geometry. The same applies to the name: it is independent if the user typed or confirmed it, not if the provider's string was silently carried through.</w:t>
      </w:r>
    </w:p>
    <w:p>
      <w:pPr>
        <w:spacing w:after="140" w:line="276"/>
      </w:pPr>
      <w:r>
        <w:rPr>
          <w:sz w:val="21"/>
          <w:szCs w:val="21"/>
        </w:rPr>
        <w:t xml:space="preserve">This must be enforced by construction rather than convention: </w:t>
      </w:r>
      <w:r>
        <w:rPr>
          <w:b/>
          <w:bCs/>
          <w:sz w:val="21"/>
          <w:szCs w:val="21"/>
        </w:rPr>
        <w:t xml:space="preserve">the promotion job should have no read access to provider payload columns.</w:t>
      </w:r>
      <w:r>
        <w:rPr>
          <w:sz w:val="21"/>
          <w:szCs w:val="21"/>
        </w:rPr>
        <w:t xml:space="preserve"> That is the same boundary discipline Confluendo already enforces between platform and consumer, applied one layer down — and it belongs in the same executable boundary audit.</w:t>
      </w:r>
    </w:p>
    <w:p>
      <w:pPr>
        <w:pStyle w:val="Heading1"/>
        <w:spacing w:after="160" w:before="340"/>
      </w:pPr>
      <w:r>
        <w:rPr>
          <w:b/>
          <w:bCs/>
          <w:color w:val="12171F"/>
          <w:sz w:val="30"/>
          <w:szCs w:val="30"/>
        </w:rPr>
        <w:t xml:space="preserve">7.  Layer 3 — the commercial API as discovery, not storage</w:t>
      </w:r>
    </w:p>
    <w:p>
      <w:pPr>
        <w:spacing w:after="140" w:line="276"/>
      </w:pPr>
      <w:r>
        <w:rPr>
          <w:sz w:val="21"/>
          <w:szCs w:val="21"/>
        </w:rPr>
        <w:t xml:space="preserve">The paid API stays in the architecture doing one job: covering the long tail we have not yet acquired, plus live enrichment we are not permitted to hold.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Responses live in a </w:t>
      </w:r>
      <w:r>
        <w:rPr>
          <w:b/>
          <w:bCs/>
          <w:sz w:val="21"/>
          <w:szCs w:val="21"/>
        </w:rPr>
        <w:t xml:space="preserve">TTL cache that expires at the contract window</w:t>
      </w:r>
      <w:r>
        <w:rPr>
          <w:sz w:val="21"/>
          <w:szCs w:val="21"/>
        </w:rPr>
        <w:t xml:space="preserve">, and serve the requesting user only.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The </w:t>
      </w:r>
      <w:r>
        <w:rPr>
          <w:b/>
          <w:bCs/>
          <w:sz w:val="21"/>
          <w:szCs w:val="21"/>
        </w:rPr>
        <w:t xml:space="preserve">provider identifier is retained; the payload is not.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color w:val="B3261E"/>
          <w:sz w:val="21"/>
          <w:szCs w:val="21"/>
        </w:rPr>
        <w:t xml:space="preserve">Nothing in the cache is ever promoted to canonical.</w:t>
      </w:r>
      <w:r>
        <w:rPr>
          <w:sz w:val="21"/>
          <w:szCs w:val="21"/>
        </w:rPr>
        <w:t xml:space="preserve"> This is a physical boundary, not a policy statement.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The demand-signal loop</w:t>
      </w:r>
    </w:p>
    <w:p>
      <w:pPr>
        <w:spacing w:after="140" w:line="276"/>
      </w:pPr>
      <w:r>
        <w:rPr>
          <w:sz w:val="21"/>
          <w:szCs w:val="21"/>
        </w:rPr>
        <w:t xml:space="preserve">A cache miss is worth more as information than as data. It tells us which place our users actually want — and that fact is ours outright. Every miss should enqueue an acquisition target for Confluendo, which then acquires that place from a source we are permitted to keep.</w:t>
      </w:r>
    </w:p>
    <w:p>
      <w:pPr>
        <w:spacing w:after="140" w:line="276"/>
      </w:pPr>
      <w:r>
        <w:rPr>
          <w:sz w:val="21"/>
          <w:szCs w:val="21"/>
        </w:rPr>
        <w:t xml:space="preserve">The provider becomes a discovery channel rather than a storage source. We pay for the lookup once; we own the fact permanently, because we re-derived it from something licensed for exactly that purpose.</w:t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recordLocationObservation</w:t>
      </w:r>
      <w:r>
        <w:rPr>
          <w:sz w:val="21"/>
          <w:szCs w:val="21"/>
        </w:rPr>
        <w:t xml:space="preserve"> on the miss path in supabase/functions/place-resolve/index.ts is already this queue. Closing the loop is a matter of feeding it into Confluendo's target list rather than letting it dead-end.</w:t>
      </w:r>
    </w:p>
    <w:p>
      <w:pPr>
        <w:pStyle w:val="Heading1"/>
        <w:spacing w:after="160" w:before="340"/>
      </w:pPr>
      <w:r>
        <w:rPr>
          <w:b/>
          <w:bCs/>
          <w:color w:val="12171F"/>
          <w:sz w:val="30"/>
          <w:szCs w:val="30"/>
        </w:rPr>
        <w:t xml:space="preserve">8.  Photos — deliberately deferred</w:t>
      </w:r>
    </w:p>
    <w:p>
      <w:pPr>
        <w:spacing w:after="140" w:line="276"/>
      </w:pPr>
      <w:r>
        <w:rPr>
          <w:sz w:val="21"/>
          <w:szCs w:val="21"/>
        </w:rPr>
        <w:t xml:space="preserve">User photos are the highest-risk and lowest-value element of this strategy, and are out of scope for the first phase.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“Marked public” is not a licence.</w:t>
      </w:r>
      <w:r>
        <w:rPr>
          <w:sz w:val="21"/>
          <w:szCs w:val="21"/>
        </w:rPr>
        <w:t xml:space="preserve"> Reuse requires an explicit grant in our terms — worldwide, royalty-free, sublicensable, surviving account deletion. Attribution is courtesy; it is not the legal basis. ⚖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Photos carry third-party rights we do not control:</w:t>
      </w:r>
      <w:r>
        <w:rPr>
          <w:sz w:val="21"/>
          <w:szCs w:val="21"/>
        </w:rPr>
        <w:t xml:space="preserve"> identifiable people (GDPR and image rights, strongly enforced in DE/FR/IT), trademarks, and — directly relevant to a travel product — restrictions on commercial use of images of cultural heritage in Italy, alongside narrow freedom of panorama in France and Italy. ⚖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Photos do not contribute to POI independence.</w:t>
      </w:r>
      <w:r>
        <w:rPr>
          <w:sz w:val="21"/>
          <w:szCs w:val="21"/>
        </w:rPr>
        <w:t xml:space="preserve"> Names, coordinates, categories and opening hours do. This is the part that can wait.</w:t>
      </w:r>
    </w:p>
    <w:p>
      <w:pPr>
        <w:pStyle w:val="Heading1"/>
        <w:spacing w:after="160" w:before="340"/>
      </w:pPr>
      <w:r>
        <w:rPr>
          <w:b/>
          <w:bCs/>
          <w:color w:val="12171F"/>
          <w:sz w:val="30"/>
          <w:szCs w:val="30"/>
        </w:rPr>
        <w:t xml:space="preserve">9.  Load-bearing rules</w:t>
      </w:r>
    </w:p>
    <w:p>
      <w:pPr>
        <w:spacing w:after="140" w:line="276"/>
      </w:pPr>
      <w:r>
        <w:rPr>
          <w:sz w:val="21"/>
          <w:szCs w:val="21"/>
        </w:rPr>
        <w:t xml:space="preserve">These are the invariants. If one is violated the strategy does not hold. Each should be enforceable in code or CI rather than by memory.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1.  </w:t>
      </w:r>
      <w:r>
        <w:rPr>
          <w:sz w:val="21"/>
          <w:szCs w:val="21"/>
        </w:rPr>
        <w:t xml:space="preserve">The canonical coordinate is computed from device fixes. It is never copied from a provider response.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2.  </w:t>
      </w:r>
      <w:r>
        <w:rPr>
          <w:sz w:val="21"/>
          <w:szCs w:val="21"/>
        </w:rPr>
        <w:t xml:space="preserve">Promotion to canonical requires k ≥ 3 distinct users on distinct days. Raw traces are dropped at promotion.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3.  </w:t>
      </w:r>
      <w:r>
        <w:rPr>
          <w:sz w:val="21"/>
          <w:szCs w:val="21"/>
        </w:rPr>
        <w:t xml:space="preserve">Consent for the observation layer is a separate, declinable opt-in — not the EULA, and not bundled with the “nearby” feature.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4.  </w:t>
      </w:r>
      <w:r>
        <w:rPr>
          <w:sz w:val="21"/>
          <w:szCs w:val="21"/>
        </w:rPr>
        <w:t xml:space="preserve">Provider payloads live only in expiry-bound provider stores, and never in the canonical graph or the promotion path.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5.  </w:t>
      </w:r>
      <w:r>
        <w:rPr>
          <w:sz w:val="21"/>
          <w:szCs w:val="21"/>
        </w:rPr>
        <w:t xml:space="preserve">Every canonical fact carries a licence via location_source_refs. A fact with unknown licence is unusable.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6.  </w:t>
      </w:r>
      <w:r>
        <w:rPr>
          <w:sz w:val="21"/>
          <w:szCs w:val="21"/>
        </w:rPr>
        <w:t xml:space="preserve">Confluendo never writes Vamo product tables. Apply is consumer-owned and returns a receipt read back from the consumer database.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7.  </w:t>
      </w:r>
      <w:r>
        <w:rPr>
          <w:sz w:val="21"/>
          <w:szCs w:val="21"/>
        </w:rPr>
        <w:t xml:space="preserve">Open-data acquisition is bulk-first. Demand signals set priority within it; they do not replace it.</w:t>
      </w:r>
    </w:p>
    <w:p>
      <w:pPr>
        <w:pStyle w:val="Heading1"/>
        <w:spacing w:after="160" w:before="340"/>
      </w:pPr>
      <w:r>
        <w:rPr>
          <w:b/>
          <w:bCs/>
          <w:color w:val="12171F"/>
          <w:sz w:val="30"/>
          <w:szCs w:val="30"/>
        </w:rPr>
        <w:t xml:space="preserve">10.  Programme metric</w:t>
      </w:r>
    </w:p>
    <w:p>
      <w:pPr>
        <w:spacing w:after="140" w:line="276"/>
      </w:pPr>
      <w:r>
        <w:rPr>
          <w:b/>
          <w:bCs/>
          <w:sz w:val="24"/>
          <w:szCs w:val="24"/>
        </w:rPr>
        <w:t xml:space="preserve">Paid API calls per active user per month.</w:t>
      </w:r>
    </w:p>
    <w:p>
      <w:pPr>
        <w:spacing w:after="140" w:line="276"/>
      </w:pPr>
      <w:r>
        <w:rPr>
          <w:sz w:val="21"/>
          <w:szCs w:val="21"/>
        </w:rPr>
        <w:t xml:space="preserve">If it trends down while coverage and freshness hold, the strategy is working. If it stays flat, open-data acquisition is not keeping pace — and no volume of user observation will compensate. The correct response in that case is to invest in Layer 1, not Layer 2.</w:t>
      </w:r>
    </w:p>
    <w:p>
      <w:pPr>
        <w:spacing w:after="140" w:line="276"/>
      </w:pPr>
      <w:r>
        <w:rPr>
          <w:sz w:val="21"/>
          <w:szCs w:val="21"/>
        </w:rPr>
        <w:t xml:space="preserve">Instrument this before building anything else in this document. It is roughly a day's work, and it is the only signal that tells us which layer deserves the next investment.</w:t>
      </w:r>
    </w:p>
    <w:p>
      <w:pPr>
        <w:spacing w:after="140" w:line="276"/>
      </w:pPr>
      <w:r>
        <w:rPr>
          <w:sz w:val="21"/>
          <w:szCs w:val="21"/>
        </w:rPr>
        <w:t xml:space="preserve">Secondary indicators: canonical coverage measured against saved-place demand; share of canonical facts by rights class; median age of a canonical fact.</w:t>
      </w:r>
    </w:p>
    <w:p>
      <w:pPr>
        <w:pStyle w:val="Heading1"/>
        <w:spacing w:after="160" w:before="340"/>
      </w:pPr>
      <w:r>
        <w:rPr>
          <w:b/>
          <w:bCs/>
          <w:color w:val="12171F"/>
          <w:sz w:val="30"/>
          <w:szCs w:val="30"/>
        </w:rPr>
        <w:t xml:space="preserve">11.  Open questions for counsel  ⚖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1.  </w:t>
      </w:r>
      <w:r>
        <w:rPr>
          <w:b/>
          <w:bCs/>
          <w:sz w:val="21"/>
          <w:szCs w:val="21"/>
        </w:rPr>
        <w:t xml:space="preserve">The exact terms of the commercial Places API endpoints we call today</w:t>
      </w:r>
      <w:r>
        <w:rPr>
          <w:sz w:val="21"/>
          <w:szCs w:val="21"/>
        </w:rPr>
        <w:t xml:space="preserve"> — particularly the photo endpoints used by destination-visual. Caching window, identifier retention, and the precise wording of the anti-database clause.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2.  </w:t>
      </w:r>
      <w:r>
        <w:rPr>
          <w:b/>
          <w:bCs/>
          <w:sz w:val="21"/>
          <w:szCs w:val="21"/>
        </w:rPr>
        <w:t xml:space="preserve">Whether ODbL share-alike on any OSM-derived component contaminates the resale case</w:t>
      </w:r>
      <w:r>
        <w:rPr>
          <w:sz w:val="21"/>
          <w:szCs w:val="21"/>
        </w:rPr>
        <w:t xml:space="preserve">, and whether OSM should therefore be excluded from the redistributable tier.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3.  </w:t>
      </w:r>
      <w:r>
        <w:rPr>
          <w:b/>
          <w:bCs/>
          <w:sz w:val="21"/>
          <w:szCs w:val="21"/>
        </w:rPr>
        <w:t xml:space="preserve">Validity of our consent construction for the observation layer</w:t>
      </w:r>
      <w:r>
        <w:rPr>
          <w:sz w:val="21"/>
          <w:szCs w:val="21"/>
        </w:rPr>
        <w:t xml:space="preserve">, and whether legitimate interest is a defensible alternative basis with a documented LIA.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4.  </w:t>
      </w:r>
      <w:r>
        <w:rPr>
          <w:b/>
          <w:bCs/>
          <w:sz w:val="21"/>
          <w:szCs w:val="21"/>
        </w:rPr>
        <w:t xml:space="preserve">Whether the k-anonymity threshold as designed takes the canonical store outside personal-data scope</w:t>
      </w:r>
      <w:r>
        <w:rPr>
          <w:sz w:val="21"/>
          <w:szCs w:val="21"/>
        </w:rPr>
        <w:t xml:space="preserve">, and what value of k is required.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5.  </w:t>
      </w:r>
      <w:r>
        <w:rPr>
          <w:b/>
          <w:bCs/>
          <w:sz w:val="21"/>
          <w:szCs w:val="21"/>
        </w:rPr>
        <w:t xml:space="preserve">Photo licence grant wording</w:t>
      </w:r>
      <w:r>
        <w:rPr>
          <w:sz w:val="21"/>
          <w:szCs w:val="21"/>
        </w:rPr>
        <w:t xml:space="preserve">, and heritage/panorama exposure for the destinations we feature.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6.  </w:t>
      </w:r>
      <w:r>
        <w:rPr>
          <w:b/>
          <w:bCs/>
          <w:sz w:val="21"/>
          <w:szCs w:val="21"/>
        </w:rPr>
        <w:t xml:space="preserve">Whether Vamo's own compilation qualifies for sui generis database right protection</w:t>
      </w:r>
      <w:r>
        <w:rPr>
          <w:sz w:val="21"/>
          <w:szCs w:val="21"/>
        </w:rPr>
        <w:t xml:space="preserve">, and what record of investment we should keep to support that claim.</w:t>
      </w:r>
    </w:p>
    <w:p>
      <w:pPr>
        <w:pStyle w:val="Heading1"/>
        <w:spacing w:after="160" w:before="340"/>
      </w:pPr>
      <w:r>
        <w:rPr>
          <w:b/>
          <w:bCs/>
          <w:color w:val="12171F"/>
          <w:sz w:val="30"/>
          <w:szCs w:val="30"/>
        </w:rPr>
        <w:t xml:space="preserve">12.  What could break this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Coverage never arrives.</w:t>
      </w:r>
      <w:r>
        <w:rPr>
          <w:sz w:val="21"/>
          <w:szCs w:val="21"/>
        </w:rPr>
        <w:t xml:space="preserve"> If bulk acquisition stalls, the API layer never shrinks and the economics never improve. This is the most likely failure mode, and the metric in §10 detects it early.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Rule 1 erodes quietly.</w:t>
      </w:r>
      <w:r>
        <w:rPr>
          <w:sz w:val="21"/>
          <w:szCs w:val="21"/>
        </w:rPr>
        <w:t xml:space="preserve"> A single convenience commit that copies a provider coordinate into the promotion path converts the strategy into a laundering scheme. This must be caught by boundary audit, not by code review.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Consent is found invalid</w:t>
      </w:r>
      <w:r>
        <w:rPr>
          <w:sz w:val="21"/>
          <w:szCs w:val="21"/>
        </w:rPr>
        <w:t xml:space="preserve">, retroactively undermining the observation layer. Mitigated by keeping the canonical store aggregate-only, which bounds the exposure to raw traces.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ODbL contamination limits resale.</w:t>
      </w:r>
      <w:r>
        <w:rPr>
          <w:sz w:val="21"/>
          <w:szCs w:val="21"/>
        </w:rPr>
        <w:t xml:space="preserve"> Mitigated by tracking licence per fact, so an OSM-derived subset can be excluded rather than poisoning the whole store.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ac76499786dcca62f8bd24c363150b0ceb93eb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 Data Acquisition Strategy</dc:title>
  <dc:creator>Vamo</dc:creator>
  <dc:description>How Vamo builds an owned place graph, and where Confluendo fits.</dc:description>
  <cp:lastModifiedBy>Un-named</cp:lastModifiedBy>
  <cp:revision>1</cp:revision>
  <dcterms:created xsi:type="dcterms:W3CDTF">2026-08-04T15:05:01.697Z</dcterms:created>
  <dcterms:modified xsi:type="dcterms:W3CDTF">2026-08-04T15:05:01.698Z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