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C2594" w14:textId="77777777" w:rsidR="00925873" w:rsidRDefault="00DD108D" w:rsidP="00DD108D">
      <w:pPr>
        <w:jc w:val="center"/>
        <w:rPr>
          <w:rFonts w:ascii="Times New Roman" w:hAnsi="Times New Roman" w:cs="Times New Roman"/>
          <w:b/>
        </w:rPr>
      </w:pPr>
      <w:r w:rsidRPr="00DD108D">
        <w:rPr>
          <w:rFonts w:ascii="Times New Roman" w:hAnsi="Times New Roman" w:cs="Times New Roman"/>
          <w:b/>
        </w:rPr>
        <w:t>Appendix S1</w:t>
      </w:r>
    </w:p>
    <w:p w14:paraId="00AA9F32" w14:textId="77777777" w:rsidR="00DD108D" w:rsidRDefault="00DD108D" w:rsidP="00DD108D">
      <w:pPr>
        <w:rPr>
          <w:rFonts w:ascii="Times New Roman" w:hAnsi="Times New Roman" w:cs="Times New Roman"/>
        </w:rPr>
      </w:pPr>
    </w:p>
    <w:p w14:paraId="1103B345" w14:textId="77777777" w:rsidR="00C54CFD" w:rsidRDefault="00C54CFD" w:rsidP="00DD108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  <w:noProof/>
        </w:rPr>
        <w:drawing>
          <wp:inline distT="0" distB="0" distL="0" distR="0" wp14:anchorId="47BEA7C3" wp14:editId="7836C52B">
            <wp:extent cx="5943600" cy="3667760"/>
            <wp:effectExtent l="0" t="0" r="0" b="889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128D" w14:textId="77777777" w:rsidR="00C54CFD" w:rsidRPr="00C54CFD" w:rsidRDefault="00C54CFD" w:rsidP="00C54CFD">
      <w:pPr>
        <w:rPr>
          <w:rFonts w:ascii="Times New Roman" w:eastAsia="Times New Roman" w:hAnsi="Times New Roman" w:cs="Times New Roman"/>
          <w:lang w:val="en-GB" w:eastAsia="en-GB"/>
        </w:rPr>
      </w:pPr>
      <w:r w:rsidRPr="00C54CFD">
        <w:rPr>
          <w:rFonts w:eastAsiaTheme="minorEastAsia" w:hAnsi="Calibri"/>
          <w:b/>
          <w:bCs/>
          <w:color w:val="000000" w:themeColor="text1"/>
          <w:kern w:val="24"/>
          <w:lang w:val="en-GB" w:eastAsia="en-GB"/>
        </w:rPr>
        <w:t>Figure S1.</w:t>
      </w:r>
      <w:r w:rsidRPr="00C54CFD">
        <w:rPr>
          <w:rFonts w:eastAsiaTheme="minorEastAsia" w:hAnsi="Calibri"/>
          <w:color w:val="000000" w:themeColor="text1"/>
          <w:kern w:val="24"/>
          <w:lang w:val="en-GB" w:eastAsia="en-GB"/>
        </w:rPr>
        <w:t xml:space="preserve"> MEMOTE total score for the model </w:t>
      </w:r>
      <w:r w:rsidRPr="00C54CFD">
        <w:rPr>
          <w:rFonts w:eastAsiaTheme="minorEastAsia" w:hAnsi="Calibri"/>
          <w:i/>
          <w:iCs/>
          <w:color w:val="000000" w:themeColor="text1"/>
          <w:kern w:val="24"/>
          <w:lang w:val="en-GB" w:eastAsia="en-GB"/>
        </w:rPr>
        <w:t>i</w:t>
      </w:r>
      <w:r w:rsidRPr="00F056A3">
        <w:rPr>
          <w:rFonts w:eastAsiaTheme="minorEastAsia" w:hAnsi="Calibri"/>
          <w:iCs/>
          <w:color w:val="000000" w:themeColor="text1"/>
          <w:kern w:val="24"/>
          <w:lang w:val="en-GB" w:eastAsia="en-GB"/>
        </w:rPr>
        <w:t>Bb101</w:t>
      </w:r>
      <w:r w:rsidR="00F056A3">
        <w:rPr>
          <w:rFonts w:eastAsiaTheme="minorEastAsia" w:hAnsi="Calibri"/>
          <w:iCs/>
          <w:color w:val="000000" w:themeColor="text1"/>
          <w:kern w:val="24"/>
          <w:lang w:val="en-GB" w:eastAsia="en-GB"/>
        </w:rPr>
        <w:t>8</w:t>
      </w:r>
      <w:r w:rsidRPr="00C54CFD">
        <w:rPr>
          <w:rFonts w:eastAsiaTheme="minorEastAsia" w:hAnsi="Calibri"/>
          <w:color w:val="000000" w:themeColor="text1"/>
          <w:kern w:val="24"/>
          <w:lang w:val="en-GB" w:eastAsia="en-GB"/>
        </w:rPr>
        <w:t xml:space="preserve">, </w:t>
      </w:r>
      <w:r w:rsidRPr="00C54CFD">
        <w:rPr>
          <w:rFonts w:eastAsiaTheme="minorEastAsia" w:hAnsi="Calibri"/>
          <w:i/>
          <w:iCs/>
          <w:color w:val="000000" w:themeColor="text1"/>
          <w:kern w:val="24"/>
          <w:lang w:val="en-GB" w:eastAsia="en-GB"/>
        </w:rPr>
        <w:t>i</w:t>
      </w:r>
      <w:r w:rsidRPr="00C54CFD">
        <w:rPr>
          <w:rFonts w:eastAsiaTheme="minorEastAsia" w:hAnsi="Calibri"/>
          <w:color w:val="000000" w:themeColor="text1"/>
          <w:kern w:val="24"/>
          <w:lang w:val="en-GB" w:eastAsia="en-GB"/>
        </w:rPr>
        <w:t xml:space="preserve">Bsu1103v2 and </w:t>
      </w:r>
      <w:r w:rsidRPr="00C54CFD">
        <w:rPr>
          <w:rFonts w:eastAsiaTheme="minorEastAsia" w:hAnsi="Calibri"/>
          <w:i/>
          <w:iCs/>
          <w:color w:val="000000" w:themeColor="text1"/>
          <w:kern w:val="24"/>
          <w:lang w:val="en-GB" w:eastAsia="en-GB"/>
        </w:rPr>
        <w:t>i</w:t>
      </w:r>
      <w:r w:rsidRPr="00C54CFD">
        <w:rPr>
          <w:rFonts w:eastAsiaTheme="minorEastAsia" w:hAnsi="Calibri"/>
          <w:color w:val="000000" w:themeColor="text1"/>
          <w:kern w:val="24"/>
          <w:lang w:val="en-GB" w:eastAsia="en-GB"/>
        </w:rPr>
        <w:t>YO844.</w:t>
      </w:r>
    </w:p>
    <w:p w14:paraId="0231A16D" w14:textId="77777777" w:rsidR="00C54CFD" w:rsidRDefault="00C54CFD" w:rsidP="00DD108D">
      <w:pPr>
        <w:rPr>
          <w:rFonts w:ascii="Times New Roman" w:hAnsi="Times New Roman" w:cs="Times New Roman"/>
        </w:rPr>
      </w:pPr>
    </w:p>
    <w:p w14:paraId="0FE61E20" w14:textId="51AAA85D" w:rsidR="00CE46D9" w:rsidRDefault="00CE46D9" w:rsidP="00CE46D9">
      <w:pPr>
        <w:rPr>
          <w:noProof/>
        </w:rPr>
      </w:pPr>
      <w:r w:rsidRPr="00A83CEA">
        <w:rPr>
          <w:b/>
          <w:noProof/>
        </w:rPr>
        <w:t>Table S</w:t>
      </w:r>
      <w:r w:rsidR="00E06051">
        <w:rPr>
          <w:b/>
          <w:noProof/>
        </w:rPr>
        <w:t>2</w:t>
      </w:r>
      <w:r w:rsidRPr="00A83CEA">
        <w:rPr>
          <w:b/>
          <w:noProof/>
        </w:rPr>
        <w:t>.</w:t>
      </w:r>
      <w:r w:rsidRPr="00B549FF">
        <w:rPr>
          <w:noProof/>
        </w:rPr>
        <w:t xml:space="preserve"> </w:t>
      </w:r>
      <w:r w:rsidRPr="00B549FF">
        <w:rPr>
          <w:noProof/>
          <w:lang w:val="en-GB"/>
        </w:rPr>
        <w:t xml:space="preserve">Experimental </w:t>
      </w:r>
      <w:r>
        <w:rPr>
          <w:noProof/>
          <w:lang w:val="en-GB"/>
        </w:rPr>
        <w:t xml:space="preserve">fluxes </w:t>
      </w:r>
      <w:r w:rsidRPr="00B549FF">
        <w:rPr>
          <w:noProof/>
          <w:lang w:val="en-GB"/>
        </w:rPr>
        <w:t xml:space="preserve">of the central carbon reactions for </w:t>
      </w:r>
      <w:r w:rsidRPr="00A37437">
        <w:rPr>
          <w:i/>
          <w:noProof/>
          <w:lang w:val="en-GB"/>
        </w:rPr>
        <w:t>B. subtilis</w:t>
      </w:r>
      <w:r>
        <w:rPr>
          <w:noProof/>
          <w:lang w:val="en-GB"/>
        </w:rPr>
        <w:t xml:space="preserve"> [1] and predicted fluxes from the models </w:t>
      </w:r>
      <w:r w:rsidRPr="00B549FF">
        <w:rPr>
          <w:i/>
          <w:iCs/>
          <w:noProof/>
          <w:lang w:val="en-GB"/>
        </w:rPr>
        <w:t>i</w:t>
      </w:r>
      <w:r w:rsidR="003E75E7">
        <w:rPr>
          <w:noProof/>
          <w:lang w:val="en-GB"/>
        </w:rPr>
        <w:t>B</w:t>
      </w:r>
      <w:r w:rsidR="000B6DFA">
        <w:rPr>
          <w:noProof/>
          <w:lang w:val="en-GB"/>
        </w:rPr>
        <w:t>B</w:t>
      </w:r>
      <w:r w:rsidR="003E75E7">
        <w:rPr>
          <w:noProof/>
          <w:lang w:val="en-GB"/>
        </w:rPr>
        <w:t>1018</w:t>
      </w:r>
      <w:r>
        <w:rPr>
          <w:noProof/>
          <w:lang w:val="en-GB"/>
        </w:rPr>
        <w:t xml:space="preserve">, </w:t>
      </w:r>
      <w:r w:rsidRPr="00B549FF">
        <w:rPr>
          <w:i/>
          <w:iCs/>
          <w:noProof/>
          <w:lang w:val="en-GB"/>
        </w:rPr>
        <w:t>i</w:t>
      </w:r>
      <w:r>
        <w:rPr>
          <w:noProof/>
          <w:lang w:val="en-GB"/>
        </w:rPr>
        <w:t xml:space="preserve">Bsu1103v2 and </w:t>
      </w:r>
      <w:r w:rsidRPr="00B549FF">
        <w:rPr>
          <w:i/>
          <w:iCs/>
          <w:noProof/>
          <w:lang w:val="en-GB"/>
        </w:rPr>
        <w:t>i</w:t>
      </w:r>
      <w:r>
        <w:rPr>
          <w:noProof/>
          <w:lang w:val="en-GB"/>
        </w:rPr>
        <w:t>YO844.</w:t>
      </w:r>
    </w:p>
    <w:p w14:paraId="0A1E61A8" w14:textId="77777777" w:rsidR="00CE46D9" w:rsidRDefault="00CE46D9" w:rsidP="00CE46D9">
      <w:pPr>
        <w:rPr>
          <w:noProof/>
        </w:rPr>
      </w:pPr>
    </w:p>
    <w:tbl>
      <w:tblPr>
        <w:tblW w:w="4088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685"/>
        <w:gridCol w:w="1168"/>
        <w:gridCol w:w="1893"/>
        <w:gridCol w:w="1374"/>
      </w:tblGrid>
      <w:tr w:rsidR="00CE46D9" w:rsidRPr="007B324E" w14:paraId="49D06C13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952E11" w14:textId="77777777" w:rsidR="00CE46D9" w:rsidRDefault="00CE46D9" w:rsidP="00523B8B">
            <w:pPr>
              <w:pStyle w:val="MDPI42tablebody"/>
              <w:rPr>
                <w:b/>
                <w:bCs/>
              </w:rPr>
            </w:pPr>
            <w:r>
              <w:rPr>
                <w:b/>
                <w:bCs/>
              </w:rPr>
              <w:t>Reaction</w:t>
            </w:r>
          </w:p>
          <w:p w14:paraId="58151951" w14:textId="77777777" w:rsidR="00CE46D9" w:rsidRPr="00A27CCC" w:rsidRDefault="00CE46D9" w:rsidP="00523B8B">
            <w:pPr>
              <w:pStyle w:val="MDPI42tablebody"/>
              <w:rPr>
                <w:b/>
                <w:bCs/>
              </w:rPr>
            </w:pPr>
            <w:r>
              <w:rPr>
                <w:b/>
                <w:bCs/>
              </w:rPr>
              <w:t xml:space="preserve"> names</w:t>
            </w:r>
          </w:p>
        </w:tc>
        <w:tc>
          <w:tcPr>
            <w:tcW w:w="110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91BC8" w14:textId="77777777" w:rsidR="00CE46D9" w:rsidRPr="00B549FF" w:rsidRDefault="00CE46D9" w:rsidP="00523B8B">
            <w:pPr>
              <w:pStyle w:val="MDPI42tablebody"/>
              <w:rPr>
                <w:b/>
                <w:bCs/>
              </w:rPr>
            </w:pPr>
            <w:r w:rsidRPr="00B549FF">
              <w:rPr>
                <w:b/>
                <w:bCs/>
              </w:rPr>
              <w:t>EXP FLUX [</w:t>
            </w:r>
            <w:r>
              <w:rPr>
                <w:b/>
                <w:bCs/>
              </w:rPr>
              <w:t>1]</w:t>
            </w:r>
          </w:p>
        </w:tc>
        <w:tc>
          <w:tcPr>
            <w:tcW w:w="76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2B9BF4" w14:textId="1DD30265" w:rsidR="00CE46D9" w:rsidRPr="00B549FF" w:rsidRDefault="00CE46D9" w:rsidP="000B6DFA">
            <w:pPr>
              <w:pStyle w:val="MDPI42tablebody"/>
              <w:rPr>
                <w:b/>
                <w:bCs/>
              </w:rPr>
            </w:pPr>
            <w:r w:rsidRPr="00B549FF">
              <w:rPr>
                <w:rFonts w:eastAsiaTheme="minorEastAsia"/>
                <w:i/>
                <w:iCs/>
                <w:noProof/>
                <w:lang w:val="en-GB"/>
              </w:rPr>
              <w:t>i</w:t>
            </w:r>
            <w:r w:rsidR="003E75E7">
              <w:rPr>
                <w:b/>
                <w:bCs/>
              </w:rPr>
              <w:t>B</w:t>
            </w:r>
            <w:r w:rsidR="000B6DFA">
              <w:rPr>
                <w:b/>
                <w:bCs/>
              </w:rPr>
              <w:t>B</w:t>
            </w:r>
            <w:r w:rsidR="003E75E7">
              <w:rPr>
                <w:b/>
                <w:bCs/>
              </w:rPr>
              <w:t>1018</w:t>
            </w:r>
          </w:p>
        </w:tc>
        <w:tc>
          <w:tcPr>
            <w:tcW w:w="123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0AA061" w14:textId="77777777" w:rsidR="00CE46D9" w:rsidRPr="00B549FF" w:rsidRDefault="00CE46D9" w:rsidP="00523B8B">
            <w:pPr>
              <w:pStyle w:val="MDPI42tablebody"/>
              <w:rPr>
                <w:b/>
                <w:bCs/>
              </w:rPr>
            </w:pPr>
            <w:r w:rsidRPr="00B549FF">
              <w:rPr>
                <w:rFonts w:eastAsiaTheme="minorEastAsia"/>
                <w:i/>
                <w:iCs/>
                <w:noProof/>
                <w:lang w:val="en-GB"/>
              </w:rPr>
              <w:t>i</w:t>
            </w:r>
            <w:r w:rsidRPr="00B549FF">
              <w:rPr>
                <w:b/>
                <w:bCs/>
              </w:rPr>
              <w:t>Bsu1103v2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B780AD" w14:textId="77777777" w:rsidR="00CE46D9" w:rsidRPr="00B549FF" w:rsidRDefault="00CE46D9" w:rsidP="00523B8B">
            <w:pPr>
              <w:pStyle w:val="MDPI42tablebody"/>
              <w:rPr>
                <w:b/>
                <w:bCs/>
              </w:rPr>
            </w:pPr>
            <w:r w:rsidRPr="00B549FF">
              <w:rPr>
                <w:rFonts w:eastAsiaTheme="minorEastAsia"/>
                <w:i/>
                <w:iCs/>
                <w:noProof/>
                <w:lang w:val="en-GB"/>
              </w:rPr>
              <w:t>i</w:t>
            </w:r>
            <w:r w:rsidRPr="00B549FF">
              <w:rPr>
                <w:b/>
                <w:bCs/>
              </w:rPr>
              <w:t>YO844</w:t>
            </w:r>
          </w:p>
        </w:tc>
      </w:tr>
      <w:tr w:rsidR="00CE46D9" w:rsidRPr="00B549FF" w14:paraId="0E480253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CEFF39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proofErr w:type="spellStart"/>
            <w:r w:rsidRPr="00B549FF">
              <w:rPr>
                <w:bCs/>
              </w:rPr>
              <w:t>EX_glc_bD</w:t>
            </w:r>
            <w:proofErr w:type="spellEnd"/>
            <w:r w:rsidRPr="00B549FF">
              <w:rPr>
                <w:bCs/>
              </w:rPr>
              <w:t>(e)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F22243F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-7.71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D54600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-7.71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FEB41EB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-7.71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F4CBEFF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-7.71</w:t>
            </w:r>
          </w:p>
        </w:tc>
      </w:tr>
      <w:tr w:rsidR="00CE46D9" w:rsidRPr="00B549FF" w14:paraId="33B4709D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8DDAC7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EX_o2(e)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0F0014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-18.00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82B571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-18.00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77700A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-18.00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120E1E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-18.00</w:t>
            </w:r>
          </w:p>
        </w:tc>
      </w:tr>
      <w:tr w:rsidR="00CE46D9" w:rsidRPr="00B549FF" w14:paraId="7BA32C90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50F71A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BS_Biomass_10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245F89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0.610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71E25C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0.645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05CA3A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1.111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2BCEA4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0.578</w:t>
            </w:r>
          </w:p>
        </w:tc>
      </w:tr>
      <w:tr w:rsidR="00CE46D9" w:rsidRPr="00B549FF" w14:paraId="3B98AECB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F18FFE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proofErr w:type="spellStart"/>
            <w:r w:rsidRPr="00B549FF">
              <w:rPr>
                <w:bCs/>
              </w:rPr>
              <w:t>EX_ac</w:t>
            </w:r>
            <w:proofErr w:type="spellEnd"/>
            <w:r w:rsidRPr="00B549FF">
              <w:rPr>
                <w:bCs/>
              </w:rPr>
              <w:t>(e)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2DCA87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3.36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BF9348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1.803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81FCE8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0.000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D0429F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3.127</w:t>
            </w:r>
          </w:p>
        </w:tc>
      </w:tr>
      <w:tr w:rsidR="00CE46D9" w:rsidRPr="00B549FF" w14:paraId="7BFEE550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768433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CS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BA8C4B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3.353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A4E526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5.429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F7BCB8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1.085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0FB77C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5.299</w:t>
            </w:r>
          </w:p>
        </w:tc>
      </w:tr>
      <w:tr w:rsidR="00CE46D9" w:rsidRPr="00B549FF" w14:paraId="02AAAD91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B02306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ACONT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3C8BDA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3.353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CDE89D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5.429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618E46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1.085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9BF8F6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5.299</w:t>
            </w:r>
          </w:p>
        </w:tc>
      </w:tr>
      <w:tr w:rsidR="00CE46D9" w:rsidRPr="00B549FF" w14:paraId="2E847D52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D14FFE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proofErr w:type="spellStart"/>
            <w:r w:rsidRPr="00B549FF">
              <w:rPr>
                <w:bCs/>
              </w:rPr>
              <w:t>ICDHyr</w:t>
            </w:r>
            <w:proofErr w:type="spellEnd"/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F6A595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3.353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3B1B98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5.429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9E8795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1.085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C45883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5.299</w:t>
            </w:r>
          </w:p>
        </w:tc>
      </w:tr>
      <w:tr w:rsidR="00CE46D9" w:rsidRPr="00B549FF" w14:paraId="6B64C260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C88390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AKGDH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6BFDCF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2.638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F4C784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4.795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96DA36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0.065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3E197D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4.734</w:t>
            </w:r>
          </w:p>
        </w:tc>
      </w:tr>
      <w:tr w:rsidR="00CE46D9" w:rsidRPr="00B549FF" w14:paraId="12E22E04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81C148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SUCOAS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E0A9EA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2.638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E37025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4.721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51F1EB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0.061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BA79DF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4.450</w:t>
            </w:r>
          </w:p>
        </w:tc>
      </w:tr>
      <w:tr w:rsidR="00CE46D9" w:rsidRPr="00B549FF" w14:paraId="225F3622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0C064E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SUCD1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5A9051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2.638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5F2CD2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4.807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475360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0.000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56509B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4.734</w:t>
            </w:r>
          </w:p>
        </w:tc>
      </w:tr>
      <w:tr w:rsidR="00CE46D9" w:rsidRPr="00B549FF" w14:paraId="1014D7F0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C7884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FUM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982257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2.638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6A3AE5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5.162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62547B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0.000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4FE51A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5.057</w:t>
            </w:r>
          </w:p>
        </w:tc>
      </w:tr>
      <w:tr w:rsidR="00CE46D9" w:rsidRPr="00B549FF" w14:paraId="01AEDD2E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ACBC3A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MDH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BDACBA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1.878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982320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5.162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886E5F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0.000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FF13FF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5.057</w:t>
            </w:r>
          </w:p>
        </w:tc>
      </w:tr>
      <w:tr w:rsidR="00CE46D9" w:rsidRPr="00B549FF" w14:paraId="7C6F0B57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67E263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PGI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64BE0B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4.159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DB80D1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7.519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E99D14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6.802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3BE93A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7.565</w:t>
            </w:r>
          </w:p>
        </w:tc>
      </w:tr>
      <w:tr w:rsidR="00CE46D9" w:rsidRPr="00B549FF" w14:paraId="275C695D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130E6D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PFK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51D5553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6.005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5F0FF1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7.039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F372A1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6.218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8181C5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7.140</w:t>
            </w:r>
          </w:p>
        </w:tc>
      </w:tr>
      <w:tr w:rsidR="00CE46D9" w:rsidRPr="00B549FF" w14:paraId="77FA0E0E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42E5EF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FBA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7BD0CC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6.005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060D2E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7.039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348D34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6.218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19E885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7.140</w:t>
            </w:r>
          </w:p>
        </w:tc>
      </w:tr>
      <w:tr w:rsidR="00CE46D9" w:rsidRPr="00B549FF" w14:paraId="48B09A59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FA23D3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TPI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3D2F7D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6.005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53C672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6.629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F0DCF4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5.697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5958CD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6.790</w:t>
            </w:r>
          </w:p>
        </w:tc>
      </w:tr>
      <w:tr w:rsidR="00CE46D9" w:rsidRPr="00B549FF" w14:paraId="345A2B1D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1E150F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lastRenderedPageBreak/>
              <w:t>GAPD_NAD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1ABA4A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11.577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697A8E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13.445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8F72F9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11.920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3AAF0C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15.140</w:t>
            </w:r>
          </w:p>
        </w:tc>
      </w:tr>
      <w:tr w:rsidR="00CE46D9" w:rsidRPr="00B549FF" w14:paraId="4DD4AD5D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34C384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PGK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3D5979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11.577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9E4B7A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13.445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C273F7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11.920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E7B341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13.735</w:t>
            </w:r>
          </w:p>
        </w:tc>
      </w:tr>
      <w:tr w:rsidR="00CE46D9" w:rsidRPr="00B549FF" w14:paraId="75BA204F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0BA013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PGM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08EA32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11.577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0D4C38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12.485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31C1D5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7.710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E5D8C6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13.172</w:t>
            </w:r>
          </w:p>
        </w:tc>
      </w:tr>
      <w:tr w:rsidR="00CE46D9" w:rsidRPr="00B549FF" w14:paraId="2F9A0855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7664A0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ENO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FEED38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11.577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DF65CB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12.485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5109FF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10.081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F928AB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13.172</w:t>
            </w:r>
          </w:p>
        </w:tc>
      </w:tr>
      <w:tr w:rsidR="00CE46D9" w:rsidRPr="00B549FF" w14:paraId="30C922AD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3E780D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PYK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905606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4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411314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4.265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859325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1.499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6AEB13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5.008</w:t>
            </w:r>
          </w:p>
        </w:tc>
      </w:tr>
      <w:tr w:rsidR="00CE46D9" w:rsidRPr="00B549FF" w14:paraId="15E7C6B6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441A78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PDH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B83C57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7.405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EFD223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8.757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5D5E36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5.454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F3FAC2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9.555</w:t>
            </w:r>
          </w:p>
        </w:tc>
      </w:tr>
      <w:tr w:rsidR="00CE46D9" w:rsidRPr="00B549FF" w14:paraId="50D2398C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BEEC9C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G6PDH2r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881B39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3.29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8951F7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0.000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1A5F1A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0.625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BF3146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0.000</w:t>
            </w:r>
          </w:p>
        </w:tc>
      </w:tr>
      <w:tr w:rsidR="00CE46D9" w:rsidRPr="00B549FF" w14:paraId="2CAECEDA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F69803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RPE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327100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1.85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25D288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0.265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0A9AD4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0.053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E26E4F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0.235</w:t>
            </w:r>
          </w:p>
        </w:tc>
      </w:tr>
      <w:tr w:rsidR="00CE46D9" w:rsidRPr="00B549FF" w14:paraId="5FE581BA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42484D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RPI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DC9A47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1.45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174346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0.265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7CB815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0.053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AEEDCB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0.235</w:t>
            </w:r>
          </w:p>
        </w:tc>
      </w:tr>
      <w:tr w:rsidR="00CE46D9" w:rsidRPr="00B549FF" w14:paraId="4D7909A3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AE9584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TKT1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AA8D5D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1.06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FE33A1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0.021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0F8839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0.163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E9B95E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0.019</w:t>
            </w:r>
          </w:p>
        </w:tc>
      </w:tr>
      <w:tr w:rsidR="00CE46D9" w:rsidRPr="00B549FF" w14:paraId="01903C95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739EC9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TKT2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99F666D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0.79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294289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0.243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0EA3A92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0.216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D59A61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0.216</w:t>
            </w:r>
          </w:p>
        </w:tc>
      </w:tr>
      <w:tr w:rsidR="00CE46D9" w:rsidRPr="00B549FF" w14:paraId="278159F5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70C7BB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TAL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AB177B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1.06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B09C68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0.021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6D09A3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0.421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179379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0.019</w:t>
            </w:r>
          </w:p>
        </w:tc>
      </w:tr>
      <w:tr w:rsidR="00CE46D9" w:rsidRPr="00B549FF" w14:paraId="5026DBF1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64CD0B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proofErr w:type="spellStart"/>
            <w:r w:rsidRPr="00B549FF">
              <w:rPr>
                <w:bCs/>
              </w:rPr>
              <w:t>PTAr</w:t>
            </w:r>
            <w:proofErr w:type="spellEnd"/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1AEBF3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3.37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DA91A9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1.488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12C5B4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0.000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3764E8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2.880</w:t>
            </w:r>
          </w:p>
        </w:tc>
      </w:tr>
      <w:tr w:rsidR="00CE46D9" w:rsidRPr="00B549FF" w14:paraId="55C2FFC1" w14:textId="77777777" w:rsidTr="00523B8B">
        <w:trPr>
          <w:trHeight w:val="63"/>
          <w:jc w:val="center"/>
        </w:trPr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D08736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proofErr w:type="spellStart"/>
            <w:r w:rsidRPr="00B549FF">
              <w:rPr>
                <w:bCs/>
              </w:rPr>
              <w:t>ACKr</w:t>
            </w:r>
            <w:proofErr w:type="spellEnd"/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E01A94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3.37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687244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1.488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F44DA7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0.000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53ED4A" w14:textId="77777777" w:rsidR="00CE46D9" w:rsidRPr="00B549FF" w:rsidRDefault="00CE46D9" w:rsidP="00523B8B">
            <w:pPr>
              <w:pStyle w:val="MDPI42tablebody"/>
              <w:rPr>
                <w:bCs/>
              </w:rPr>
            </w:pPr>
            <w:r w:rsidRPr="00B549FF">
              <w:rPr>
                <w:bCs/>
              </w:rPr>
              <w:t>2.880</w:t>
            </w:r>
          </w:p>
        </w:tc>
      </w:tr>
    </w:tbl>
    <w:p w14:paraId="34DA8115" w14:textId="77777777" w:rsidR="00CE46D9" w:rsidRPr="002142EA" w:rsidRDefault="00CE46D9" w:rsidP="00CE46D9">
      <w:pPr>
        <w:pStyle w:val="MDPI42tablebody"/>
        <w:rPr>
          <w:bCs/>
        </w:rPr>
      </w:pPr>
    </w:p>
    <w:p w14:paraId="3D96C0AC" w14:textId="77777777" w:rsidR="00CE46D9" w:rsidRPr="002142EA" w:rsidRDefault="00CE46D9" w:rsidP="00CE46D9">
      <w:pPr>
        <w:pStyle w:val="MDPI42tablebody"/>
        <w:rPr>
          <w:bCs/>
        </w:rPr>
      </w:pPr>
    </w:p>
    <w:p w14:paraId="75AD0EB7" w14:textId="77777777" w:rsidR="00B549FF" w:rsidRPr="002142EA" w:rsidRDefault="00B549FF" w:rsidP="00925873">
      <w:pPr>
        <w:rPr>
          <w:noProof/>
        </w:rPr>
      </w:pPr>
    </w:p>
    <w:p w14:paraId="0B1A76C6" w14:textId="77777777" w:rsidR="00B549FF" w:rsidRDefault="003C0C79" w:rsidP="00925873">
      <w:pPr>
        <w:rPr>
          <w:noProof/>
        </w:rPr>
      </w:pPr>
      <w:r>
        <w:object w:dxaOrig="16612" w:dyaOrig="11187" w14:anchorId="68370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5pt" o:ole="">
            <v:imagedata r:id="rId7" o:title=""/>
          </v:shape>
          <o:OLEObject Type="Embed" ProgID="Prism5.Document" ShapeID="_x0000_i1025" DrawAspect="Content" ObjectID="_1741858482" r:id="rId8"/>
        </w:object>
      </w:r>
    </w:p>
    <w:p w14:paraId="114B39D0" w14:textId="77777777" w:rsidR="00B549FF" w:rsidRDefault="00C54CFD" w:rsidP="00B549FF">
      <w:p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>Figure S2</w:t>
      </w:r>
      <w:r w:rsidR="00B549FF" w:rsidRPr="00B549FF">
        <w:rPr>
          <w:b/>
          <w:bCs/>
          <w:noProof/>
          <w:lang w:val="en-GB"/>
        </w:rPr>
        <w:t>.</w:t>
      </w:r>
      <w:r w:rsidR="00B549FF" w:rsidRPr="00B549FF">
        <w:rPr>
          <w:noProof/>
          <w:lang w:val="en-GB"/>
        </w:rPr>
        <w:t xml:space="preserve"> Experimental and predicted fluxes of the central carbon reactions for B. subtilis. Predictions using </w:t>
      </w:r>
      <w:r w:rsidR="00B549FF" w:rsidRPr="00B549FF">
        <w:rPr>
          <w:i/>
          <w:iCs/>
          <w:noProof/>
          <w:lang w:val="en-GB"/>
        </w:rPr>
        <w:t>i</w:t>
      </w:r>
      <w:r w:rsidR="00F056A3">
        <w:rPr>
          <w:noProof/>
          <w:lang w:val="en-GB"/>
        </w:rPr>
        <w:t>Bb1018</w:t>
      </w:r>
      <w:r w:rsidR="00B549FF" w:rsidRPr="00B549FF">
        <w:rPr>
          <w:noProof/>
          <w:lang w:val="en-GB"/>
        </w:rPr>
        <w:t xml:space="preserve"> (red bars), </w:t>
      </w:r>
      <w:r w:rsidR="00B549FF" w:rsidRPr="00B549FF">
        <w:rPr>
          <w:i/>
          <w:iCs/>
          <w:noProof/>
          <w:lang w:val="en-GB"/>
        </w:rPr>
        <w:t>i</w:t>
      </w:r>
      <w:r w:rsidR="00B549FF" w:rsidRPr="00B549FF">
        <w:rPr>
          <w:noProof/>
          <w:lang w:val="en-GB"/>
        </w:rPr>
        <w:t xml:space="preserve">Bsu1103v2 (purple bars) and </w:t>
      </w:r>
      <w:r w:rsidR="00B549FF" w:rsidRPr="00B549FF">
        <w:rPr>
          <w:i/>
          <w:iCs/>
          <w:noProof/>
          <w:lang w:val="en-GB"/>
        </w:rPr>
        <w:t>i</w:t>
      </w:r>
      <w:r w:rsidR="00B549FF" w:rsidRPr="00B549FF">
        <w:rPr>
          <w:noProof/>
          <w:lang w:val="en-GB"/>
        </w:rPr>
        <w:t>YO844 (green bars) for growth rate, acetate secretion and fluxes through the reactions of glycolysis, TCA cycle and pentose phosphate pathway.</w:t>
      </w:r>
    </w:p>
    <w:p w14:paraId="0DF596AA" w14:textId="4FBCC5F9" w:rsidR="003C0C79" w:rsidRDefault="003C0C79" w:rsidP="00B549FF">
      <w:pPr>
        <w:jc w:val="both"/>
        <w:rPr>
          <w:noProof/>
          <w:lang w:val="en-GB"/>
        </w:rPr>
      </w:pPr>
    </w:p>
    <w:p w14:paraId="1803BCCC" w14:textId="626EA1B1" w:rsidR="00AF4EBC" w:rsidRDefault="00AF4EBC" w:rsidP="00B549FF">
      <w:pPr>
        <w:jc w:val="both"/>
        <w:rPr>
          <w:noProof/>
          <w:lang w:val="en-GB"/>
        </w:rPr>
      </w:pPr>
    </w:p>
    <w:p w14:paraId="0B69CF4C" w14:textId="4298ABB1" w:rsidR="00887BF0" w:rsidRDefault="00887BF0" w:rsidP="00887BF0">
      <w:pPr>
        <w:pStyle w:val="MDPI41tablecaption"/>
        <w:spacing w:before="0"/>
        <w:ind w:left="0"/>
        <w:jc w:val="center"/>
      </w:pPr>
      <w:bookmarkStart w:id="0" w:name="_Hlk130857373"/>
      <w:r w:rsidRPr="000E5C7B">
        <w:rPr>
          <w:b/>
        </w:rPr>
        <w:lastRenderedPageBreak/>
        <w:t>Table S3.</w:t>
      </w:r>
      <w:r w:rsidRPr="006D6491">
        <w:t xml:space="preserve"> </w:t>
      </w:r>
      <w:r>
        <w:t xml:space="preserve">List of </w:t>
      </w:r>
      <w:r w:rsidRPr="00914A7E">
        <w:t xml:space="preserve">carbon sources predicted </w:t>
      </w:r>
      <w:r w:rsidR="00A07424">
        <w:t xml:space="preserve">to </w:t>
      </w:r>
      <w:r>
        <w:t xml:space="preserve">not be used by </w:t>
      </w:r>
      <w:r w:rsidRPr="000E5C7B">
        <w:rPr>
          <w:i/>
        </w:rPr>
        <w:t>Bacillus subtilis</w:t>
      </w:r>
      <w:r>
        <w:t xml:space="preserve"> </w:t>
      </w:r>
      <w:r w:rsidRPr="00914A7E">
        <w:t xml:space="preserve">using the </w:t>
      </w:r>
      <w:r>
        <w:rPr>
          <w:i/>
        </w:rPr>
        <w:t>i</w:t>
      </w:r>
      <w:r w:rsidRPr="008D138C">
        <w:t>B</w:t>
      </w:r>
      <w:r>
        <w:t>B</w:t>
      </w:r>
      <w:r w:rsidRPr="008D138C">
        <w:t>1018</w:t>
      </w:r>
      <w:r w:rsidRPr="00914A7E">
        <w:t xml:space="preserve"> model</w:t>
      </w:r>
      <w:r>
        <w:t xml:space="preserve"> in aerobic </w:t>
      </w:r>
      <w:r w:rsidRPr="00914A7E">
        <w:t>conditions</w:t>
      </w:r>
      <w:r>
        <w:t xml:space="preserve">. </w:t>
      </w:r>
      <w:r w:rsidRPr="00914A7E">
        <w:t xml:space="preserve">The uptake of each potential carbon source was limited to </w:t>
      </w:r>
      <w:r>
        <w:t xml:space="preserve">10 </w:t>
      </w:r>
      <w:proofErr w:type="spellStart"/>
      <w:r>
        <w:t>mmol</w:t>
      </w:r>
      <w:proofErr w:type="spellEnd"/>
      <w:r>
        <w:t xml:space="preserve"> / </w:t>
      </w:r>
      <w:proofErr w:type="spellStart"/>
      <w:r>
        <w:t>gDW.h</w:t>
      </w:r>
      <w:proofErr w:type="spellEnd"/>
      <w:r>
        <w:t>.</w:t>
      </w:r>
    </w:p>
    <w:tbl>
      <w:tblPr>
        <w:tblW w:w="4135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974"/>
        <w:gridCol w:w="1346"/>
        <w:gridCol w:w="799"/>
        <w:gridCol w:w="2322"/>
        <w:gridCol w:w="732"/>
      </w:tblGrid>
      <w:tr w:rsidR="00B520FA" w:rsidRPr="00B4087D" w14:paraId="7A5098C4" w14:textId="77777777" w:rsidTr="00D85222">
        <w:trPr>
          <w:trHeight w:val="172"/>
          <w:jc w:val="center"/>
        </w:trPr>
        <w:tc>
          <w:tcPr>
            <w:tcW w:w="5000" w:type="pct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47F362" w14:textId="77777777" w:rsidR="00B520FA" w:rsidRPr="00B4087D" w:rsidRDefault="00B520FA" w:rsidP="00D85222">
            <w:pPr>
              <w:pStyle w:val="MDPI41tablecaption"/>
              <w:spacing w:before="0"/>
              <w:ind w:left="0"/>
              <w:jc w:val="center"/>
              <w:rPr>
                <w:b/>
                <w:sz w:val="16"/>
                <w:szCs w:val="16"/>
              </w:rPr>
            </w:pPr>
            <w:r w:rsidRPr="00B4087D">
              <w:rPr>
                <w:b/>
                <w:sz w:val="16"/>
                <w:szCs w:val="16"/>
              </w:rPr>
              <w:t>Carbon Sources</w:t>
            </w:r>
          </w:p>
        </w:tc>
      </w:tr>
      <w:tr w:rsidR="00B520FA" w:rsidRPr="00B4087D" w14:paraId="2A40A5B8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0190D1" w14:textId="77777777" w:rsidR="00B520FA" w:rsidRPr="00B4087D" w:rsidRDefault="00B520FA" w:rsidP="00D85222">
            <w:pPr>
              <w:pStyle w:val="MDPI41tablecaption"/>
              <w:spacing w:before="0"/>
              <w:ind w:left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B24773" w14:textId="34EAA006" w:rsidR="00B520FA" w:rsidRPr="000E5C7B" w:rsidRDefault="00B520FA" w:rsidP="00B520FA">
            <w:pPr>
              <w:pStyle w:val="MDPI41tablecaption"/>
              <w:spacing w:before="0"/>
              <w:ind w:left="0"/>
              <w:jc w:val="center"/>
              <w:rPr>
                <w:b/>
                <w:sz w:val="16"/>
                <w:szCs w:val="16"/>
              </w:rPr>
            </w:pPr>
            <w:r w:rsidRPr="00B4087D">
              <w:rPr>
                <w:b/>
                <w:i/>
                <w:sz w:val="16"/>
                <w:szCs w:val="16"/>
              </w:rPr>
              <w:t>in silico</w:t>
            </w:r>
          </w:p>
        </w:tc>
        <w:tc>
          <w:tcPr>
            <w:tcW w:w="8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6BE6B9" w14:textId="77777777" w:rsidR="00B520FA" w:rsidRPr="00B4087D" w:rsidRDefault="00B520FA" w:rsidP="00D85222">
            <w:pPr>
              <w:pStyle w:val="MDPI41tablecaption"/>
              <w:spacing w:before="0"/>
              <w:ind w:left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AAB4F3" w14:textId="05220491" w:rsidR="00B520FA" w:rsidRPr="00B4087D" w:rsidRDefault="00B520FA" w:rsidP="00B520FA">
            <w:pPr>
              <w:pStyle w:val="MDPI41tablecaption"/>
              <w:spacing w:before="0"/>
              <w:ind w:left="0"/>
              <w:jc w:val="center"/>
              <w:rPr>
                <w:b/>
                <w:sz w:val="16"/>
                <w:szCs w:val="16"/>
              </w:rPr>
            </w:pPr>
            <w:r w:rsidRPr="00B4087D">
              <w:rPr>
                <w:b/>
                <w:i/>
                <w:sz w:val="16"/>
                <w:szCs w:val="16"/>
              </w:rPr>
              <w:t>in silico</w:t>
            </w:r>
          </w:p>
        </w:tc>
        <w:tc>
          <w:tcPr>
            <w:tcW w:w="150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CCC29" w14:textId="77777777" w:rsidR="00B520FA" w:rsidRPr="00B4087D" w:rsidRDefault="00B520FA" w:rsidP="00D85222">
            <w:pPr>
              <w:pStyle w:val="MDPI41tablecaption"/>
              <w:spacing w:before="0"/>
              <w:ind w:left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71A7D7" w14:textId="385AED0A" w:rsidR="00B520FA" w:rsidRPr="00B4087D" w:rsidRDefault="00B520FA" w:rsidP="00B520FA">
            <w:pPr>
              <w:pStyle w:val="MDPI41tablecaption"/>
              <w:spacing w:before="0"/>
              <w:ind w:left="0"/>
              <w:jc w:val="center"/>
              <w:rPr>
                <w:b/>
                <w:sz w:val="16"/>
                <w:szCs w:val="16"/>
              </w:rPr>
            </w:pPr>
            <w:r w:rsidRPr="00B4087D">
              <w:rPr>
                <w:b/>
                <w:i/>
                <w:sz w:val="16"/>
                <w:szCs w:val="16"/>
              </w:rPr>
              <w:t>in silico</w:t>
            </w:r>
          </w:p>
        </w:tc>
      </w:tr>
      <w:tr w:rsidR="00A07424" w:rsidRPr="00B4087D" w14:paraId="2831553E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2249AE" w14:textId="4B1EC10F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Saligenin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7156C6" w14:textId="1F2CB09E" w:rsidR="008E5381" w:rsidRPr="00B4087D" w:rsidRDefault="008E5381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21ADD78" w14:textId="4024CBC1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Aminoethanol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F2207" w14:textId="573D235B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B953CA" w14:textId="4E5DBF03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Niacin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D03FEE" w14:textId="20B7941C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369C9F41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A005D1" w14:textId="5AD892F8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4-Hydroxy-benzyl alcohol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BD1AF" w14:textId="295D2880" w:rsidR="008E5381" w:rsidRPr="00B4087D" w:rsidRDefault="008E5381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77E73C" w14:textId="29BA26AA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ethanesulfonate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EDFA2" w14:textId="17E48903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0626D6" w14:textId="2A018B92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Phenylacetaldehyde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0CC98A" w14:textId="175B11BE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0CBF25E3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965E93" w14:textId="1062C753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5-Methylthio-D-ribose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B6FEB2" w14:textId="5ACC2594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55F5F0" w14:textId="33895CE7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Ethanol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C8DB04" w14:textId="492245B8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8718B1" w14:textId="6F12A2E1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L-Phenylalanine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B4267" w14:textId="2BDCFE14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1CA7AFDB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1D3F59" w14:textId="734518E6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Acetate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13F08E" w14:textId="5F32989B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004C67" w14:textId="081CDA94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Ferrichrome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7FFCF0" w14:textId="5697F720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173DDB" w14:textId="3B6CCBE4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Protoheme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DD03" w14:textId="2FCBC90E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7698FB7D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123062" w14:textId="6F1624BE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Adenine exchange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718EA" w14:textId="0969279C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E37F69" w14:textId="76481D1D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Ferroxamine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9B8DAC" w14:textId="7074E6FE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96F7F9" w14:textId="63657C94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(R)-Pantothenate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B3D903" w14:textId="64C7D7AA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48F52549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F4DB7A" w14:textId="0DF8DD0F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beta-Alanine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4B4E7" w14:textId="4149E69B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ECFD1A" w14:textId="4234C557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Formate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69999" w14:textId="3F04B173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2F638B" w14:textId="2791B6EB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Prephenate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0A809F" w14:textId="4023A5CB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7795254F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A42CF8" w14:textId="3FED4FB1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ala-L-asp-L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5E22EC" w14:textId="6C893932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6EA941" w14:textId="38EB9602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gamma-</w:t>
            </w:r>
            <w:proofErr w:type="spellStart"/>
            <w:r w:rsidRPr="003A563A">
              <w:rPr>
                <w:rFonts w:ascii="Calibri" w:hAnsi="Calibri" w:cs="Calibri"/>
                <w:lang w:eastAsia="en-GB"/>
              </w:rPr>
              <w:t>butyrobetaine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FDD35" w14:textId="0AA0487D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B615BF" w14:textId="0AFCB1A2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Puromycin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6CEB8C" w14:textId="2B65E701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7DAC7CBD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C54488" w14:textId="2346A048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ala-L-</w:t>
            </w:r>
            <w:proofErr w:type="spellStart"/>
            <w:r w:rsidRPr="003A563A">
              <w:rPr>
                <w:rFonts w:ascii="Calibri" w:hAnsi="Calibri" w:cs="Calibri"/>
                <w:lang w:eastAsia="en-GB"/>
              </w:rPr>
              <w:t>glu</w:t>
            </w:r>
            <w:proofErr w:type="spellEnd"/>
            <w:r w:rsidRPr="003A563A">
              <w:rPr>
                <w:rFonts w:ascii="Calibri" w:hAnsi="Calibri" w:cs="Calibri"/>
                <w:lang w:eastAsia="en-GB"/>
              </w:rPr>
              <w:t>-L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E2E08F" w14:textId="03590660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CDAEE8" w14:textId="684782BF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gly-asn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BBD5C5" w14:textId="4E4F5971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04B816" w14:textId="3111A633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Pyridoxal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1715CF" w14:textId="04079F51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1BFAFB51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3A56FE" w14:textId="29A9152B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Ala-His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843B0" w14:textId="5C027F59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B9829D" w14:textId="4D77647F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gly</w:t>
            </w:r>
            <w:proofErr w:type="spellEnd"/>
            <w:r w:rsidRPr="003A563A">
              <w:rPr>
                <w:rFonts w:ascii="Calibri" w:hAnsi="Calibri" w:cs="Calibri"/>
                <w:lang w:eastAsia="en-GB"/>
              </w:rPr>
              <w:t>-asp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D4AC68" w14:textId="2F275CDF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E6F6DD" w14:textId="6365326F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Riboflavin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93108" w14:textId="0EF33D9C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5BB96FC8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880C33" w14:textId="7E97554F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Ala-Leu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48B5BA" w14:textId="0F552A7C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70790F" w14:textId="45094621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gly-gln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E12226" w14:textId="5D6F416C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E7BC49" w14:textId="644A4286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D-Gulitol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F0401" w14:textId="273DA010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263469BB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022831" w14:textId="2D63810B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ala-L-</w:t>
            </w:r>
            <w:proofErr w:type="spellStart"/>
            <w:r w:rsidRPr="003A563A">
              <w:rPr>
                <w:rFonts w:ascii="Calibri" w:hAnsi="Calibri" w:cs="Calibri"/>
                <w:lang w:eastAsia="en-GB"/>
              </w:rPr>
              <w:t>Thr</w:t>
            </w:r>
            <w:proofErr w:type="spellEnd"/>
            <w:r w:rsidRPr="003A563A">
              <w:rPr>
                <w:rFonts w:ascii="Calibri" w:hAnsi="Calibri" w:cs="Calibri"/>
                <w:lang w:eastAsia="en-GB"/>
              </w:rPr>
              <w:t>-L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CCC628" w14:textId="460BED40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DAA4CD" w14:textId="5CDABEC1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gly-glu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F13620" w14:textId="675645E5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B62198" w14:textId="287BA79A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Shikimate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33B85C" w14:textId="5FAF30CE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6E73E6E5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C8E946" w14:textId="6A9A9E19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Allantoin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A0111" w14:textId="4F503640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F7AC76" w14:textId="560B5104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gly</w:t>
            </w:r>
            <w:proofErr w:type="spellEnd"/>
            <w:r w:rsidRPr="003A563A">
              <w:rPr>
                <w:rFonts w:ascii="Calibri" w:hAnsi="Calibri" w:cs="Calibri"/>
                <w:lang w:eastAsia="en-GB"/>
              </w:rPr>
              <w:t>-met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0090E" w14:textId="11F4D314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881DEC" w14:textId="76DB9ECE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Sulfoacetate</w:t>
            </w:r>
            <w:proofErr w:type="spellEnd"/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F0DDA4" w14:textId="430CA735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4D94A0CC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6DC504" w14:textId="273D2295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Arsenobetaine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2C24F6" w14:textId="0B01976C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92CA9B" w14:textId="495750EA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gly</w:t>
            </w:r>
            <w:proofErr w:type="spellEnd"/>
            <w:r w:rsidRPr="003A563A">
              <w:rPr>
                <w:rFonts w:ascii="Calibri" w:hAnsi="Calibri" w:cs="Calibri"/>
                <w:lang w:eastAsia="en-GB"/>
              </w:rPr>
              <w:t>-pro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7382F7" w14:textId="38993908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973EB83" w14:textId="517BAD01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Taurine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ED9C2" w14:textId="1AE0C094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06573F93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E98A39" w14:textId="7D70B5E5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 xml:space="preserve">R </w:t>
            </w:r>
            <w:proofErr w:type="spellStart"/>
            <w:r w:rsidRPr="003A563A">
              <w:rPr>
                <w:rFonts w:ascii="Calibri" w:hAnsi="Calibri" w:cs="Calibri"/>
                <w:lang w:eastAsia="en-GB"/>
              </w:rPr>
              <w:t>R</w:t>
            </w:r>
            <w:proofErr w:type="spellEnd"/>
            <w:r w:rsidRPr="003A563A">
              <w:rPr>
                <w:rFonts w:ascii="Calibri" w:hAnsi="Calibri" w:cs="Calibri"/>
                <w:lang w:eastAsia="en-GB"/>
              </w:rPr>
              <w:t xml:space="preserve"> 2 3 </w:t>
            </w:r>
            <w:proofErr w:type="spellStart"/>
            <w:r w:rsidRPr="003A563A">
              <w:rPr>
                <w:rFonts w:ascii="Calibri" w:hAnsi="Calibri" w:cs="Calibri"/>
                <w:lang w:eastAsia="en-GB"/>
              </w:rPr>
              <w:t>Butanediol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689DEC" w14:textId="18CDEC53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7F522F" w14:textId="5450E41B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Glycogen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809AD4" w14:textId="441AECE2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C0BB57" w14:textId="36DE25DE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Thioglycolate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DFCA0D" w14:textId="6CCEB426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2D5BC4C4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2E9EA0" w14:textId="3CE7DBAB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Biotin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8511F" w14:textId="58596EB8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9CC271" w14:textId="7C0C50BB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Heme D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C3B05" w14:textId="73A6F311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D12415" w14:textId="0338E9C9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Thiamin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61F75F" w14:textId="0B4B09B9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3CC9A4C8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985118" w14:textId="0EAE1BA4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Carbamoylphosphate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6BE0E8" w14:textId="17112F83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A0004C" w14:textId="39C96ECB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hexanesulfonate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81930" w14:textId="1F834704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2AF50A" w14:textId="37D031D6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L-Tyrosine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78015" w14:textId="73BAF4C0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7D4C0DF4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C36FDD" w14:textId="3801EF06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Cys-Gly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A737A4" w14:textId="0A88BA1C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0E7DED" w14:textId="0D9EF95B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Quinol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019D6E" w14:textId="71966E95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013E82" w14:textId="3BA6760B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UMP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C7C7E3" w14:textId="1D0AE17F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09FB58DB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9C03636" w14:textId="2F47F23A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Choline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EC971A" w14:textId="0440E17F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6D7FFC" w14:textId="35E5F85F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L-</w:t>
            </w:r>
            <w:proofErr w:type="spellStart"/>
            <w:r w:rsidRPr="003A563A">
              <w:rPr>
                <w:rFonts w:ascii="Calibri" w:hAnsi="Calibri" w:cs="Calibri"/>
                <w:lang w:eastAsia="en-GB"/>
              </w:rPr>
              <w:t>alanylglycine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D3C196" w14:textId="47D40CB3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B66591" w14:textId="587B0AAD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Uracil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634FDA" w14:textId="60F8067D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6BC9FD66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8C8A60" w14:textId="6BFFAA58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Chorismate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A53CEC" w14:textId="4081F4F4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1EFE7A" w14:textId="171CEF91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Lanthionine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578DF" w14:textId="73C20473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CAC1E0" w14:textId="7F55F154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Urate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7C976C" w14:textId="61BAFEAF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2E140FFA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0B12DD" w14:textId="38659A33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Carnitine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DF75D6" w14:textId="0C7B75E8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B86C81" w14:textId="654FCFA2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L-</w:t>
            </w:r>
            <w:proofErr w:type="spellStart"/>
            <w:r w:rsidRPr="003A563A">
              <w:rPr>
                <w:rFonts w:ascii="Calibri" w:hAnsi="Calibri" w:cs="Calibri"/>
                <w:lang w:eastAsia="en-GB"/>
              </w:rPr>
              <w:t>Cysteate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2781ED" w14:textId="425113F2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B064F8" w14:textId="7CC5EB04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Urea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E724E" w14:textId="12A88FF7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39B18680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B5A40A" w14:textId="2A151637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Cytosine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62F2A5" w14:textId="5E99C1D2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0363B4" w14:textId="648FAB92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L-Leucine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4E056" w14:textId="5953423A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EF051A" w14:textId="5BF0D689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Acetoin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A3A9AF" w14:textId="2675E236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233F81CD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81B3F0" w14:textId="14A23DCA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L-Cystine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E0FD6B" w14:textId="7CAEAF47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66B5AF" w14:textId="3E7C2479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Lipoate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54BCD0" w14:textId="63135DD9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DC40EC" w14:textId="169A68FD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Thymine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B34A8B" w14:textId="645E8AE4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6AD08360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635E01" w14:textId="59329903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Deoxyadenosine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1A1F9C" w14:textId="2FE89DDB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3B75F2" w14:textId="1FF75F94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L-Lysine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288953" w14:textId="3C401A25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2908C6" w14:textId="56A22F32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Methanol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4262AF" w14:textId="09FCF11C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0A22ADBE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4CF5BB" w14:textId="770FAA2F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5'-Deoxyadenosine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7BF60E" w14:textId="31EC069B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9B38E0" w14:textId="41339CCC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L-Methionine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AF48" w14:textId="3F6E8E46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0E490E" w14:textId="4A626D56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Acetoacetate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56725" w14:textId="5800AE23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7B911047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700772" w14:textId="4CC74EDA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Dextrin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DAA4CE" w14:textId="45CC3C82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F13BE4" w14:textId="1AD29F3B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Butyro</w:t>
            </w:r>
            <w:proofErr w:type="spellEnd"/>
            <w:r w:rsidRPr="003A563A">
              <w:rPr>
                <w:rFonts w:ascii="Calibri" w:hAnsi="Calibri" w:cs="Calibri"/>
                <w:lang w:eastAsia="en-GB"/>
              </w:rPr>
              <w:t>-betaine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93777E" w14:textId="1D5DEBFA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5BD233" w14:textId="29D399D4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2-Oxobutanoate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9BB590" w14:textId="0E1AAE8B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07424" w:rsidRPr="00B4087D" w14:paraId="1EE94A89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2A7220" w14:textId="5D30C561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Thymidine 5'-monophosphate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8F2B2" w14:textId="2C703040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334B91" w14:textId="537D3E1C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r w:rsidRPr="003A563A">
              <w:rPr>
                <w:rFonts w:ascii="Calibri" w:hAnsi="Calibri" w:cs="Calibri"/>
                <w:lang w:eastAsia="en-GB"/>
              </w:rPr>
              <w:t>MOPS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E6B64C" w14:textId="4EF31BFC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EC4A10" w14:textId="4E7C5AEA" w:rsidR="008E5381" w:rsidRPr="00B4087D" w:rsidRDefault="008E5381" w:rsidP="008E5381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Trimetaphosphate</w:t>
            </w:r>
            <w:proofErr w:type="spellEnd"/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E23A74" w14:textId="06BBF7AD" w:rsidR="008E5381" w:rsidRPr="00B4087D" w:rsidRDefault="00A07424" w:rsidP="008E5381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B520FA" w:rsidRPr="00B4087D" w14:paraId="1C73CCE8" w14:textId="77777777" w:rsidTr="000E5C7B">
        <w:trPr>
          <w:trHeight w:val="172"/>
          <w:jc w:val="center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DD2DCD" w14:textId="3FD17B5D" w:rsidR="00B520FA" w:rsidRPr="00B4087D" w:rsidRDefault="008E5381" w:rsidP="00D85222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Ectoine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330EFB" w14:textId="1B73D0F6" w:rsidR="00B520FA" w:rsidRPr="00B4087D" w:rsidRDefault="00A07424" w:rsidP="00D85222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27041" w14:textId="2F970EF9" w:rsidR="00B520FA" w:rsidRPr="00B4087D" w:rsidRDefault="008E5381" w:rsidP="00D85222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  <w:proofErr w:type="spellStart"/>
            <w:r w:rsidRPr="003A563A">
              <w:rPr>
                <w:rFonts w:ascii="Calibri" w:hAnsi="Calibri" w:cs="Calibri"/>
                <w:lang w:eastAsia="en-GB"/>
              </w:rPr>
              <w:t>methanesulfonate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292283" w14:textId="165A6CA7" w:rsidR="00B520FA" w:rsidRPr="00B4087D" w:rsidRDefault="00A07424" w:rsidP="00D85222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1DDE91" w14:textId="13B896EE" w:rsidR="00B520FA" w:rsidRPr="00B4087D" w:rsidRDefault="00B520FA" w:rsidP="00D85222">
            <w:pPr>
              <w:pStyle w:val="MDPI41tablecaption"/>
              <w:spacing w:before="0"/>
              <w:ind w:left="0"/>
              <w:rPr>
                <w:sz w:val="16"/>
                <w:szCs w:val="16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05EDB" w14:textId="0E2A15CC" w:rsidR="00B520FA" w:rsidRPr="00B4087D" w:rsidRDefault="00A07424" w:rsidP="00D85222">
            <w:pPr>
              <w:pStyle w:val="MDPI41tablecaption"/>
              <w:spacing w:before="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bookmarkEnd w:id="0"/>
    </w:tbl>
    <w:p w14:paraId="21A1B0C8" w14:textId="77777777" w:rsidR="003C0C79" w:rsidRDefault="003C0C79" w:rsidP="00B549FF">
      <w:pPr>
        <w:jc w:val="both"/>
        <w:rPr>
          <w:noProof/>
          <w:lang w:val="en-GB"/>
        </w:rPr>
      </w:pPr>
    </w:p>
    <w:p w14:paraId="2B1359D8" w14:textId="77777777" w:rsidR="00DE1D41" w:rsidRDefault="00DE1D41" w:rsidP="00B549FF">
      <w:pPr>
        <w:jc w:val="both"/>
        <w:rPr>
          <w:noProof/>
          <w:lang w:val="en-GB"/>
        </w:rPr>
      </w:pPr>
    </w:p>
    <w:p w14:paraId="53C1C2D4" w14:textId="77777777" w:rsidR="003C0C79" w:rsidRDefault="003C0C79" w:rsidP="00B549FF">
      <w:pPr>
        <w:jc w:val="both"/>
        <w:rPr>
          <w:noProof/>
          <w:lang w:val="en-GB"/>
        </w:rPr>
      </w:pPr>
    </w:p>
    <w:p w14:paraId="4B5C2CB6" w14:textId="77777777" w:rsidR="003C0C79" w:rsidRDefault="003C0C79" w:rsidP="00B549FF">
      <w:pPr>
        <w:jc w:val="both"/>
        <w:rPr>
          <w:noProof/>
          <w:lang w:val="en-GB"/>
        </w:rPr>
      </w:pPr>
    </w:p>
    <w:p w14:paraId="2A2C18F6" w14:textId="4552F28C" w:rsidR="002142EA" w:rsidRPr="003B571E" w:rsidRDefault="002142EA" w:rsidP="002142EA">
      <w:pPr>
        <w:pStyle w:val="MDPI42tablebody"/>
        <w:jc w:val="left"/>
        <w:rPr>
          <w:b/>
          <w:bCs/>
          <w:sz w:val="24"/>
          <w:szCs w:val="24"/>
        </w:rPr>
      </w:pPr>
    </w:p>
    <w:p w14:paraId="78C65CD8" w14:textId="6C96D5A2" w:rsidR="002142EA" w:rsidRPr="003B571E" w:rsidRDefault="001246B2" w:rsidP="003B571E">
      <w:pPr>
        <w:pStyle w:val="MDPI42tablebody"/>
        <w:jc w:val="both"/>
        <w:rPr>
          <w:rFonts w:asciiTheme="minorHAnsi" w:hAnsiTheme="minorHAnsi"/>
          <w:bCs/>
          <w:sz w:val="24"/>
          <w:szCs w:val="24"/>
          <w:lang w:val="en-GB"/>
        </w:rPr>
      </w:pPr>
      <w:r>
        <w:rPr>
          <w:rFonts w:cstheme="minorHAnsi"/>
          <w:noProof/>
          <w:lang w:eastAsia="en-US" w:bidi="ar-SA"/>
        </w:rPr>
        <w:lastRenderedPageBreak/>
        <w:drawing>
          <wp:inline distT="0" distB="0" distL="0" distR="0" wp14:anchorId="30D9137D" wp14:editId="12CD71C3">
            <wp:extent cx="5819140" cy="6629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S3.jpg"/>
                    <pic:cNvPicPr/>
                  </pic:nvPicPr>
                  <pic:blipFill rotWithShape="1"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44"/>
                    <a:stretch/>
                  </pic:blipFill>
                  <pic:spPr bwMode="auto">
                    <a:xfrm>
                      <a:off x="0" y="0"/>
                      <a:ext cx="5819140" cy="662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FD">
        <w:rPr>
          <w:rFonts w:asciiTheme="minorHAnsi" w:hAnsiTheme="minorHAnsi"/>
          <w:b/>
          <w:bCs/>
          <w:sz w:val="24"/>
          <w:szCs w:val="24"/>
        </w:rPr>
        <w:t>Figure S3</w:t>
      </w:r>
      <w:r w:rsidR="002142EA" w:rsidRPr="003B571E">
        <w:rPr>
          <w:rFonts w:asciiTheme="minorHAnsi" w:hAnsiTheme="minorHAnsi"/>
          <w:b/>
          <w:bCs/>
          <w:sz w:val="24"/>
          <w:szCs w:val="24"/>
        </w:rPr>
        <w:t>.</w:t>
      </w:r>
      <w:r w:rsidR="002142EA" w:rsidRPr="003B571E">
        <w:rPr>
          <w:rFonts w:asciiTheme="minorHAnsi" w:hAnsiTheme="minorHAnsi"/>
          <w:bCs/>
          <w:sz w:val="24"/>
          <w:szCs w:val="24"/>
        </w:rPr>
        <w:t xml:space="preserve"> Heatmap of </w:t>
      </w:r>
      <w:r w:rsidR="00BB7D62">
        <w:rPr>
          <w:rFonts w:asciiTheme="minorHAnsi" w:hAnsiTheme="minorHAnsi"/>
          <w:bCs/>
          <w:i/>
          <w:iCs/>
          <w:sz w:val="24"/>
          <w:szCs w:val="24"/>
        </w:rPr>
        <w:t>B</w:t>
      </w:r>
      <w:r w:rsidR="002142EA" w:rsidRPr="003B571E">
        <w:rPr>
          <w:rFonts w:asciiTheme="minorHAnsi" w:hAnsiTheme="minorHAnsi"/>
          <w:bCs/>
          <w:i/>
          <w:iCs/>
          <w:sz w:val="24"/>
          <w:szCs w:val="24"/>
        </w:rPr>
        <w:t>. subtilis</w:t>
      </w:r>
      <w:r w:rsidR="002142EA" w:rsidRPr="003B571E">
        <w:rPr>
          <w:rFonts w:asciiTheme="minorHAnsi" w:hAnsiTheme="minorHAnsi"/>
          <w:bCs/>
          <w:sz w:val="24"/>
          <w:szCs w:val="24"/>
        </w:rPr>
        <w:t xml:space="preserve"> pangenome. 1</w:t>
      </w:r>
      <w:r w:rsidR="0078620F">
        <w:rPr>
          <w:rFonts w:asciiTheme="minorHAnsi" w:hAnsiTheme="minorHAnsi"/>
          <w:bCs/>
          <w:sz w:val="24"/>
          <w:szCs w:val="24"/>
        </w:rPr>
        <w:t>84</w:t>
      </w:r>
      <w:r w:rsidR="002142EA" w:rsidRPr="003B571E">
        <w:rPr>
          <w:rFonts w:asciiTheme="minorHAnsi" w:hAnsiTheme="minorHAnsi"/>
          <w:bCs/>
          <w:sz w:val="24"/>
          <w:szCs w:val="24"/>
        </w:rPr>
        <w:t xml:space="preserve"> strains are represented on the columns and the genes are represented on the </w:t>
      </w:r>
      <w:r w:rsidR="0078620F">
        <w:rPr>
          <w:rFonts w:asciiTheme="minorHAnsi" w:hAnsiTheme="minorHAnsi"/>
          <w:bCs/>
          <w:sz w:val="24"/>
          <w:szCs w:val="24"/>
        </w:rPr>
        <w:t>columns</w:t>
      </w:r>
      <w:r w:rsidR="002142EA" w:rsidRPr="003B571E">
        <w:rPr>
          <w:rFonts w:asciiTheme="minorHAnsi" w:hAnsiTheme="minorHAnsi"/>
          <w:bCs/>
          <w:sz w:val="24"/>
          <w:szCs w:val="24"/>
        </w:rPr>
        <w:t xml:space="preserve">. The color represents the </w:t>
      </w:r>
      <w:r w:rsidR="0078620F">
        <w:rPr>
          <w:rFonts w:asciiTheme="minorHAnsi" w:hAnsiTheme="minorHAnsi"/>
          <w:bCs/>
          <w:sz w:val="24"/>
          <w:szCs w:val="24"/>
        </w:rPr>
        <w:t>presence or absence of gene in the correspondence strains.</w:t>
      </w:r>
      <w:r>
        <w:rPr>
          <w:rFonts w:asciiTheme="minorHAnsi" w:hAnsiTheme="minorHAnsi"/>
          <w:bCs/>
          <w:sz w:val="24"/>
          <w:szCs w:val="24"/>
        </w:rPr>
        <w:t xml:space="preserve"> </w:t>
      </w:r>
      <w:r w:rsidRPr="001246B2">
        <w:rPr>
          <w:rFonts w:asciiTheme="minorHAnsi" w:hAnsiTheme="minorHAnsi"/>
          <w:bCs/>
          <w:sz w:val="24"/>
          <w:szCs w:val="24"/>
        </w:rPr>
        <w:t>The upper line diagram represents the frequency of the presence of the genes in the total number of strains.</w:t>
      </w:r>
    </w:p>
    <w:p w14:paraId="6CE4D59C" w14:textId="77777777" w:rsidR="00B549FF" w:rsidRPr="002142EA" w:rsidRDefault="00B549FF" w:rsidP="00925873">
      <w:pPr>
        <w:rPr>
          <w:noProof/>
        </w:rPr>
      </w:pPr>
    </w:p>
    <w:p w14:paraId="208E9854" w14:textId="6CA37A94" w:rsidR="003B571E" w:rsidRDefault="003B571E" w:rsidP="00925873">
      <w:pPr>
        <w:rPr>
          <w:rFonts w:cstheme="minorHAnsi"/>
          <w:noProof/>
        </w:rPr>
      </w:pPr>
    </w:p>
    <w:p w14:paraId="19768717" w14:textId="77777777" w:rsidR="003B571E" w:rsidRDefault="003B571E" w:rsidP="00925873">
      <w:pPr>
        <w:rPr>
          <w:rFonts w:cstheme="minorHAnsi"/>
          <w:noProof/>
        </w:rPr>
      </w:pPr>
    </w:p>
    <w:p w14:paraId="73293626" w14:textId="77777777" w:rsidR="00261745" w:rsidRDefault="00261745" w:rsidP="00925873">
      <w:pPr>
        <w:rPr>
          <w:rFonts w:cstheme="minorHAnsi"/>
          <w:noProof/>
        </w:rPr>
      </w:pPr>
    </w:p>
    <w:p w14:paraId="2690FF89" w14:textId="77777777" w:rsidR="00B549FF" w:rsidRPr="00B549FF" w:rsidRDefault="00B549FF" w:rsidP="00B549FF">
      <w:pPr>
        <w:pStyle w:val="MDPI21heading1"/>
        <w:ind w:left="0"/>
        <w:rPr>
          <w:rFonts w:asciiTheme="minorHAnsi" w:hAnsiTheme="minorHAnsi" w:cstheme="minorHAnsi"/>
          <w:sz w:val="24"/>
          <w:szCs w:val="24"/>
        </w:rPr>
      </w:pPr>
      <w:bookmarkStart w:id="1" w:name="_GoBack"/>
      <w:bookmarkEnd w:id="1"/>
      <w:r w:rsidRPr="00B549FF">
        <w:rPr>
          <w:rFonts w:asciiTheme="minorHAnsi" w:hAnsiTheme="minorHAnsi" w:cstheme="minorHAnsi"/>
          <w:sz w:val="24"/>
          <w:szCs w:val="24"/>
        </w:rPr>
        <w:lastRenderedPageBreak/>
        <w:t>References</w:t>
      </w:r>
    </w:p>
    <w:p w14:paraId="23A7E212" w14:textId="77777777" w:rsidR="00322C95" w:rsidRPr="00322C95" w:rsidRDefault="00322C95" w:rsidP="00322C95">
      <w:pPr>
        <w:pStyle w:val="MDPI71References"/>
        <w:numPr>
          <w:ilvl w:val="0"/>
          <w:numId w:val="1"/>
        </w:numPr>
        <w:ind w:left="425" w:hanging="425"/>
        <w:rPr>
          <w:rFonts w:asciiTheme="minorHAnsi" w:hAnsiTheme="minorHAnsi" w:cstheme="minorHAnsi"/>
          <w:sz w:val="24"/>
          <w:szCs w:val="24"/>
        </w:rPr>
      </w:pPr>
      <w:proofErr w:type="spellStart"/>
      <w:r w:rsidRPr="00322C95">
        <w:rPr>
          <w:rFonts w:asciiTheme="minorHAnsi" w:hAnsiTheme="minorHAnsi" w:cstheme="minorHAnsi"/>
          <w:sz w:val="24"/>
          <w:szCs w:val="24"/>
        </w:rPr>
        <w:t>Chubukov</w:t>
      </w:r>
      <w:proofErr w:type="spellEnd"/>
      <w:r w:rsidRPr="00322C95">
        <w:rPr>
          <w:rFonts w:asciiTheme="minorHAnsi" w:hAnsiTheme="minorHAnsi" w:cstheme="minorHAnsi"/>
          <w:sz w:val="24"/>
          <w:szCs w:val="24"/>
        </w:rPr>
        <w:t xml:space="preserve">, V.; </w:t>
      </w:r>
      <w:proofErr w:type="spellStart"/>
      <w:r w:rsidRPr="00322C95">
        <w:rPr>
          <w:rFonts w:asciiTheme="minorHAnsi" w:hAnsiTheme="minorHAnsi" w:cstheme="minorHAnsi"/>
          <w:sz w:val="24"/>
          <w:szCs w:val="24"/>
        </w:rPr>
        <w:t>Uhr</w:t>
      </w:r>
      <w:proofErr w:type="spellEnd"/>
      <w:r w:rsidRPr="00322C95">
        <w:rPr>
          <w:rFonts w:asciiTheme="minorHAnsi" w:hAnsiTheme="minorHAnsi" w:cstheme="minorHAnsi"/>
          <w:sz w:val="24"/>
          <w:szCs w:val="24"/>
        </w:rPr>
        <w:t xml:space="preserve">, M.; Le Chat, L.; Kleijn, R.J.; Jules, M.; Link, H.; </w:t>
      </w:r>
      <w:proofErr w:type="spellStart"/>
      <w:r w:rsidRPr="00322C95">
        <w:rPr>
          <w:rFonts w:asciiTheme="minorHAnsi" w:hAnsiTheme="minorHAnsi" w:cstheme="minorHAnsi"/>
          <w:sz w:val="24"/>
          <w:szCs w:val="24"/>
        </w:rPr>
        <w:t>Aymerich</w:t>
      </w:r>
      <w:proofErr w:type="spellEnd"/>
      <w:r w:rsidRPr="00322C95">
        <w:rPr>
          <w:rFonts w:asciiTheme="minorHAnsi" w:hAnsiTheme="minorHAnsi" w:cstheme="minorHAnsi"/>
          <w:sz w:val="24"/>
          <w:szCs w:val="24"/>
        </w:rPr>
        <w:t xml:space="preserve">, S.; Stelling, J.; Sauer, U. Transcriptional regulation is insufficient to explain substrate-induced flux changes in </w:t>
      </w:r>
      <w:r w:rsidRPr="00DE7006">
        <w:rPr>
          <w:rFonts w:asciiTheme="minorHAnsi" w:hAnsiTheme="minorHAnsi" w:cstheme="minorHAnsi"/>
          <w:i/>
          <w:sz w:val="24"/>
          <w:szCs w:val="24"/>
        </w:rPr>
        <w:t>Bacillus subtilis</w:t>
      </w:r>
      <w:r w:rsidRPr="00322C95">
        <w:rPr>
          <w:rFonts w:asciiTheme="minorHAnsi" w:hAnsiTheme="minorHAnsi" w:cstheme="minorHAnsi"/>
          <w:sz w:val="24"/>
          <w:szCs w:val="24"/>
        </w:rPr>
        <w:t xml:space="preserve">. </w:t>
      </w:r>
      <w:r w:rsidRPr="00322C95">
        <w:rPr>
          <w:rFonts w:asciiTheme="minorHAnsi" w:hAnsiTheme="minorHAnsi" w:cstheme="minorHAnsi"/>
          <w:i/>
          <w:iCs/>
          <w:sz w:val="24"/>
          <w:szCs w:val="24"/>
        </w:rPr>
        <w:t>Mol. Syst. Biol.</w:t>
      </w:r>
      <w:r w:rsidRPr="00322C95">
        <w:rPr>
          <w:rFonts w:asciiTheme="minorHAnsi" w:hAnsiTheme="minorHAnsi" w:cstheme="minorHAnsi"/>
          <w:sz w:val="24"/>
          <w:szCs w:val="24"/>
        </w:rPr>
        <w:t xml:space="preserve"> </w:t>
      </w:r>
      <w:r w:rsidRPr="00322C95">
        <w:rPr>
          <w:rFonts w:asciiTheme="minorHAnsi" w:hAnsiTheme="minorHAnsi" w:cstheme="minorHAnsi"/>
          <w:b/>
          <w:bCs/>
          <w:sz w:val="24"/>
          <w:szCs w:val="24"/>
        </w:rPr>
        <w:t>2013</w:t>
      </w:r>
      <w:r w:rsidRPr="00322C95">
        <w:rPr>
          <w:rFonts w:asciiTheme="minorHAnsi" w:hAnsiTheme="minorHAnsi" w:cstheme="minorHAnsi"/>
          <w:sz w:val="24"/>
          <w:szCs w:val="24"/>
        </w:rPr>
        <w:t xml:space="preserve">, </w:t>
      </w:r>
      <w:r w:rsidRPr="00322C95">
        <w:rPr>
          <w:rFonts w:asciiTheme="minorHAnsi" w:hAnsiTheme="minorHAnsi" w:cstheme="minorHAnsi"/>
          <w:i/>
          <w:iCs/>
          <w:sz w:val="24"/>
          <w:szCs w:val="24"/>
        </w:rPr>
        <w:t>9</w:t>
      </w:r>
      <w:r w:rsidRPr="00322C95">
        <w:rPr>
          <w:rFonts w:asciiTheme="minorHAnsi" w:hAnsiTheme="minorHAnsi" w:cstheme="minorHAnsi"/>
          <w:sz w:val="24"/>
          <w:szCs w:val="24"/>
        </w:rPr>
        <w:t>, doi:10.1038/msb.2013.66.</w:t>
      </w:r>
    </w:p>
    <w:p w14:paraId="7A9881F6" w14:textId="77777777" w:rsidR="00925873" w:rsidRPr="001C42D9" w:rsidRDefault="00925873" w:rsidP="00925873">
      <w:pPr>
        <w:rPr>
          <w:rFonts w:cstheme="minorHAnsi"/>
          <w:noProof/>
        </w:rPr>
      </w:pPr>
    </w:p>
    <w:sectPr w:rsidR="00925873" w:rsidRPr="001C42D9" w:rsidSect="008F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altName w:val="Microsoft Sans Serif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pStyle w:val="MDPI71References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2C"/>
    <w:rsid w:val="00006B05"/>
    <w:rsid w:val="00024C58"/>
    <w:rsid w:val="0005544F"/>
    <w:rsid w:val="000825A9"/>
    <w:rsid w:val="00086F65"/>
    <w:rsid w:val="000971CB"/>
    <w:rsid w:val="000B14E7"/>
    <w:rsid w:val="000B6DFA"/>
    <w:rsid w:val="000E5C7B"/>
    <w:rsid w:val="000F2228"/>
    <w:rsid w:val="00124096"/>
    <w:rsid w:val="001246B2"/>
    <w:rsid w:val="00132F81"/>
    <w:rsid w:val="001558EB"/>
    <w:rsid w:val="00194810"/>
    <w:rsid w:val="00196B4D"/>
    <w:rsid w:val="001A64E8"/>
    <w:rsid w:val="001A6B1E"/>
    <w:rsid w:val="001C42D9"/>
    <w:rsid w:val="001C4CE9"/>
    <w:rsid w:val="001C5F04"/>
    <w:rsid w:val="001E00DB"/>
    <w:rsid w:val="002142EA"/>
    <w:rsid w:val="00261745"/>
    <w:rsid w:val="00275F6E"/>
    <w:rsid w:val="002908FC"/>
    <w:rsid w:val="002B3CB5"/>
    <w:rsid w:val="002C3D9A"/>
    <w:rsid w:val="002E6D95"/>
    <w:rsid w:val="002F2629"/>
    <w:rsid w:val="002F528C"/>
    <w:rsid w:val="002F6D65"/>
    <w:rsid w:val="00305C26"/>
    <w:rsid w:val="00322C95"/>
    <w:rsid w:val="003278BD"/>
    <w:rsid w:val="00334454"/>
    <w:rsid w:val="0035036D"/>
    <w:rsid w:val="003975B7"/>
    <w:rsid w:val="003B571E"/>
    <w:rsid w:val="003C0C79"/>
    <w:rsid w:val="003D7BED"/>
    <w:rsid w:val="003E402C"/>
    <w:rsid w:val="003E75E7"/>
    <w:rsid w:val="003F1995"/>
    <w:rsid w:val="00443E69"/>
    <w:rsid w:val="00447FAD"/>
    <w:rsid w:val="004C7CF7"/>
    <w:rsid w:val="004F0563"/>
    <w:rsid w:val="004F59F5"/>
    <w:rsid w:val="005219DD"/>
    <w:rsid w:val="00561F3E"/>
    <w:rsid w:val="00570BA9"/>
    <w:rsid w:val="005A5E33"/>
    <w:rsid w:val="005E11C1"/>
    <w:rsid w:val="005F107C"/>
    <w:rsid w:val="005F407A"/>
    <w:rsid w:val="00614A81"/>
    <w:rsid w:val="00625BBD"/>
    <w:rsid w:val="00644C87"/>
    <w:rsid w:val="00647A1D"/>
    <w:rsid w:val="0068020A"/>
    <w:rsid w:val="00685617"/>
    <w:rsid w:val="006939B2"/>
    <w:rsid w:val="0070150B"/>
    <w:rsid w:val="007177D7"/>
    <w:rsid w:val="00732AAF"/>
    <w:rsid w:val="0075189D"/>
    <w:rsid w:val="0078620F"/>
    <w:rsid w:val="007A1E6F"/>
    <w:rsid w:val="007A6B0F"/>
    <w:rsid w:val="00834E6B"/>
    <w:rsid w:val="00854573"/>
    <w:rsid w:val="00867C48"/>
    <w:rsid w:val="00887BF0"/>
    <w:rsid w:val="008A34D3"/>
    <w:rsid w:val="008E5381"/>
    <w:rsid w:val="008F05B3"/>
    <w:rsid w:val="008F6DC6"/>
    <w:rsid w:val="00914B44"/>
    <w:rsid w:val="009228D8"/>
    <w:rsid w:val="0092336D"/>
    <w:rsid w:val="00925873"/>
    <w:rsid w:val="0095396D"/>
    <w:rsid w:val="00960487"/>
    <w:rsid w:val="00981035"/>
    <w:rsid w:val="00992282"/>
    <w:rsid w:val="009B1A52"/>
    <w:rsid w:val="009B691E"/>
    <w:rsid w:val="009C4FDD"/>
    <w:rsid w:val="009D3B5E"/>
    <w:rsid w:val="00A006E4"/>
    <w:rsid w:val="00A07424"/>
    <w:rsid w:val="00A37437"/>
    <w:rsid w:val="00A444CC"/>
    <w:rsid w:val="00A44B0B"/>
    <w:rsid w:val="00A457E1"/>
    <w:rsid w:val="00A47988"/>
    <w:rsid w:val="00A54125"/>
    <w:rsid w:val="00A73511"/>
    <w:rsid w:val="00A83CEA"/>
    <w:rsid w:val="00A8451F"/>
    <w:rsid w:val="00A86910"/>
    <w:rsid w:val="00A92490"/>
    <w:rsid w:val="00A97909"/>
    <w:rsid w:val="00AB7436"/>
    <w:rsid w:val="00AD2317"/>
    <w:rsid w:val="00AE1154"/>
    <w:rsid w:val="00AE4963"/>
    <w:rsid w:val="00AE7388"/>
    <w:rsid w:val="00AF4EBC"/>
    <w:rsid w:val="00B0129A"/>
    <w:rsid w:val="00B06839"/>
    <w:rsid w:val="00B34247"/>
    <w:rsid w:val="00B520FA"/>
    <w:rsid w:val="00B549FF"/>
    <w:rsid w:val="00B66AF8"/>
    <w:rsid w:val="00B90B84"/>
    <w:rsid w:val="00BB7D62"/>
    <w:rsid w:val="00BC1477"/>
    <w:rsid w:val="00BC2B5F"/>
    <w:rsid w:val="00BE3670"/>
    <w:rsid w:val="00BF1D41"/>
    <w:rsid w:val="00C15B97"/>
    <w:rsid w:val="00C54CFD"/>
    <w:rsid w:val="00C672A3"/>
    <w:rsid w:val="00CD40DA"/>
    <w:rsid w:val="00CD5936"/>
    <w:rsid w:val="00CE46D9"/>
    <w:rsid w:val="00D071CB"/>
    <w:rsid w:val="00D20A71"/>
    <w:rsid w:val="00D56A4C"/>
    <w:rsid w:val="00D6454F"/>
    <w:rsid w:val="00D75B67"/>
    <w:rsid w:val="00DB1997"/>
    <w:rsid w:val="00DD108D"/>
    <w:rsid w:val="00DE1D41"/>
    <w:rsid w:val="00DE7006"/>
    <w:rsid w:val="00E05076"/>
    <w:rsid w:val="00E06051"/>
    <w:rsid w:val="00E21E79"/>
    <w:rsid w:val="00E252D1"/>
    <w:rsid w:val="00E275BE"/>
    <w:rsid w:val="00E43956"/>
    <w:rsid w:val="00E94AEB"/>
    <w:rsid w:val="00EA19D5"/>
    <w:rsid w:val="00EC6110"/>
    <w:rsid w:val="00F056A3"/>
    <w:rsid w:val="00F20007"/>
    <w:rsid w:val="00F26536"/>
    <w:rsid w:val="00F477DC"/>
    <w:rsid w:val="00F54110"/>
    <w:rsid w:val="00F8177C"/>
    <w:rsid w:val="00FA5A9D"/>
    <w:rsid w:val="00FA5DFB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A42D"/>
  <w14:defaultImageDpi w14:val="32767"/>
  <w15:chartTrackingRefBased/>
  <w15:docId w15:val="{C9673040-B8E1-F648-8A15-1DB2F955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D108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DPI42tablebody">
    <w:name w:val="MDPI_4.2_table_body"/>
    <w:qFormat/>
    <w:rsid w:val="00B549FF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styleId="NormalWeb">
    <w:name w:val="Normal (Web)"/>
    <w:basedOn w:val="Normal"/>
    <w:uiPriority w:val="99"/>
    <w:semiHidden/>
    <w:unhideWhenUsed/>
    <w:rsid w:val="00B549F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MDPI21heading1">
    <w:name w:val="MDPI_2.1_heading1"/>
    <w:qFormat/>
    <w:rsid w:val="00B549FF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szCs w:val="22"/>
      <w:lang w:eastAsia="de-DE" w:bidi="en-US"/>
    </w:rPr>
  </w:style>
  <w:style w:type="paragraph" w:customStyle="1" w:styleId="MDPI71References">
    <w:name w:val="MDPI_7.1_References"/>
    <w:qFormat/>
    <w:rsid w:val="00B549FF"/>
    <w:pPr>
      <w:numPr>
        <w:numId w:val="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styleId="ListParagraph">
    <w:name w:val="List Paragraph"/>
    <w:basedOn w:val="Normal"/>
    <w:uiPriority w:val="34"/>
    <w:qFormat/>
    <w:rsid w:val="00B549FF"/>
    <w:pPr>
      <w:ind w:left="720"/>
      <w:contextualSpacing/>
    </w:pPr>
  </w:style>
  <w:style w:type="paragraph" w:customStyle="1" w:styleId="MDPI31text">
    <w:name w:val="MDPI_3.1_text"/>
    <w:qFormat/>
    <w:rsid w:val="00DE1D41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eastAsia="de-DE" w:bidi="en-US"/>
    </w:rPr>
  </w:style>
  <w:style w:type="paragraph" w:customStyle="1" w:styleId="MDPI41tablecaption">
    <w:name w:val="MDPI_4.1_table_caption"/>
    <w:qFormat/>
    <w:rsid w:val="00DE1D41"/>
    <w:pPr>
      <w:adjustRightInd w:val="0"/>
      <w:snapToGrid w:val="0"/>
      <w:spacing w:before="240" w:after="120" w:line="228" w:lineRule="auto"/>
      <w:ind w:left="2608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3tablefooter">
    <w:name w:val="MDPI_4.3_table_footer"/>
    <w:next w:val="MDPI31text"/>
    <w:qFormat/>
    <w:rsid w:val="00DE1D41"/>
    <w:pPr>
      <w:adjustRightInd w:val="0"/>
      <w:snapToGrid w:val="0"/>
      <w:spacing w:line="228" w:lineRule="auto"/>
      <w:ind w:left="2608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7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4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4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4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4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83701-9E89-40C1-9EDB-6B299FF3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Irudayaraj</dc:creator>
  <cp:keywords/>
  <dc:description/>
  <cp:lastModifiedBy>T B</cp:lastModifiedBy>
  <cp:revision>11</cp:revision>
  <dcterms:created xsi:type="dcterms:W3CDTF">2023-02-22T13:30:00Z</dcterms:created>
  <dcterms:modified xsi:type="dcterms:W3CDTF">2023-04-01T10:48:00Z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aa251360-7d6b-3c17-bc21-eaa1cb8f4159</vt:lpwstr>
  </property>
</Properties>
</file>