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CEB79" w14:textId="012E5FF0" w:rsidR="00F97DA7" w:rsidRDefault="00622D67" w:rsidP="006814E0">
      <w:pPr>
        <w:rPr>
          <w:rFonts w:ascii="Microsoft YaHei" w:eastAsia="Microsoft YaHei" w:hAnsi="Microsoft YaHei"/>
        </w:rPr>
      </w:pPr>
      <w:r>
        <w:rPr>
          <w:rFonts w:ascii="Microsoft YaHei" w:eastAsia="Microsoft YaHei" w:hAnsi="Microsoft YaHei" w:hint="eastAsia"/>
        </w:rPr>
        <w:t>1.选题意义</w:t>
      </w:r>
    </w:p>
    <w:p w14:paraId="4395107D" w14:textId="4D3D9048" w:rsidR="0009273E" w:rsidRPr="0009273E" w:rsidRDefault="0009273E" w:rsidP="000B323F">
      <w:pPr>
        <w:pStyle w:val="paragraph"/>
        <w:spacing w:before="0" w:beforeAutospacing="0" w:after="0" w:afterAutospacing="0"/>
        <w:ind w:firstLineChars="200" w:firstLine="420"/>
        <w:rPr>
          <w:rFonts w:cstheme="minorBidi" w:hint="eastAsia"/>
          <w:kern w:val="2"/>
          <w:sz w:val="21"/>
          <w:szCs w:val="22"/>
        </w:rPr>
      </w:pPr>
      <w:r w:rsidRPr="0009273E">
        <w:rPr>
          <w:rFonts w:cstheme="minorBidi" w:hint="eastAsia"/>
          <w:kern w:val="2"/>
          <w:sz w:val="21"/>
          <w:szCs w:val="22"/>
        </w:rPr>
        <w:t>《陈情令》自2019年6月27日开播后，数据亮眼：全网累计播放量56.8亿；7月全网热度93.41，排在第二位的《全职高手》全网热度85.67；8月全网热度92.16，也超过第二位《全职高手》81.1的全网热度，排在之后的还有豆瓣评分8.4的《长安十二时辰》；《陈情令》超话57.7万粉丝，在电视剧板块排名第一；衍生真人CP（coupling）“博君一肖”超话粉丝</w:t>
      </w:r>
      <w:r w:rsidR="000B323F">
        <w:rPr>
          <w:rFonts w:cstheme="minorBidi" w:hint="eastAsia"/>
          <w:kern w:val="2"/>
          <w:sz w:val="21"/>
          <w:szCs w:val="22"/>
        </w:rPr>
        <w:t>181.6</w:t>
      </w:r>
      <w:r w:rsidRPr="0009273E">
        <w:rPr>
          <w:rFonts w:cstheme="minorBidi" w:hint="eastAsia"/>
          <w:kern w:val="2"/>
          <w:sz w:val="21"/>
          <w:szCs w:val="22"/>
        </w:rPr>
        <w:t>万，帖子</w:t>
      </w:r>
      <w:r w:rsidR="000B323F">
        <w:rPr>
          <w:rFonts w:cstheme="minorBidi" w:hint="eastAsia"/>
          <w:kern w:val="2"/>
          <w:sz w:val="21"/>
          <w:szCs w:val="22"/>
        </w:rPr>
        <w:t>311.4</w:t>
      </w:r>
      <w:r w:rsidRPr="0009273E">
        <w:rPr>
          <w:rFonts w:cstheme="minorBidi" w:hint="eastAsia"/>
          <w:kern w:val="2"/>
          <w:sz w:val="21"/>
          <w:szCs w:val="22"/>
        </w:rPr>
        <w:t>万，阅读</w:t>
      </w:r>
      <w:r w:rsidR="000B323F">
        <w:rPr>
          <w:rFonts w:cstheme="minorBidi" w:hint="eastAsia"/>
          <w:kern w:val="2"/>
          <w:sz w:val="21"/>
          <w:szCs w:val="22"/>
        </w:rPr>
        <w:t>383.8</w:t>
      </w:r>
      <w:r w:rsidRPr="0009273E">
        <w:rPr>
          <w:rFonts w:cstheme="minorBidi" w:hint="eastAsia"/>
          <w:kern w:val="2"/>
          <w:sz w:val="21"/>
          <w:szCs w:val="22"/>
        </w:rPr>
        <w:t>亿。在对手有顶级流量演员参演、同样书粉众多的情况下，全员“新人”的《陈情令》保持了明显的优势。反观《陈情令》，从开播时的豆瓣4.8，饱受争议，到后期一路逆袭到豆瓣8</w:t>
      </w:r>
      <w:r w:rsidR="000B323F">
        <w:rPr>
          <w:rFonts w:cstheme="minorBidi" w:hint="eastAsia"/>
          <w:kern w:val="2"/>
          <w:sz w:val="21"/>
          <w:szCs w:val="22"/>
        </w:rPr>
        <w:t>.</w:t>
      </w:r>
      <w:r w:rsidR="00A734E9">
        <w:rPr>
          <w:rFonts w:cstheme="minorBidi" w:hint="eastAsia"/>
          <w:kern w:val="2"/>
          <w:sz w:val="21"/>
          <w:szCs w:val="22"/>
        </w:rPr>
        <w:t>2</w:t>
      </w:r>
      <w:r w:rsidRPr="0009273E">
        <w:rPr>
          <w:rFonts w:cstheme="minorBidi" w:hint="eastAsia"/>
          <w:kern w:val="2"/>
          <w:sz w:val="21"/>
          <w:szCs w:val="22"/>
        </w:rPr>
        <w:t>分，得到了“原著粉”的普遍好评，甚至俘获了众多“路人”的青睐</w:t>
      </w:r>
      <w:r w:rsidR="000B323F">
        <w:rPr>
          <w:rFonts w:cstheme="minorBidi" w:hint="eastAsia"/>
          <w:kern w:val="2"/>
          <w:sz w:val="21"/>
          <w:szCs w:val="22"/>
        </w:rPr>
        <w:t>，在中国引发“夏日狂潮”之后，又在</w:t>
      </w:r>
      <w:r w:rsidR="00A734E9">
        <w:rPr>
          <w:rFonts w:cstheme="minorBidi" w:hint="eastAsia"/>
          <w:kern w:val="2"/>
          <w:sz w:val="21"/>
          <w:szCs w:val="22"/>
        </w:rPr>
        <w:t>泰国、韩国、日本定档开播</w:t>
      </w:r>
      <w:r w:rsidR="00B970FC">
        <w:rPr>
          <w:rFonts w:cstheme="minorBidi" w:hint="eastAsia"/>
          <w:kern w:val="2"/>
          <w:sz w:val="21"/>
          <w:szCs w:val="22"/>
        </w:rPr>
        <w:t>，获得了一定的国际影响力</w:t>
      </w:r>
      <w:r w:rsidRPr="0009273E">
        <w:rPr>
          <w:rFonts w:cstheme="minorBidi" w:hint="eastAsia"/>
          <w:kern w:val="2"/>
          <w:sz w:val="21"/>
          <w:szCs w:val="22"/>
        </w:rPr>
        <w:t>。</w:t>
      </w:r>
    </w:p>
    <w:p w14:paraId="12AF83BD" w14:textId="2A39FB54" w:rsidR="00F369B0" w:rsidRPr="00F369B0" w:rsidRDefault="00B970FC" w:rsidP="00F369B0">
      <w:pPr>
        <w:pStyle w:val="paragraph"/>
        <w:spacing w:before="0" w:beforeAutospacing="0" w:after="0" w:afterAutospacing="0"/>
        <w:ind w:firstLine="420"/>
        <w:rPr>
          <w:rFonts w:cstheme="minorBidi" w:hint="eastAsia"/>
          <w:kern w:val="2"/>
          <w:sz w:val="21"/>
          <w:szCs w:val="22"/>
        </w:rPr>
      </w:pPr>
      <w:r>
        <w:rPr>
          <w:rFonts w:cstheme="minorBidi" w:hint="eastAsia"/>
          <w:kern w:val="2"/>
          <w:sz w:val="21"/>
          <w:szCs w:val="22"/>
        </w:rPr>
        <w:t>但是，</w:t>
      </w:r>
      <w:r w:rsidR="00F369B0">
        <w:rPr>
          <w:rFonts w:cstheme="minorBidi" w:hint="eastAsia"/>
          <w:kern w:val="2"/>
          <w:sz w:val="21"/>
          <w:szCs w:val="22"/>
        </w:rPr>
        <w:t>制作</w:t>
      </w:r>
      <w:r w:rsidR="0009273E" w:rsidRPr="0009273E">
        <w:rPr>
          <w:rFonts w:cstheme="minorBidi" w:hint="eastAsia"/>
          <w:kern w:val="2"/>
          <w:sz w:val="21"/>
          <w:szCs w:val="22"/>
        </w:rPr>
        <w:t>爆款耽美改编</w:t>
      </w:r>
      <w:r w:rsidR="00F369B0">
        <w:rPr>
          <w:rFonts w:cstheme="minorBidi" w:hint="eastAsia"/>
          <w:kern w:val="2"/>
          <w:sz w:val="21"/>
          <w:szCs w:val="22"/>
        </w:rPr>
        <w:t>网剧</w:t>
      </w:r>
      <w:r w:rsidR="00F369B0" w:rsidRPr="0009273E">
        <w:rPr>
          <w:rFonts w:cstheme="minorBidi" w:hint="eastAsia"/>
          <w:kern w:val="2"/>
          <w:sz w:val="21"/>
          <w:szCs w:val="22"/>
        </w:rPr>
        <w:t>（后称耽改</w:t>
      </w:r>
      <w:r w:rsidR="00F369B0">
        <w:rPr>
          <w:rFonts w:cstheme="minorBidi" w:hint="eastAsia"/>
          <w:kern w:val="2"/>
          <w:sz w:val="21"/>
          <w:szCs w:val="22"/>
        </w:rPr>
        <w:t>剧</w:t>
      </w:r>
      <w:r w:rsidR="00F369B0" w:rsidRPr="0009273E">
        <w:rPr>
          <w:rFonts w:cstheme="minorBidi" w:hint="eastAsia"/>
          <w:kern w:val="2"/>
          <w:sz w:val="21"/>
          <w:szCs w:val="22"/>
        </w:rPr>
        <w:t>）</w:t>
      </w:r>
      <w:r w:rsidR="0009273E" w:rsidRPr="0009273E">
        <w:rPr>
          <w:rFonts w:cstheme="minorBidi" w:hint="eastAsia"/>
          <w:kern w:val="2"/>
          <w:sz w:val="21"/>
          <w:szCs w:val="22"/>
        </w:rPr>
        <w:t>绝非易事。截至2018年中，已有32部耽改剧陆续上映，虽然改编剧前期都有相当的热度，但除了《镇魂》（豆瓣评分6.4）、《上瘾》（豆瓣评分8.2）、《SCI谜案集》（豆瓣评分7.5）等为数不多的几部收获了较为持续的热度和较好的风评外，其他的皆因“粗制滥造”、“遛书粉”（微博术语，意思是通过炒作来获得粉丝或巩固粉丝忠心度）、“不尊重原著”、“鄙视腐女”、“选角不契合”等原因最终失败。</w:t>
      </w:r>
      <w:r>
        <w:rPr>
          <w:rFonts w:cstheme="minorBidi" w:hint="eastAsia"/>
          <w:kern w:val="2"/>
          <w:sz w:val="21"/>
          <w:szCs w:val="22"/>
        </w:rPr>
        <w:t>即使是</w:t>
      </w:r>
      <w:r w:rsidR="00BE6D5B">
        <w:rPr>
          <w:rFonts w:cstheme="minorBidi" w:hint="eastAsia"/>
          <w:kern w:val="2"/>
          <w:sz w:val="21"/>
          <w:szCs w:val="22"/>
        </w:rPr>
        <w:t>部分</w:t>
      </w:r>
      <w:r>
        <w:rPr>
          <w:rFonts w:cstheme="minorBidi" w:hint="eastAsia"/>
          <w:kern w:val="2"/>
          <w:sz w:val="21"/>
          <w:szCs w:val="22"/>
        </w:rPr>
        <w:t>口碑较高的</w:t>
      </w:r>
      <w:r w:rsidR="00BE6D5B">
        <w:rPr>
          <w:rFonts w:cstheme="minorBidi" w:hint="eastAsia"/>
          <w:kern w:val="2"/>
          <w:sz w:val="21"/>
          <w:szCs w:val="22"/>
        </w:rPr>
        <w:t>作品</w:t>
      </w:r>
      <w:r>
        <w:rPr>
          <w:rFonts w:cstheme="minorBidi" w:hint="eastAsia"/>
          <w:kern w:val="2"/>
          <w:sz w:val="21"/>
          <w:szCs w:val="22"/>
        </w:rPr>
        <w:t>，在缺乏营销力度的情况下，</w:t>
      </w:r>
      <w:r w:rsidR="00BE6D5B">
        <w:rPr>
          <w:rFonts w:cstheme="minorBidi" w:hint="eastAsia"/>
          <w:kern w:val="2"/>
          <w:sz w:val="21"/>
          <w:szCs w:val="22"/>
        </w:rPr>
        <w:t>也难以走进大众的视野。《陈情令》能成功，除了</w:t>
      </w:r>
      <w:r w:rsidR="00BE6D5B" w:rsidRPr="0009273E">
        <w:rPr>
          <w:rFonts w:cstheme="minorBidi" w:hint="eastAsia"/>
          <w:kern w:val="2"/>
          <w:sz w:val="21"/>
          <w:szCs w:val="22"/>
        </w:rPr>
        <w:t>改编思路、制作流程</w:t>
      </w:r>
      <w:r w:rsidR="00BE6D5B">
        <w:rPr>
          <w:rFonts w:cstheme="minorBidi" w:hint="eastAsia"/>
          <w:kern w:val="2"/>
          <w:sz w:val="21"/>
          <w:szCs w:val="22"/>
        </w:rPr>
        <w:t>之外</w:t>
      </w:r>
      <w:r w:rsidR="0009273E" w:rsidRPr="0009273E">
        <w:rPr>
          <w:rFonts w:cstheme="minorBidi" w:hint="eastAsia"/>
          <w:kern w:val="2"/>
          <w:sz w:val="21"/>
          <w:szCs w:val="22"/>
        </w:rPr>
        <w:t>，</w:t>
      </w:r>
      <w:r>
        <w:rPr>
          <w:rFonts w:cstheme="minorBidi" w:hint="eastAsia"/>
          <w:kern w:val="2"/>
          <w:sz w:val="21"/>
          <w:szCs w:val="22"/>
        </w:rPr>
        <w:t>营销因素在</w:t>
      </w:r>
      <w:r w:rsidR="00BE6D5B">
        <w:rPr>
          <w:rFonts w:cstheme="minorBidi" w:hint="eastAsia"/>
          <w:kern w:val="2"/>
          <w:sz w:val="21"/>
          <w:szCs w:val="22"/>
        </w:rPr>
        <w:t>从制作、宣发到热播，再到后期一些列衍生作品的创作过程也功不可没。《陈情令》的营销成功，不仅给之后的《庆余年》提供了借鉴经验，对于在2020年已经备案的59部耽改剧，以及企业在开发越来越被广泛关注的“腐女”亚文化市场都有很强的借鉴意义。</w:t>
      </w:r>
    </w:p>
    <w:p w14:paraId="0DA9CAA6" w14:textId="47A974F2" w:rsidR="00F369B0" w:rsidRPr="00F369B0" w:rsidRDefault="00F369B0" w:rsidP="00F369B0">
      <w:pPr>
        <w:rPr>
          <w:rFonts w:ascii="Microsoft YaHei" w:eastAsia="Microsoft YaHei" w:hAnsi="Microsoft YaHei" w:hint="eastAsia"/>
        </w:rPr>
      </w:pPr>
      <w:r w:rsidRPr="00F369B0">
        <w:rPr>
          <w:rFonts w:ascii="Microsoft YaHei" w:eastAsia="Microsoft YaHei" w:hAnsi="Microsoft YaHei" w:hint="eastAsia"/>
        </w:rPr>
        <w:t>2．选题内容</w:t>
      </w:r>
    </w:p>
    <w:p w14:paraId="48A65F41" w14:textId="3C667AD7" w:rsidR="0009273E" w:rsidRDefault="00B970FC" w:rsidP="00F369B0">
      <w:pPr>
        <w:pStyle w:val="paragraph"/>
        <w:spacing w:before="0" w:beforeAutospacing="0" w:after="0" w:afterAutospacing="0"/>
        <w:ind w:firstLine="420"/>
        <w:rPr>
          <w:rFonts w:cstheme="minorBidi"/>
          <w:kern w:val="2"/>
          <w:sz w:val="21"/>
          <w:szCs w:val="22"/>
        </w:rPr>
      </w:pPr>
      <w:r>
        <w:rPr>
          <w:rFonts w:cstheme="minorBidi" w:hint="eastAsia"/>
          <w:kern w:val="2"/>
          <w:sz w:val="21"/>
          <w:szCs w:val="22"/>
        </w:rPr>
        <w:t>本研究着眼于</w:t>
      </w:r>
      <w:r w:rsidR="0009273E" w:rsidRPr="0009273E">
        <w:rPr>
          <w:rFonts w:cstheme="minorBidi" w:hint="eastAsia"/>
          <w:kern w:val="2"/>
          <w:sz w:val="21"/>
          <w:szCs w:val="22"/>
        </w:rPr>
        <w:t>《陈情令》的</w:t>
      </w:r>
      <w:r w:rsidR="00BE6D5B">
        <w:rPr>
          <w:rFonts w:cstheme="minorBidi" w:hint="eastAsia"/>
          <w:kern w:val="2"/>
          <w:sz w:val="21"/>
          <w:szCs w:val="22"/>
        </w:rPr>
        <w:t>营销思路和手段，</w:t>
      </w:r>
      <w:r>
        <w:rPr>
          <w:rFonts w:cstheme="minorBidi" w:hint="eastAsia"/>
          <w:kern w:val="2"/>
          <w:sz w:val="21"/>
          <w:szCs w:val="22"/>
        </w:rPr>
        <w:t>包括</w:t>
      </w:r>
      <w:r w:rsidR="00BE6D5B">
        <w:rPr>
          <w:rFonts w:cstheme="minorBidi" w:hint="eastAsia"/>
          <w:kern w:val="2"/>
          <w:sz w:val="21"/>
          <w:szCs w:val="22"/>
        </w:rPr>
        <w:t>企业和观众的互动，以及</w:t>
      </w:r>
      <w:r w:rsidR="0009273E" w:rsidRPr="0009273E">
        <w:rPr>
          <w:rFonts w:cstheme="minorBidi" w:hint="eastAsia"/>
          <w:kern w:val="2"/>
          <w:sz w:val="21"/>
          <w:szCs w:val="22"/>
        </w:rPr>
        <w:t>背后更加深刻的社会原因，</w:t>
      </w:r>
      <w:r w:rsidR="00F369B0">
        <w:rPr>
          <w:rFonts w:cstheme="minorBidi" w:hint="eastAsia"/>
          <w:kern w:val="2"/>
          <w:sz w:val="21"/>
          <w:szCs w:val="22"/>
        </w:rPr>
        <w:t>结合网络营销4</w:t>
      </w:r>
      <w:r w:rsidR="00F369B0">
        <w:rPr>
          <w:rFonts w:cstheme="minorBidi"/>
          <w:kern w:val="2"/>
          <w:sz w:val="21"/>
          <w:szCs w:val="22"/>
        </w:rPr>
        <w:t>i</w:t>
      </w:r>
      <w:r w:rsidR="00F369B0">
        <w:rPr>
          <w:rFonts w:cstheme="minorBidi" w:hint="eastAsia"/>
          <w:kern w:val="2"/>
          <w:sz w:val="21"/>
          <w:szCs w:val="22"/>
        </w:rPr>
        <w:t>理论、</w:t>
      </w:r>
      <w:r w:rsidR="00936EC2">
        <w:rPr>
          <w:rFonts w:cstheme="minorBidi" w:hint="eastAsia"/>
          <w:kern w:val="2"/>
          <w:sz w:val="21"/>
          <w:szCs w:val="22"/>
        </w:rPr>
        <w:t>网络营销</w:t>
      </w:r>
      <w:r w:rsidR="00F369B0">
        <w:rPr>
          <w:rFonts w:cstheme="minorBidi" w:hint="eastAsia"/>
          <w:kern w:val="2"/>
          <w:sz w:val="21"/>
          <w:szCs w:val="22"/>
        </w:rPr>
        <w:t>营销SURE理论、</w:t>
      </w:r>
      <w:r w:rsidR="00936EC2">
        <w:rPr>
          <w:rFonts w:cstheme="minorBidi" w:hint="eastAsia"/>
          <w:kern w:val="2"/>
          <w:sz w:val="21"/>
          <w:szCs w:val="22"/>
        </w:rPr>
        <w:t>4C</w:t>
      </w:r>
      <w:r w:rsidR="00936EC2">
        <w:rPr>
          <w:rFonts w:cstheme="minorBidi"/>
          <w:kern w:val="2"/>
          <w:sz w:val="21"/>
          <w:szCs w:val="22"/>
        </w:rPr>
        <w:t>s</w:t>
      </w:r>
      <w:r w:rsidR="00936EC2">
        <w:rPr>
          <w:rFonts w:cstheme="minorBidi" w:hint="eastAsia"/>
          <w:kern w:val="2"/>
          <w:sz w:val="21"/>
          <w:szCs w:val="22"/>
        </w:rPr>
        <w:t>营销理论以及全球营销理论，以及市场环境分析模型，</w:t>
      </w:r>
      <w:r>
        <w:rPr>
          <w:rFonts w:cstheme="minorBidi" w:hint="eastAsia"/>
          <w:kern w:val="2"/>
          <w:sz w:val="21"/>
          <w:szCs w:val="22"/>
        </w:rPr>
        <w:t>深入分析</w:t>
      </w:r>
      <w:r w:rsidR="0009273E" w:rsidRPr="0009273E">
        <w:rPr>
          <w:rFonts w:cstheme="minorBidi" w:hint="eastAsia"/>
          <w:kern w:val="2"/>
          <w:sz w:val="21"/>
          <w:szCs w:val="22"/>
        </w:rPr>
        <w:t>《陈情令》成功后值得我们</w:t>
      </w:r>
      <w:r>
        <w:rPr>
          <w:rFonts w:cstheme="minorBidi" w:hint="eastAsia"/>
          <w:kern w:val="2"/>
          <w:sz w:val="21"/>
          <w:szCs w:val="22"/>
        </w:rPr>
        <w:t>借鉴和反思的各种营销行为。</w:t>
      </w:r>
    </w:p>
    <w:p w14:paraId="14847219" w14:textId="77777777" w:rsidR="00F369B0" w:rsidRPr="0009273E" w:rsidRDefault="00F369B0" w:rsidP="00F369B0">
      <w:pPr>
        <w:pStyle w:val="paragraph"/>
        <w:spacing w:before="0" w:beforeAutospacing="0" w:after="0" w:afterAutospacing="0"/>
        <w:ind w:firstLine="420"/>
        <w:rPr>
          <w:rFonts w:cstheme="minorBidi" w:hint="eastAsia"/>
          <w:kern w:val="2"/>
          <w:sz w:val="21"/>
          <w:szCs w:val="22"/>
        </w:rPr>
      </w:pPr>
    </w:p>
    <w:p w14:paraId="0AFE775B" w14:textId="1568D0C3" w:rsidR="00B50C8D" w:rsidRPr="00B50C8D" w:rsidRDefault="00F369B0" w:rsidP="00B50C8D">
      <w:pPr>
        <w:rPr>
          <w:rFonts w:ascii="Microsoft YaHei" w:eastAsia="Microsoft YaHei" w:hAnsi="Microsoft YaHei" w:hint="eastAsia"/>
        </w:rPr>
      </w:pPr>
      <w:r>
        <w:rPr>
          <w:rFonts w:ascii="Microsoft YaHei" w:eastAsia="Microsoft YaHei" w:hAnsi="Microsoft YaHei" w:hint="eastAsia"/>
        </w:rPr>
        <w:t>3</w:t>
      </w:r>
      <w:r w:rsidR="00745C9E">
        <w:rPr>
          <w:rFonts w:ascii="Microsoft YaHei" w:eastAsia="Microsoft YaHei" w:hAnsi="Microsoft YaHei" w:hint="eastAsia"/>
        </w:rPr>
        <w:t>.国内外研究现状概述</w:t>
      </w:r>
    </w:p>
    <w:p w14:paraId="51460945" w14:textId="6066C0A9" w:rsidR="001F025E" w:rsidRDefault="001F025E" w:rsidP="001F025E">
      <w:pPr>
        <w:rPr>
          <w:rFonts w:ascii="SimSun" w:eastAsia="SimSun" w:hAnsi="SimSun" w:hint="eastAsia"/>
        </w:rPr>
      </w:pPr>
      <w:r>
        <w:rPr>
          <w:rFonts w:ascii="SimSun" w:eastAsia="SimSun" w:hAnsi="SimSun" w:hint="eastAsia"/>
        </w:rPr>
        <w:t>（1）《陈情令》研究综述</w:t>
      </w:r>
    </w:p>
    <w:p w14:paraId="305805D1" w14:textId="5F841302" w:rsidR="00745C9E" w:rsidRDefault="001B47F9" w:rsidP="00B50C8D">
      <w:pPr>
        <w:ind w:firstLineChars="200" w:firstLine="420"/>
        <w:rPr>
          <w:rFonts w:ascii="SimSun" w:eastAsia="SimSun" w:hAnsi="SimSun"/>
        </w:rPr>
      </w:pPr>
      <w:r>
        <w:rPr>
          <w:rFonts w:ascii="SimSun" w:eastAsia="SimSun" w:hAnsi="SimSun" w:hint="eastAsia"/>
        </w:rPr>
        <w:t>蔡骐</w:t>
      </w:r>
      <w:r w:rsidR="00936EC2">
        <w:rPr>
          <w:rStyle w:val="FootnoteReference"/>
          <w:rFonts w:ascii="SimSun" w:eastAsia="SimSun" w:hAnsi="SimSun"/>
        </w:rPr>
        <w:footnoteReference w:id="1"/>
      </w:r>
      <w:r>
        <w:rPr>
          <w:rFonts w:ascii="SimSun" w:eastAsia="SimSun" w:hAnsi="SimSun" w:hint="eastAsia"/>
        </w:rPr>
        <w:t>认为，社会化网络时代的粉丝经济模式可以分为以偶像为核心的明星经济模式，</w:t>
      </w:r>
      <w:r w:rsidR="002638B9">
        <w:rPr>
          <w:rFonts w:ascii="SimSun" w:eastAsia="SimSun" w:hAnsi="SimSun" w:hint="eastAsia"/>
        </w:rPr>
        <w:t>该模式的重点在于“媒介融合语境下呈现出的跨界融合的趋势”；</w:t>
      </w:r>
      <w:r>
        <w:rPr>
          <w:rFonts w:ascii="SimSun" w:eastAsia="SimSun" w:hAnsi="SimSun" w:hint="eastAsia"/>
        </w:rPr>
        <w:t>以内容为核心的IP运营模式，</w:t>
      </w:r>
      <w:r w:rsidR="002638B9">
        <w:rPr>
          <w:rFonts w:ascii="SimSun" w:eastAsia="SimSun" w:hAnsi="SimSun" w:hint="eastAsia"/>
        </w:rPr>
        <w:t>该模式的重点在于“调动粉丝的参与性，构建纵横联合的文化产业链”；</w:t>
      </w:r>
      <w:r>
        <w:rPr>
          <w:rFonts w:ascii="SimSun" w:eastAsia="SimSun" w:hAnsi="SimSun" w:hint="eastAsia"/>
        </w:rPr>
        <w:t>以及为社群为核心的合伙人商业模式</w:t>
      </w:r>
      <w:r w:rsidR="002638B9">
        <w:rPr>
          <w:rFonts w:ascii="SimSun" w:eastAsia="SimSun" w:hAnsi="SimSun" w:hint="eastAsia"/>
        </w:rPr>
        <w:t>，该模式的重点在于“粉丝、偶像、商业机构共同搭建的商业合作平台”</w:t>
      </w:r>
      <w:r>
        <w:rPr>
          <w:rFonts w:ascii="SimSun" w:eastAsia="SimSun" w:hAnsi="SimSun" w:hint="eastAsia"/>
        </w:rPr>
        <w:t>。</w:t>
      </w:r>
      <w:r w:rsidR="00E43343">
        <w:rPr>
          <w:rFonts w:ascii="SimSun" w:eastAsia="SimSun" w:hAnsi="SimSun" w:hint="eastAsia"/>
        </w:rPr>
        <w:t>陈娉娉</w:t>
      </w:r>
      <w:r w:rsidR="00936EC2">
        <w:rPr>
          <w:rStyle w:val="FootnoteReference"/>
          <w:rFonts w:ascii="SimSun" w:eastAsia="SimSun" w:hAnsi="SimSun"/>
        </w:rPr>
        <w:footnoteReference w:id="2"/>
      </w:r>
      <w:r w:rsidR="00E43343">
        <w:rPr>
          <w:rFonts w:ascii="SimSun" w:eastAsia="SimSun" w:hAnsi="SimSun" w:hint="eastAsia"/>
        </w:rPr>
        <w:t>认为，《陈情令》的营销手段十分多样，从开播之初在微博上掀起的“陈情令101”选秀活动，到热播过程中有陈情令官方微博发起的“表情包大赛”、“陈情令涂鸦大赛”、“陈情令屏保大赛”、“国风陈情令乐器演奏大赛”等活动，再加上</w:t>
      </w:r>
      <w:r w:rsidR="00842A90">
        <w:rPr>
          <w:rFonts w:ascii="SimSun" w:eastAsia="SimSun" w:hAnsi="SimSun" w:hint="eastAsia"/>
        </w:rPr>
        <w:t>播出期间官方放出了大量的“访谈”、“花絮”等物料，给了粉丝们二次创作的素材，在此基础上引发了“b站”、“抖音”等网络社群对《陈情令》的关注，促进了《陈情令》在不同的社群中掀起热潮。此外，当前文献尚未提及，但不可忽视的是，新派传媒还在姑苏（今江苏苏州）、云梦（湖北孝感）两地——剧中主角蓝忘机和魏无羡的故乡，开展线下应援活动，与线上进行联动，进一步引发了粉丝的热情。由此可见，当前文献主要从IP运营模式，以及社群营销的角度分析陈情令营销的成功之处，这也是本研究分析的重点。</w:t>
      </w:r>
      <w:r w:rsidR="00B50C8D">
        <w:rPr>
          <w:rFonts w:ascii="SimSun" w:eastAsia="SimSun" w:hAnsi="SimSun" w:hint="eastAsia"/>
        </w:rPr>
        <w:t>综合当前文献来看，</w:t>
      </w:r>
      <w:r w:rsidR="007A3CAE">
        <w:rPr>
          <w:rFonts w:ascii="SimSun" w:eastAsia="SimSun" w:hAnsi="SimSun" w:hint="eastAsia"/>
        </w:rPr>
        <w:t>当前研究对于《陈情令》在营销方面的成功都给予了</w:t>
      </w:r>
      <w:r w:rsidR="00B50C8D">
        <w:rPr>
          <w:rFonts w:ascii="SimSun" w:eastAsia="SimSun" w:hAnsi="SimSun" w:hint="eastAsia"/>
        </w:rPr>
        <w:t>相当的</w:t>
      </w:r>
      <w:r w:rsidR="007A3CAE">
        <w:rPr>
          <w:rFonts w:ascii="SimSun" w:eastAsia="SimSun" w:hAnsi="SimSun" w:hint="eastAsia"/>
        </w:rPr>
        <w:t>肯定</w:t>
      </w:r>
      <w:r w:rsidR="00B50C8D">
        <w:rPr>
          <w:rFonts w:ascii="SimSun" w:eastAsia="SimSun" w:hAnsi="SimSun" w:hint="eastAsia"/>
        </w:rPr>
        <w:t>，但对于其中存在的问题探索少，并且，在分析《陈情令》营销的成功之处时，多数还停留在对营销的内容文本和具体手段的罗列，</w:t>
      </w:r>
      <w:r w:rsidR="001F025E">
        <w:rPr>
          <w:rFonts w:ascii="SimSun" w:eastAsia="SimSun" w:hAnsi="SimSun" w:hint="eastAsia"/>
        </w:rPr>
        <w:t>将其看作纯粹的商业现象，</w:t>
      </w:r>
      <w:r w:rsidR="00B50C8D">
        <w:rPr>
          <w:rFonts w:ascii="SimSun" w:eastAsia="SimSun" w:hAnsi="SimSun" w:hint="eastAsia"/>
        </w:rPr>
        <w:lastRenderedPageBreak/>
        <w:t>对于</w:t>
      </w:r>
      <w:r w:rsidR="001F025E">
        <w:rPr>
          <w:rFonts w:ascii="SimSun" w:eastAsia="SimSun" w:hAnsi="SimSun" w:hint="eastAsia"/>
        </w:rPr>
        <w:t>影响</w:t>
      </w:r>
      <w:r w:rsidR="00B50C8D">
        <w:rPr>
          <w:rFonts w:ascii="SimSun" w:eastAsia="SimSun" w:hAnsi="SimSun" w:hint="eastAsia"/>
        </w:rPr>
        <w:t>《陈情令》营销成功的市场环境、受众心态、社群互动等深层、隐形因素探索较少</w:t>
      </w:r>
      <w:r w:rsidR="007A3CAE">
        <w:rPr>
          <w:rFonts w:ascii="SimSun" w:eastAsia="SimSun" w:hAnsi="SimSun" w:hint="eastAsia"/>
        </w:rPr>
        <w:t>。</w:t>
      </w:r>
      <w:r w:rsidR="001F025E">
        <w:rPr>
          <w:rFonts w:ascii="SimSun" w:eastAsia="SimSun" w:hAnsi="SimSun" w:hint="eastAsia"/>
        </w:rPr>
        <w:t>事实上，这是目前IP改编剧集研究存在的普遍问题。</w:t>
      </w:r>
    </w:p>
    <w:p w14:paraId="76508057" w14:textId="2FD3ACF6" w:rsidR="001F025E" w:rsidRPr="001B47F9" w:rsidRDefault="001F025E" w:rsidP="001F025E">
      <w:pPr>
        <w:rPr>
          <w:rFonts w:ascii="SimSun" w:eastAsia="SimSun" w:hAnsi="SimSun" w:hint="eastAsia"/>
        </w:rPr>
      </w:pPr>
      <w:r>
        <w:rPr>
          <w:rFonts w:ascii="SimSun" w:eastAsia="SimSun" w:hAnsi="SimSun" w:hint="eastAsia"/>
        </w:rPr>
        <w:t>（2）网络社群研究综述</w:t>
      </w:r>
    </w:p>
    <w:p w14:paraId="0A5BB724" w14:textId="5FC6368F" w:rsidR="001B47F9" w:rsidRDefault="00745C9E" w:rsidP="00B50C8D">
      <w:pPr>
        <w:ind w:firstLineChars="200" w:firstLine="420"/>
        <w:rPr>
          <w:rFonts w:ascii="SimSun" w:eastAsia="SimSun" w:hAnsi="SimSun" w:hint="eastAsia"/>
        </w:rPr>
      </w:pPr>
      <w:r>
        <w:rPr>
          <w:rFonts w:ascii="SimSun" w:eastAsia="SimSun" w:hAnsi="SimSun" w:hint="eastAsia"/>
        </w:rPr>
        <w:t>互联网出现的早期（Web</w:t>
      </w:r>
      <w:r>
        <w:rPr>
          <w:rFonts w:ascii="SimSun" w:eastAsia="SimSun" w:hAnsi="SimSun"/>
        </w:rPr>
        <w:t>1.0</w:t>
      </w:r>
      <w:r>
        <w:rPr>
          <w:rFonts w:ascii="SimSun" w:eastAsia="SimSun" w:hAnsi="SimSun" w:hint="eastAsia"/>
        </w:rPr>
        <w:t>），网络的内容主要由商业机构编辑，网民只能阅读网站的信息（read</w:t>
      </w:r>
      <w:r>
        <w:rPr>
          <w:rFonts w:ascii="SimSun" w:eastAsia="SimSun" w:hAnsi="SimSun"/>
        </w:rPr>
        <w:t>-only</w:t>
      </w:r>
      <w:r>
        <w:rPr>
          <w:rFonts w:ascii="SimSun" w:eastAsia="SimSun" w:hAnsi="SimSun" w:hint="eastAsia"/>
        </w:rPr>
        <w:t>），不能参与创作；到了W</w:t>
      </w:r>
      <w:r>
        <w:rPr>
          <w:rFonts w:ascii="SimSun" w:eastAsia="SimSun" w:hAnsi="SimSun"/>
        </w:rPr>
        <w:t>eb2.0</w:t>
      </w:r>
      <w:r>
        <w:rPr>
          <w:rFonts w:ascii="SimSun" w:eastAsia="SimSun" w:hAnsi="SimSun" w:hint="eastAsia"/>
        </w:rPr>
        <w:t>时期，网民可以自主上传、分享内容，达到即时互动的效果。Web2.</w:t>
      </w:r>
      <w:r>
        <w:rPr>
          <w:rFonts w:ascii="SimSun" w:eastAsia="SimSun" w:hAnsi="SimSun"/>
        </w:rPr>
        <w:t>0</w:t>
      </w:r>
      <w:r>
        <w:rPr>
          <w:rFonts w:ascii="SimSun" w:eastAsia="SimSun" w:hAnsi="SimSun" w:hint="eastAsia"/>
        </w:rPr>
        <w:t>的发展使社会交往超越了空间地理的局限，社会团体在虚拟世界获得了无边无际的互动空间。与现实空间相比，虚拟空间更加封闭和隐秘，成员可以匿名、自发参与团体活动，交互的对象也主要是精神产品，在一定程度上摆脱了现实资源的局限</w:t>
      </w:r>
      <w:r>
        <w:rPr>
          <w:rStyle w:val="FootnoteReference"/>
          <w:rFonts w:ascii="SimSun" w:eastAsia="SimSun" w:hAnsi="SimSun"/>
        </w:rPr>
        <w:footnoteReference w:id="3"/>
      </w:r>
      <w:r>
        <w:rPr>
          <w:rFonts w:ascii="SimSun" w:eastAsia="SimSun" w:hAnsi="SimSun" w:hint="eastAsia"/>
        </w:rPr>
        <w:t>。由于参与和退出网络文化圈子的门槛极低，共同的兴趣爱好、价值观成为游荡在信息空间的陌生个体结社活动的最主要原因。Web2.0时代的熟人社群虽然失去了严密的组织结构，但与传统熟人社会相似地，都存在一定的差序格局</w:t>
      </w:r>
      <w:r>
        <w:rPr>
          <w:rStyle w:val="FootnoteReference"/>
          <w:rFonts w:ascii="SimSun" w:eastAsia="SimSun" w:hAnsi="SimSun"/>
        </w:rPr>
        <w:footnoteReference w:id="4"/>
      </w:r>
      <w:r>
        <w:rPr>
          <w:rFonts w:ascii="SimSun" w:eastAsia="SimSun" w:hAnsi="SimSun" w:hint="eastAsia"/>
        </w:rPr>
        <w:t>。有学者指出，文化资本与资本的差异——即在文化产品在被生产-获取-传播过程中，创作者与消费者形成的中心-外围差异与购买环节消费者的能力级差（布尔迪厄</w:t>
      </w:r>
      <w:r>
        <w:rPr>
          <w:rStyle w:val="FootnoteReference"/>
          <w:rFonts w:ascii="SimSun" w:eastAsia="SimSun" w:hAnsi="SimSun"/>
        </w:rPr>
        <w:footnoteReference w:id="5"/>
      </w:r>
      <w:r>
        <w:rPr>
          <w:rFonts w:ascii="SimSun" w:eastAsia="SimSun" w:hAnsi="SimSun" w:hint="eastAsia"/>
        </w:rPr>
        <w:t>，2003），是造成网络社群差序格局存在的重要因素（王玉</w:t>
      </w:r>
      <w:r>
        <w:rPr>
          <w:rFonts w:ascii="Arial" w:hAnsi="Arial" w:cs="Arial"/>
          <w:color w:val="333333"/>
          <w:sz w:val="18"/>
          <w:szCs w:val="18"/>
          <w:shd w:val="clear" w:color="auto" w:fill="FFFFFF"/>
        </w:rPr>
        <w:t>玊</w:t>
      </w:r>
      <w:r>
        <w:rPr>
          <w:rFonts w:ascii="SimSun" w:eastAsia="SimSun" w:hAnsi="SimSun" w:hint="eastAsia"/>
        </w:rPr>
        <w:t>，2018）</w:t>
      </w:r>
      <w:r>
        <w:rPr>
          <w:rStyle w:val="FootnoteReference"/>
          <w:rFonts w:ascii="SimSun" w:eastAsia="SimSun" w:hAnsi="SimSun"/>
        </w:rPr>
        <w:footnoteReference w:id="6"/>
      </w:r>
      <w:r>
        <w:rPr>
          <w:rFonts w:ascii="SimSun" w:eastAsia="SimSun" w:hAnsi="SimSun" w:hint="eastAsia"/>
        </w:rPr>
        <w:t>。同时，虚拟社团成员</w:t>
      </w:r>
      <w:r w:rsidRPr="009B671A">
        <w:rPr>
          <w:rFonts w:ascii="SimSun" w:eastAsia="SimSun" w:hAnsi="SimSun" w:hint="eastAsia"/>
        </w:rPr>
        <w:t>对于群体价值观的坚守，以及在共同价值观引导下，成员个体强烈的身份认同感与行为的一致性成为</w:t>
      </w:r>
      <w:r>
        <w:rPr>
          <w:rFonts w:ascii="SimSun" w:eastAsia="SimSun" w:hAnsi="SimSun" w:hint="eastAsia"/>
        </w:rPr>
        <w:t>社群文化</w:t>
      </w:r>
      <w:r w:rsidRPr="009B671A">
        <w:rPr>
          <w:rFonts w:ascii="SimSun" w:eastAsia="SimSun" w:hAnsi="SimSun" w:hint="eastAsia"/>
        </w:rPr>
        <w:t>新的特征（袁青等，2015）</w:t>
      </w:r>
      <w:r>
        <w:rPr>
          <w:rFonts w:ascii="SimSun" w:eastAsia="SimSun" w:hAnsi="SimSun" w:hint="eastAsia"/>
        </w:rPr>
        <w:t>，这种存在于虚拟社区的紧密的社会关系是当下流行的社交网络“圈子”文化产生的基础</w:t>
      </w:r>
      <w:r w:rsidRPr="009B671A">
        <w:rPr>
          <w:rFonts w:ascii="SimSun" w:eastAsia="SimSun" w:hAnsi="SimSun" w:hint="eastAsia"/>
        </w:rPr>
        <w:t>。克莱舍基认为在互联网时代，通过圈子，人们可以在虚拟网络构建一种有粘性的新型社会关系，这种关系正是基于爱、正义、共同的喜好和相似的经历</w:t>
      </w:r>
      <w:r w:rsidRPr="009B671A">
        <w:rPr>
          <w:rStyle w:val="FootnoteReference"/>
          <w:rFonts w:ascii="SimSun" w:eastAsia="SimSun" w:hAnsi="SimSun"/>
        </w:rPr>
        <w:footnoteReference w:id="7"/>
      </w:r>
      <w:r>
        <w:rPr>
          <w:rFonts w:ascii="SimSun" w:eastAsia="SimSun" w:hAnsi="SimSun" w:hint="eastAsia"/>
        </w:rPr>
        <w:t>。克莱舍的观点</w:t>
      </w:r>
      <w:r w:rsidRPr="009B671A">
        <w:rPr>
          <w:rFonts w:ascii="SimSun" w:eastAsia="SimSun" w:hAnsi="SimSun" w:hint="eastAsia"/>
        </w:rPr>
        <w:t>已经成为当下理解活跃在互联网虚拟世界的圈子</w:t>
      </w:r>
      <w:r>
        <w:rPr>
          <w:rFonts w:ascii="SimSun" w:eastAsia="SimSun" w:hAnsi="SimSun" w:hint="eastAsia"/>
        </w:rPr>
        <w:t>文化</w:t>
      </w:r>
      <w:r w:rsidRPr="009B671A">
        <w:rPr>
          <w:rFonts w:ascii="SimSun" w:eastAsia="SimSun" w:hAnsi="SimSun" w:hint="eastAsia"/>
        </w:rPr>
        <w:t>内部关系的主要视角。</w:t>
      </w:r>
    </w:p>
    <w:p w14:paraId="017673FB" w14:textId="413865AE" w:rsidR="001F025E" w:rsidRDefault="001F025E" w:rsidP="001F025E">
      <w:pPr>
        <w:rPr>
          <w:rFonts w:ascii="SimSun" w:eastAsia="SimSun" w:hAnsi="SimSun" w:hint="eastAsia"/>
        </w:rPr>
      </w:pPr>
      <w:r>
        <w:rPr>
          <w:rFonts w:ascii="SimSun" w:eastAsia="SimSun" w:hAnsi="SimSun" w:hint="eastAsia"/>
        </w:rPr>
        <w:t>（3）IP剧集研究综述</w:t>
      </w:r>
    </w:p>
    <w:p w14:paraId="001CEBF5" w14:textId="2B5877F7" w:rsidR="001B47F9" w:rsidRDefault="00745C9E" w:rsidP="0009273E">
      <w:pPr>
        <w:ind w:firstLineChars="200" w:firstLine="420"/>
        <w:rPr>
          <w:rFonts w:ascii="SimSun" w:eastAsia="SimSun" w:hAnsi="SimSun"/>
        </w:rPr>
      </w:pPr>
      <w:r>
        <w:rPr>
          <w:rFonts w:ascii="SimSun" w:eastAsia="SimSun" w:hAnsi="SimSun" w:hint="eastAsia"/>
        </w:rPr>
        <w:t>詹金斯的文化融合理论从媒介融合、参与性文化</w:t>
      </w:r>
      <w:r>
        <w:rPr>
          <w:rStyle w:val="FootnoteReference"/>
          <w:rFonts w:ascii="SimSun" w:eastAsia="SimSun" w:hAnsi="SimSun"/>
        </w:rPr>
        <w:footnoteReference w:id="8"/>
      </w:r>
      <w:r>
        <w:rPr>
          <w:rFonts w:ascii="SimSun" w:eastAsia="SimSun" w:hAnsi="SimSun" w:hint="eastAsia"/>
        </w:rPr>
        <w:t>、集体智慧解释这种文化层面的改造与发展，并认为公司从上往下、消费者自下而上共同推动了文化融合</w:t>
      </w:r>
      <w:r>
        <w:rPr>
          <w:rStyle w:val="FootnoteReference"/>
          <w:rFonts w:ascii="SimSun" w:eastAsia="SimSun" w:hAnsi="SimSun"/>
        </w:rPr>
        <w:footnoteReference w:id="9"/>
      </w:r>
      <w:r>
        <w:rPr>
          <w:rFonts w:ascii="SimSun" w:eastAsia="SimSun" w:hAnsi="SimSun" w:hint="eastAsia"/>
        </w:rPr>
        <w:t>。在能动观众理论的影响下，以詹金斯为代表的学者格外乐观地估计粉丝在文化创作中的能动作用，将粉丝看作拥有创造性的、区别于一般被动接受的读者，强调他们能够将自身社会情境中体验到的意义及快感转化为可在粉丝社群中传播的符号，否认作者中心论者认为文化有“正确”标准的观点，并将这种理论视为来自掌握了文化资本与语言权力的统治阶级的压迫</w:t>
      </w:r>
      <w:r>
        <w:rPr>
          <w:rStyle w:val="FootnoteReference"/>
          <w:rFonts w:ascii="SimSun" w:eastAsia="SimSun" w:hAnsi="SimSun"/>
        </w:rPr>
        <w:footnoteReference w:id="10"/>
      </w:r>
      <w:r>
        <w:rPr>
          <w:rFonts w:ascii="SimSun" w:eastAsia="SimSun" w:hAnsi="SimSun" w:hint="eastAsia"/>
        </w:rPr>
        <w:t>。本研究肯定詹金斯的文化融合理论——尤其是基于Web2.0时代赋予粉丝的对文化创造、传播、融合更强大能力。在对粉丝文化和大众文化的区分上，费斯克把粉丝文化视作特殊的大众文化，区别于“普通大众的文化（t</w:t>
      </w:r>
      <w:r>
        <w:rPr>
          <w:rFonts w:ascii="SimSun" w:eastAsia="SimSun" w:hAnsi="SimSun"/>
        </w:rPr>
        <w:t>he culture of more normal popular audience</w:t>
      </w:r>
      <w:r>
        <w:rPr>
          <w:rFonts w:ascii="SimSun" w:eastAsia="SimSun" w:hAnsi="SimSun" w:hint="eastAsia"/>
        </w:rPr>
        <w:t>）”，前者以“为我所用”的态度对待经典文化，后者极度敬畏经典文本，不敢以实用主义的态度进行修改。陶东风将其概括为，一般大众虽然也积极解读和消费文化产品，但却止于个人的解读，而粉丝则可以在此基础上创造在圈子内进行交流的产品</w:t>
      </w:r>
      <w:r>
        <w:rPr>
          <w:rStyle w:val="FootnoteReference"/>
          <w:rFonts w:ascii="SimSun" w:eastAsia="SimSun" w:hAnsi="SimSun"/>
        </w:rPr>
        <w:footnoteReference w:id="11"/>
      </w:r>
      <w:r w:rsidR="000A566C">
        <w:rPr>
          <w:rFonts w:ascii="SimSun" w:eastAsia="SimSun" w:hAnsi="SimSun" w:hint="eastAsia"/>
        </w:rPr>
        <w:t>。</w:t>
      </w:r>
      <w:r w:rsidR="001B47F9">
        <w:rPr>
          <w:rFonts w:ascii="SimSun" w:eastAsia="SimSun" w:hAnsi="SimSun" w:hint="eastAsia"/>
        </w:rPr>
        <w:t>伯明翰文化研究者用“奇异外观-暴露展现-道德恐慌-商业收编”的运行过程解释了商业化对亚文化向主流文化融入过程的推动作用</w:t>
      </w:r>
      <w:r w:rsidR="001B47F9">
        <w:rPr>
          <w:rStyle w:val="FootnoteReference"/>
          <w:rFonts w:ascii="SimSun" w:eastAsia="SimSun" w:hAnsi="SimSun"/>
        </w:rPr>
        <w:footnoteReference w:id="12"/>
      </w:r>
      <w:r w:rsidR="0009273E">
        <w:rPr>
          <w:rFonts w:ascii="SimSun" w:eastAsia="SimSun" w:hAnsi="SimSun" w:hint="eastAsia"/>
        </w:rPr>
        <w:t>，这本质上也是</w:t>
      </w:r>
      <w:r w:rsidR="0009273E">
        <w:rPr>
          <w:rFonts w:ascii="SimSun" w:eastAsia="SimSun" w:hAnsi="SimSun" w:hint="eastAsia"/>
        </w:rPr>
        <w:t>对营销因素在资本方利用IP改编的方式，推动小众文化向大众文化演变的这一过程中的影响</w:t>
      </w:r>
      <w:r w:rsidR="0009273E">
        <w:rPr>
          <w:rFonts w:ascii="SimSun" w:eastAsia="SimSun" w:hAnsi="SimSun" w:hint="eastAsia"/>
        </w:rPr>
        <w:t>的分析</w:t>
      </w:r>
      <w:r w:rsidR="001B47F9">
        <w:rPr>
          <w:rFonts w:ascii="SimSun" w:eastAsia="SimSun" w:hAnsi="SimSun" w:hint="eastAsia"/>
        </w:rPr>
        <w:t>。在文化领导权理论者看来，由于粉丝无法独立于资本主义工商业体系存在，并</w:t>
      </w:r>
      <w:bookmarkStart w:id="0" w:name="_GoBack"/>
      <w:bookmarkEnd w:id="0"/>
      <w:r w:rsidR="001B47F9">
        <w:rPr>
          <w:rFonts w:ascii="SimSun" w:eastAsia="SimSun" w:hAnsi="SimSun" w:hint="eastAsia"/>
        </w:rPr>
        <w:t>且粉丝群体为文化产业提供了巨大的市场，粉丝与资本主义工商业之间存在着既对抗，又合作的关</w:t>
      </w:r>
      <w:r w:rsidR="001B47F9">
        <w:rPr>
          <w:rFonts w:ascii="SimSun" w:eastAsia="SimSun" w:hAnsi="SimSun" w:hint="eastAsia"/>
        </w:rPr>
        <w:lastRenderedPageBreak/>
        <w:t>系（葛兰西</w:t>
      </w:r>
      <w:r w:rsidR="001B47F9">
        <w:rPr>
          <w:rStyle w:val="FootnoteReference"/>
          <w:rFonts w:ascii="SimSun" w:eastAsia="SimSun" w:hAnsi="SimSun"/>
        </w:rPr>
        <w:footnoteReference w:id="13"/>
      </w:r>
      <w:r w:rsidR="001B47F9">
        <w:rPr>
          <w:rFonts w:ascii="SimSun" w:eastAsia="SimSun" w:hAnsi="SimSun" w:hint="eastAsia"/>
        </w:rPr>
        <w:t>，费斯克等</w:t>
      </w:r>
      <w:r w:rsidR="001B47F9">
        <w:rPr>
          <w:rStyle w:val="FootnoteReference"/>
          <w:rFonts w:ascii="SimSun" w:eastAsia="SimSun" w:hAnsi="SimSun"/>
        </w:rPr>
        <w:footnoteReference w:id="14"/>
      </w:r>
      <w:r w:rsidR="001B47F9">
        <w:rPr>
          <w:rFonts w:ascii="SimSun" w:eastAsia="SimSun" w:hAnsi="SimSun" w:hint="eastAsia"/>
        </w:rPr>
        <w:t>）。默克罗</w:t>
      </w:r>
      <w:r w:rsidR="001B47F9">
        <w:rPr>
          <w:rStyle w:val="FootnoteReference"/>
          <w:rFonts w:ascii="SimSun" w:eastAsia="SimSun" w:hAnsi="SimSun"/>
        </w:rPr>
        <w:footnoteReference w:id="15"/>
      </w:r>
      <w:r w:rsidR="001B47F9">
        <w:rPr>
          <w:rFonts w:ascii="SimSun" w:eastAsia="SimSun" w:hAnsi="SimSun" w:hint="eastAsia"/>
        </w:rPr>
        <w:t>比认为，亚文化群体并不排斥参与商业化，事实上，他们需要依靠这些单薄的利润来维持生活，并举出朋克群体积极地在大众媒体宣传自己，以及将文化符合出售给服装品牌的行为的例证。桑顿</w:t>
      </w:r>
      <w:r w:rsidR="001B47F9">
        <w:rPr>
          <w:rStyle w:val="FootnoteReference"/>
          <w:rFonts w:ascii="SimSun" w:eastAsia="SimSun" w:hAnsi="SimSun"/>
        </w:rPr>
        <w:footnoteReference w:id="16"/>
      </w:r>
      <w:r w:rsidR="001B47F9">
        <w:rPr>
          <w:rFonts w:ascii="SimSun" w:eastAsia="SimSun" w:hAnsi="SimSun" w:hint="eastAsia"/>
        </w:rPr>
        <w:t>认为，即使社群文化被商业化了，社群仍能够通过对文化资本的控制力保持独特性</w:t>
      </w:r>
      <w:r w:rsidR="001B47F9">
        <w:rPr>
          <w:rStyle w:val="FootnoteReference"/>
          <w:rFonts w:ascii="SimSun" w:eastAsia="SimSun" w:hAnsi="SimSun"/>
        </w:rPr>
        <w:footnoteReference w:id="17"/>
      </w:r>
      <w:r w:rsidR="001B47F9">
        <w:rPr>
          <w:rFonts w:ascii="SimSun" w:eastAsia="SimSun" w:hAnsi="SimSun" w:hint="eastAsia"/>
        </w:rPr>
        <w:t>。</w:t>
      </w:r>
      <w:r w:rsidR="0009273E">
        <w:rPr>
          <w:rFonts w:ascii="SimSun" w:eastAsia="SimSun" w:hAnsi="SimSun" w:hint="eastAsia"/>
        </w:rPr>
        <w:t>这种既对立又统一的关系的成立，也是如今《陈情令》能够才多样的社群文化中，能同时受到资本和粉丝追捧的原因。</w:t>
      </w:r>
    </w:p>
    <w:p w14:paraId="7F79D63D" w14:textId="77777777" w:rsidR="001B47F9" w:rsidRPr="001B47F9" w:rsidRDefault="001B47F9" w:rsidP="001B47F9">
      <w:pPr>
        <w:rPr>
          <w:rFonts w:ascii="SimSun" w:eastAsia="SimSun" w:hAnsi="SimSun" w:hint="eastAsia"/>
        </w:rPr>
      </w:pPr>
    </w:p>
    <w:p w14:paraId="4CB69123" w14:textId="12EAD25F" w:rsidR="001B47F9" w:rsidRDefault="001B47F9" w:rsidP="001B47F9">
      <w:pPr>
        <w:rPr>
          <w:rFonts w:ascii="SimSun" w:eastAsia="SimSun" w:hAnsi="SimSun"/>
        </w:rPr>
      </w:pPr>
    </w:p>
    <w:p w14:paraId="55953424" w14:textId="21F0798C" w:rsidR="001B47F9" w:rsidRPr="00F369B0" w:rsidRDefault="00F369B0" w:rsidP="001B47F9">
      <w:pPr>
        <w:rPr>
          <w:rFonts w:ascii="Microsoft YaHei" w:eastAsia="Microsoft YaHei" w:hAnsi="Microsoft YaHei"/>
        </w:rPr>
      </w:pPr>
      <w:r>
        <w:rPr>
          <w:rFonts w:ascii="Microsoft YaHei" w:eastAsia="Microsoft YaHei" w:hAnsi="Microsoft YaHei" w:hint="eastAsia"/>
        </w:rPr>
        <w:t>4</w:t>
      </w:r>
      <w:r w:rsidR="001B47F9" w:rsidRPr="00F369B0">
        <w:rPr>
          <w:rFonts w:ascii="Microsoft YaHei" w:eastAsia="Microsoft YaHei" w:hAnsi="Microsoft YaHei" w:hint="eastAsia"/>
        </w:rPr>
        <w:t>.研究方法</w:t>
      </w:r>
    </w:p>
    <w:p w14:paraId="6AEF5A72" w14:textId="77777777" w:rsidR="001B47F9" w:rsidRPr="00A80CDD" w:rsidRDefault="001B47F9" w:rsidP="001B47F9">
      <w:pPr>
        <w:rPr>
          <w:rFonts w:ascii="SimHei" w:eastAsia="SimHei" w:hAnsi="SimHei"/>
          <w:b/>
          <w:bCs/>
        </w:rPr>
      </w:pPr>
      <w:r>
        <w:rPr>
          <w:rFonts w:ascii="SimHei" w:eastAsia="SimHei" w:hAnsi="SimHei" w:hint="eastAsia"/>
          <w:b/>
          <w:bCs/>
        </w:rPr>
        <w:t>1.</w:t>
      </w:r>
      <w:r w:rsidRPr="00A80CDD">
        <w:rPr>
          <w:rFonts w:ascii="SimHei" w:eastAsia="SimHei" w:hAnsi="SimHei" w:hint="eastAsia"/>
          <w:b/>
          <w:bCs/>
        </w:rPr>
        <w:t>文献调查法</w:t>
      </w:r>
    </w:p>
    <w:p w14:paraId="7B6DAED0" w14:textId="77777777" w:rsidR="001B47F9" w:rsidRPr="00A80CDD" w:rsidRDefault="001B47F9" w:rsidP="001B47F9">
      <w:pPr>
        <w:ind w:firstLineChars="200" w:firstLine="420"/>
        <w:rPr>
          <w:rFonts w:ascii="SimHei" w:eastAsia="SimHei" w:hAnsi="SimHei"/>
          <w:b/>
          <w:bCs/>
        </w:rPr>
      </w:pPr>
      <w:r>
        <w:rPr>
          <w:rFonts w:ascii="SimSun" w:eastAsia="SimSun" w:hAnsi="SimSun" w:hint="eastAsia"/>
          <w:szCs w:val="21"/>
        </w:rPr>
        <w:t>按照研究课题的需要，笔者围绕圈子文化、青年亚文化、粉丝经济、男色消费与小鲜肉文化四个角度进行主题阅读，对一系列相关文本进行比较、分析、综合，从中提炼出评述性的说明，再通过对文献资料进行研究的方法，转化成笔者本人的创新观点，得出本文论点。</w:t>
      </w:r>
    </w:p>
    <w:p w14:paraId="39D854E1" w14:textId="77777777" w:rsidR="001B47F9" w:rsidRPr="00065BA3" w:rsidRDefault="001B47F9" w:rsidP="001B47F9">
      <w:pPr>
        <w:rPr>
          <w:rFonts w:ascii="SimHei" w:eastAsia="SimHei" w:hAnsi="SimHei"/>
          <w:b/>
          <w:bCs/>
        </w:rPr>
      </w:pPr>
      <w:r>
        <w:rPr>
          <w:rFonts w:ascii="SimHei" w:eastAsia="SimHei" w:hAnsi="SimHei" w:hint="eastAsia"/>
          <w:b/>
          <w:bCs/>
        </w:rPr>
        <w:t>2.</w:t>
      </w:r>
      <w:r w:rsidRPr="00065BA3">
        <w:rPr>
          <w:rFonts w:ascii="SimHei" w:eastAsia="SimHei" w:hAnsi="SimHei" w:hint="eastAsia"/>
          <w:b/>
          <w:bCs/>
        </w:rPr>
        <w:t>问卷调查</w:t>
      </w:r>
      <w:r>
        <w:rPr>
          <w:rFonts w:ascii="SimHei" w:eastAsia="SimHei" w:hAnsi="SimHei" w:hint="eastAsia"/>
          <w:b/>
          <w:bCs/>
        </w:rPr>
        <w:t>法</w:t>
      </w:r>
    </w:p>
    <w:p w14:paraId="3B3D0432" w14:textId="4C192F40" w:rsidR="001B47F9" w:rsidRDefault="001B47F9" w:rsidP="001B47F9">
      <w:pPr>
        <w:ind w:firstLineChars="200" w:firstLine="420"/>
        <w:rPr>
          <w:rFonts w:ascii="SimSun" w:eastAsia="SimSun" w:hAnsi="SimSun"/>
          <w:szCs w:val="21"/>
        </w:rPr>
      </w:pPr>
      <w:r>
        <w:rPr>
          <w:rFonts w:ascii="SimSun" w:eastAsia="SimSun" w:hAnsi="SimSun" w:hint="eastAsia"/>
          <w:szCs w:val="21"/>
        </w:rPr>
        <w:t>自制调查问卷《耽美改编网剧“陈情令”赢得“粉丝”的原因研究——</w:t>
      </w:r>
      <w:r w:rsidR="0009273E">
        <w:rPr>
          <w:rFonts w:ascii="SimSun" w:eastAsia="SimSun" w:hAnsi="SimSun" w:hint="eastAsia"/>
          <w:szCs w:val="21"/>
        </w:rPr>
        <w:t>内容营销</w:t>
      </w:r>
      <w:r>
        <w:rPr>
          <w:rFonts w:ascii="SimSun" w:eastAsia="SimSun" w:hAnsi="SimSun" w:hint="eastAsia"/>
          <w:szCs w:val="21"/>
        </w:rPr>
        <w:t>篇》。主要内容包括对于所属社群的自我评价，对于其他社群的评价，对于《陈情令》跨文化融合的感受等。</w:t>
      </w:r>
    </w:p>
    <w:p w14:paraId="2ED6BE71" w14:textId="77777777" w:rsidR="001B47F9" w:rsidRDefault="001B47F9" w:rsidP="001B47F9">
      <w:pPr>
        <w:ind w:firstLineChars="200" w:firstLine="420"/>
        <w:rPr>
          <w:rFonts w:ascii="SimSun" w:eastAsia="SimSun" w:hAnsi="SimSun"/>
          <w:szCs w:val="21"/>
        </w:rPr>
      </w:pPr>
      <w:r w:rsidRPr="00065BA3">
        <w:rPr>
          <w:rFonts w:ascii="SimSun" w:eastAsia="SimSun" w:hAnsi="SimSun" w:hint="eastAsia"/>
          <w:szCs w:val="21"/>
        </w:rPr>
        <w:t>本研究采用问卷调查法，通过非随机抽样的方式</w:t>
      </w:r>
      <w:r>
        <w:rPr>
          <w:rFonts w:ascii="SimSun" w:eastAsia="SimSun" w:hAnsi="SimSun" w:hint="eastAsia"/>
          <w:szCs w:val="21"/>
        </w:rPr>
        <w:t>，对目标研究对象定向投放网络</w:t>
      </w:r>
      <w:r w:rsidRPr="00065BA3">
        <w:rPr>
          <w:rFonts w:ascii="SimSun" w:eastAsia="SimSun" w:hAnsi="SimSun" w:hint="eastAsia"/>
          <w:szCs w:val="21"/>
        </w:rPr>
        <w:t>问卷，网络问卷浏览量587份，填写量334份，总完成率57%，平均答题时长3分54秒。</w:t>
      </w:r>
      <w:r>
        <w:rPr>
          <w:rFonts w:ascii="SimSun" w:eastAsia="SimSun" w:hAnsi="SimSun" w:hint="eastAsia"/>
          <w:szCs w:val="21"/>
        </w:rPr>
        <w:t>经过笔者逐份检验，问卷全部有效。</w:t>
      </w:r>
    </w:p>
    <w:p w14:paraId="7F54CB71" w14:textId="77777777" w:rsidR="001B47F9" w:rsidRPr="00861C31" w:rsidRDefault="001B47F9" w:rsidP="001B47F9">
      <w:pPr>
        <w:ind w:firstLine="420"/>
        <w:rPr>
          <w:rFonts w:ascii="SimSun" w:eastAsia="SimSun" w:hAnsi="SimSun"/>
          <w:szCs w:val="21"/>
        </w:rPr>
      </w:pPr>
      <w:r>
        <w:rPr>
          <w:rFonts w:ascii="SimSun" w:eastAsia="SimSun" w:hAnsi="SimSun" w:hint="eastAsia"/>
          <w:szCs w:val="21"/>
        </w:rPr>
        <w:t>问卷以被调查者性别、身份的自我评价、年龄为分类方式，其中抽取女生75.15%（包含直女</w:t>
      </w:r>
      <w:r>
        <w:rPr>
          <w:rStyle w:val="FootnoteReference"/>
          <w:rFonts w:ascii="SimSun" w:eastAsia="SimSun" w:hAnsi="SimSun"/>
          <w:szCs w:val="21"/>
        </w:rPr>
        <w:footnoteReference w:id="18"/>
      </w:r>
      <w:r>
        <w:rPr>
          <w:rFonts w:ascii="SimSun" w:eastAsia="SimSun" w:hAnsi="SimSun" w:hint="eastAsia"/>
          <w:szCs w:val="21"/>
        </w:rPr>
        <w:t>42.22%，腐女32.93%），男生24.85%（包含21.26%直男，3.59%腐男）。4.79%被调查者初中及以下在读，2.69%被调查者高中在读，71.56%被调查者本科（66.47%）或专科（5.09%）在读，14.67%被调查者研究生及博士在读，6.29%被调查者在职。被调查者主要来自北京（49%），四川（26%），广东（6%），陕西（4%）等地。</w:t>
      </w:r>
    </w:p>
    <w:p w14:paraId="730D9872" w14:textId="77777777" w:rsidR="001B47F9" w:rsidRDefault="001B47F9" w:rsidP="001B47F9">
      <w:pPr>
        <w:ind w:firstLine="420"/>
        <w:rPr>
          <w:rFonts w:ascii="SimSun" w:eastAsia="SimSun" w:hAnsi="SimSun"/>
          <w:szCs w:val="21"/>
        </w:rPr>
      </w:pPr>
      <w:r>
        <w:rPr>
          <w:rFonts w:ascii="SimSun" w:eastAsia="SimSun" w:hAnsi="SimSun" w:hint="eastAsia"/>
          <w:szCs w:val="21"/>
        </w:rPr>
        <w:t>采用SPSS19.0对整理出的数据进行统计处理，计数资料采用律来表示。</w:t>
      </w:r>
    </w:p>
    <w:p w14:paraId="6B9E4AEB" w14:textId="77777777" w:rsidR="001B47F9" w:rsidRDefault="001B47F9" w:rsidP="001B47F9">
      <w:pPr>
        <w:rPr>
          <w:rFonts w:ascii="SimHei" w:eastAsia="SimHei" w:hAnsi="SimHei"/>
          <w:b/>
          <w:bCs/>
        </w:rPr>
      </w:pPr>
      <w:r>
        <w:rPr>
          <w:rFonts w:ascii="SimHei" w:eastAsia="SimHei" w:hAnsi="SimHei" w:hint="eastAsia"/>
          <w:b/>
          <w:bCs/>
        </w:rPr>
        <w:t>3.民族志调查法</w:t>
      </w:r>
    </w:p>
    <w:p w14:paraId="32ACFCCD" w14:textId="77777777" w:rsidR="001B47F9" w:rsidRDefault="001B47F9" w:rsidP="001B47F9">
      <w:pPr>
        <w:rPr>
          <w:rFonts w:ascii="SimHei" w:eastAsia="SimHei" w:hAnsi="SimHei"/>
          <w:b/>
          <w:bCs/>
        </w:rPr>
      </w:pPr>
      <w:r>
        <w:rPr>
          <w:rFonts w:ascii="SimHei" w:eastAsia="SimHei" w:hAnsi="SimHei" w:hint="eastAsia"/>
          <w:b/>
          <w:bCs/>
        </w:rPr>
        <w:t xml:space="preserve"> </w:t>
      </w:r>
      <w:r>
        <w:rPr>
          <w:rFonts w:ascii="SimHei" w:eastAsia="SimHei" w:hAnsi="SimHei"/>
          <w:b/>
          <w:bCs/>
        </w:rPr>
        <w:t xml:space="preserve">   </w:t>
      </w:r>
      <w:r>
        <w:rPr>
          <w:rFonts w:ascii="SimSun" w:eastAsia="SimSun" w:hAnsi="SimSun" w:hint="eastAsia"/>
          <w:szCs w:val="21"/>
        </w:rPr>
        <w:t>为了更加细致地考察作为亚文化（粉丝文化）社群的互动状态，笔者在网络中进行了大量的访问，也在微博、</w:t>
      </w:r>
      <w:proofErr w:type="spellStart"/>
      <w:r>
        <w:rPr>
          <w:rFonts w:ascii="SimSun" w:eastAsia="SimSun" w:hAnsi="SimSun" w:hint="eastAsia"/>
          <w:szCs w:val="21"/>
        </w:rPr>
        <w:t>b</w:t>
      </w:r>
      <w:r>
        <w:rPr>
          <w:rFonts w:ascii="SimSun" w:eastAsia="SimSun" w:hAnsi="SimSun"/>
          <w:szCs w:val="21"/>
        </w:rPr>
        <w:t>ilibili</w:t>
      </w:r>
      <w:proofErr w:type="spellEnd"/>
      <w:r>
        <w:rPr>
          <w:rFonts w:ascii="SimSun" w:eastAsia="SimSun" w:hAnsi="SimSun" w:hint="eastAsia"/>
          <w:szCs w:val="21"/>
        </w:rPr>
        <w:t>、知乎、豆瓣、</w:t>
      </w:r>
      <w:proofErr w:type="spellStart"/>
      <w:r>
        <w:rPr>
          <w:rFonts w:ascii="SimSun" w:eastAsia="SimSun" w:hAnsi="SimSun" w:hint="eastAsia"/>
          <w:szCs w:val="21"/>
        </w:rPr>
        <w:t>lofter</w:t>
      </w:r>
      <w:proofErr w:type="spellEnd"/>
      <w:r>
        <w:rPr>
          <w:rFonts w:ascii="SimSun" w:eastAsia="SimSun" w:hAnsi="SimSun" w:hint="eastAsia"/>
          <w:szCs w:val="21"/>
        </w:rPr>
        <w:t>等文化社区上长期潜伏，并且加入《陈情令》、《魔道祖师》的Q</w:t>
      </w:r>
      <w:r>
        <w:rPr>
          <w:rFonts w:ascii="SimSun" w:eastAsia="SimSun" w:hAnsi="SimSun"/>
          <w:szCs w:val="21"/>
        </w:rPr>
        <w:t>Q</w:t>
      </w:r>
      <w:r>
        <w:rPr>
          <w:rFonts w:ascii="SimSun" w:eastAsia="SimSun" w:hAnsi="SimSun" w:hint="eastAsia"/>
          <w:szCs w:val="21"/>
        </w:rPr>
        <w:t>群共9个，查看QQ群的聊天记录并参与讨论，参与线下歌会活动，与回收问卷中对《陈情令》与《魔道祖师》的发展有深刻认识以及有丰富的网络社群生活体会的被调查者进行了线上、线下交流。因此，本研究主要通过研究者参与式观察、线上潜水观察的具体方式进行。</w:t>
      </w:r>
    </w:p>
    <w:p w14:paraId="1B88D20F" w14:textId="4A93285E" w:rsidR="001B47F9" w:rsidRDefault="001B47F9" w:rsidP="001B47F9">
      <w:pPr>
        <w:rPr>
          <w:rFonts w:ascii="SimSun" w:eastAsia="SimSun" w:hAnsi="SimSun"/>
        </w:rPr>
      </w:pPr>
    </w:p>
    <w:p w14:paraId="0A806A34" w14:textId="77777777" w:rsidR="00F369B0" w:rsidRPr="001B47F9" w:rsidRDefault="00F369B0" w:rsidP="001B47F9">
      <w:pPr>
        <w:rPr>
          <w:rFonts w:ascii="SimSun" w:eastAsia="SimSun" w:hAnsi="SimSun" w:hint="eastAsia"/>
        </w:rPr>
      </w:pPr>
    </w:p>
    <w:sectPr w:rsidR="00F369B0" w:rsidRPr="001B47F9">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4F4BB" w14:textId="77777777" w:rsidR="00036A7F" w:rsidRDefault="00036A7F" w:rsidP="00660D76">
      <w:r>
        <w:separator/>
      </w:r>
    </w:p>
  </w:endnote>
  <w:endnote w:type="continuationSeparator" w:id="0">
    <w:p w14:paraId="51D7A7DB" w14:textId="77777777" w:rsidR="00036A7F" w:rsidRDefault="00036A7F" w:rsidP="00660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D403C" w14:textId="77777777" w:rsidR="00036A7F" w:rsidRDefault="00036A7F" w:rsidP="00660D76">
      <w:r>
        <w:separator/>
      </w:r>
    </w:p>
  </w:footnote>
  <w:footnote w:type="continuationSeparator" w:id="0">
    <w:p w14:paraId="2780D2E8" w14:textId="77777777" w:rsidR="00036A7F" w:rsidRDefault="00036A7F" w:rsidP="00660D76">
      <w:r>
        <w:continuationSeparator/>
      </w:r>
    </w:p>
  </w:footnote>
  <w:footnote w:id="1">
    <w:p w14:paraId="68DA1E33" w14:textId="35789503" w:rsidR="00936EC2" w:rsidRPr="00936EC2" w:rsidRDefault="00936EC2">
      <w:pPr>
        <w:pStyle w:val="FootnoteText"/>
        <w:rPr>
          <w:rFonts w:hint="eastAsia"/>
        </w:rPr>
      </w:pPr>
      <w:r>
        <w:rPr>
          <w:rStyle w:val="FootnoteReference"/>
        </w:rPr>
        <w:footnoteRef/>
      </w:r>
      <w:r w:rsidRPr="00936EC2">
        <w:rPr>
          <w:rFonts w:ascii="Arial" w:eastAsia="SimSun" w:hAnsi="Arial" w:cs="Arial"/>
          <w:color w:val="333333"/>
          <w:kern w:val="0"/>
        </w:rPr>
        <w:t xml:space="preserve"> </w:t>
      </w:r>
      <w:r w:rsidRPr="00936EC2">
        <w:rPr>
          <w:rFonts w:ascii="Arial" w:eastAsia="SimSun" w:hAnsi="Arial" w:cs="Arial"/>
          <w:color w:val="333333"/>
          <w:kern w:val="0"/>
        </w:rPr>
        <w:t>符昱叶</w:t>
      </w:r>
      <w:r w:rsidRPr="00936EC2">
        <w:rPr>
          <w:rFonts w:ascii="Arial" w:eastAsia="SimSun" w:hAnsi="Arial" w:cs="Arial"/>
          <w:color w:val="333333"/>
          <w:kern w:val="0"/>
        </w:rPr>
        <w:t>.</w:t>
      </w:r>
      <w:r w:rsidRPr="00936EC2">
        <w:rPr>
          <w:rFonts w:ascii="Arial" w:eastAsia="SimSun" w:hAnsi="Arial" w:cs="Arial"/>
          <w:color w:val="333333"/>
          <w:kern w:val="0"/>
        </w:rPr>
        <w:t>社会化网络时代中粉丝的消费心理观及营销策略</w:t>
      </w:r>
      <w:r w:rsidRPr="00936EC2">
        <w:rPr>
          <w:rFonts w:ascii="Arial" w:eastAsia="SimSun" w:hAnsi="Arial" w:cs="Arial"/>
          <w:color w:val="333333"/>
          <w:kern w:val="0"/>
        </w:rPr>
        <w:t>[J].</w:t>
      </w:r>
      <w:r w:rsidRPr="00936EC2">
        <w:rPr>
          <w:rFonts w:ascii="Arial" w:eastAsia="SimSun" w:hAnsi="Arial" w:cs="Arial"/>
          <w:color w:val="333333"/>
          <w:kern w:val="0"/>
        </w:rPr>
        <w:t>黑龙江生态工程职业学院学报</w:t>
      </w:r>
      <w:r w:rsidRPr="00936EC2">
        <w:rPr>
          <w:rFonts w:ascii="Arial" w:eastAsia="SimSun" w:hAnsi="Arial" w:cs="Arial"/>
          <w:color w:val="333333"/>
          <w:kern w:val="0"/>
        </w:rPr>
        <w:t>,2018,31(05):38-39+46.</w:t>
      </w:r>
    </w:p>
  </w:footnote>
  <w:footnote w:id="2">
    <w:p w14:paraId="67315AC4" w14:textId="6DF967C8" w:rsidR="00936EC2" w:rsidRPr="00936EC2" w:rsidRDefault="00936EC2" w:rsidP="00936EC2">
      <w:pPr>
        <w:widowControl/>
        <w:wordWrap w:val="0"/>
        <w:jc w:val="left"/>
        <w:rPr>
          <w:rFonts w:ascii="Arial" w:eastAsia="SimSun" w:hAnsi="Arial" w:cs="Arial" w:hint="eastAsia"/>
          <w:color w:val="333333"/>
          <w:kern w:val="0"/>
          <w:sz w:val="18"/>
          <w:szCs w:val="18"/>
        </w:rPr>
      </w:pPr>
      <w:r>
        <w:rPr>
          <w:rStyle w:val="FootnoteReference"/>
        </w:rPr>
        <w:footnoteRef/>
      </w:r>
      <w:r>
        <w:t xml:space="preserve"> </w:t>
      </w:r>
      <w:r w:rsidRPr="00936EC2">
        <w:rPr>
          <w:rFonts w:ascii="Arial" w:eastAsia="SimSun" w:hAnsi="Arial" w:cs="Arial"/>
          <w:color w:val="333333"/>
          <w:kern w:val="0"/>
          <w:sz w:val="18"/>
          <w:szCs w:val="18"/>
        </w:rPr>
        <w:t>陈娉娉</w:t>
      </w:r>
      <w:r w:rsidRPr="00936EC2">
        <w:rPr>
          <w:rFonts w:ascii="Arial" w:eastAsia="SimSun" w:hAnsi="Arial" w:cs="Arial"/>
          <w:color w:val="333333"/>
          <w:kern w:val="0"/>
          <w:sz w:val="18"/>
          <w:szCs w:val="18"/>
        </w:rPr>
        <w:t>.“</w:t>
      </w:r>
      <w:r w:rsidRPr="00936EC2">
        <w:rPr>
          <w:rFonts w:ascii="Arial" w:eastAsia="SimSun" w:hAnsi="Arial" w:cs="Arial"/>
          <w:color w:val="333333"/>
          <w:kern w:val="0"/>
          <w:sz w:val="18"/>
          <w:szCs w:val="18"/>
        </w:rPr>
        <w:t>粉丝经济</w:t>
      </w:r>
      <w:r w:rsidRPr="00936EC2">
        <w:rPr>
          <w:rFonts w:ascii="Arial" w:eastAsia="SimSun" w:hAnsi="Arial" w:cs="Arial"/>
          <w:color w:val="333333"/>
          <w:kern w:val="0"/>
          <w:sz w:val="18"/>
          <w:szCs w:val="18"/>
        </w:rPr>
        <w:t>”</w:t>
      </w:r>
      <w:r w:rsidRPr="00936EC2">
        <w:rPr>
          <w:rFonts w:ascii="Arial" w:eastAsia="SimSun" w:hAnsi="Arial" w:cs="Arial"/>
          <w:color w:val="333333"/>
          <w:kern w:val="0"/>
          <w:sz w:val="18"/>
          <w:szCs w:val="18"/>
        </w:rPr>
        <w:t>背景下网络剧盈利模式探讨</w:t>
      </w:r>
      <w:r w:rsidRPr="00936EC2">
        <w:rPr>
          <w:rFonts w:ascii="Arial" w:eastAsia="SimSun" w:hAnsi="Arial" w:cs="Arial"/>
          <w:color w:val="333333"/>
          <w:kern w:val="0"/>
          <w:sz w:val="18"/>
          <w:szCs w:val="18"/>
        </w:rPr>
        <w:t>——</w:t>
      </w:r>
      <w:r w:rsidRPr="00936EC2">
        <w:rPr>
          <w:rFonts w:ascii="Arial" w:eastAsia="SimSun" w:hAnsi="Arial" w:cs="Arial"/>
          <w:color w:val="333333"/>
          <w:kern w:val="0"/>
          <w:sz w:val="18"/>
          <w:szCs w:val="18"/>
        </w:rPr>
        <w:t>以《陈情令》为例</w:t>
      </w:r>
      <w:r w:rsidRPr="00936EC2">
        <w:rPr>
          <w:rFonts w:ascii="Arial" w:eastAsia="SimSun" w:hAnsi="Arial" w:cs="Arial"/>
          <w:color w:val="333333"/>
          <w:kern w:val="0"/>
          <w:sz w:val="18"/>
          <w:szCs w:val="18"/>
        </w:rPr>
        <w:t>[J].</w:t>
      </w:r>
      <w:r w:rsidRPr="00936EC2">
        <w:rPr>
          <w:rFonts w:ascii="Arial" w:eastAsia="SimSun" w:hAnsi="Arial" w:cs="Arial"/>
          <w:color w:val="333333"/>
          <w:kern w:val="0"/>
          <w:sz w:val="18"/>
          <w:szCs w:val="18"/>
        </w:rPr>
        <w:t>时代金融</w:t>
      </w:r>
      <w:r w:rsidRPr="00936EC2">
        <w:rPr>
          <w:rFonts w:ascii="Arial" w:eastAsia="SimSun" w:hAnsi="Arial" w:cs="Arial"/>
          <w:color w:val="333333"/>
          <w:kern w:val="0"/>
          <w:sz w:val="18"/>
          <w:szCs w:val="18"/>
        </w:rPr>
        <w:t>,2020(02):143-144.</w:t>
      </w:r>
    </w:p>
  </w:footnote>
  <w:footnote w:id="3">
    <w:p w14:paraId="63159513" w14:textId="77777777" w:rsidR="00745C9E" w:rsidRPr="00337547" w:rsidRDefault="00745C9E" w:rsidP="00745C9E">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cs="Arial"/>
          <w:color w:val="333333"/>
          <w:sz w:val="15"/>
          <w:szCs w:val="15"/>
          <w:shd w:val="clear" w:color="auto" w:fill="FFFFFF"/>
        </w:rPr>
        <w:t>孙茜.Web2.0的含义、特征与应用研究[J].现代情报,2006(02):69-70+74.</w:t>
      </w:r>
    </w:p>
  </w:footnote>
  <w:footnote w:id="4">
    <w:p w14:paraId="4E04F310" w14:textId="77777777" w:rsidR="00745C9E" w:rsidRPr="00337547" w:rsidRDefault="00745C9E" w:rsidP="00745C9E">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hint="eastAsia"/>
          <w:sz w:val="15"/>
          <w:szCs w:val="15"/>
        </w:rPr>
        <w:t>费孝通先生用差序格局来形容传统中国的社会群体，即“我们的格局……好像一块石头丢在水面上形成的波纹……一圈圈推出去，愈推愈远，愈退愈薄”</w:t>
      </w:r>
      <w:r w:rsidRPr="00337547">
        <w:rPr>
          <w:rStyle w:val="FootnoteReference"/>
          <w:rFonts w:eastAsiaTheme="minorHAnsi"/>
          <w:sz w:val="15"/>
          <w:szCs w:val="15"/>
        </w:rPr>
        <w:footnoteRef/>
      </w:r>
      <w:r w:rsidRPr="00337547">
        <w:rPr>
          <w:rFonts w:eastAsiaTheme="minorHAnsi" w:hint="eastAsia"/>
          <w:sz w:val="15"/>
          <w:szCs w:val="15"/>
        </w:rPr>
        <w:t>。在西方，社会团体是市民社会的基本构成单位。</w:t>
      </w:r>
    </w:p>
  </w:footnote>
  <w:footnote w:id="5">
    <w:p w14:paraId="2EED7BA3" w14:textId="77777777" w:rsidR="00745C9E" w:rsidRPr="00337547" w:rsidRDefault="00745C9E" w:rsidP="00745C9E">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刘欣 . 阶级惯习与品味：布迪厄的阶级理论［J］. 社会学研究，2003：38-39.</w:t>
      </w:r>
    </w:p>
  </w:footnote>
  <w:footnote w:id="6">
    <w:p w14:paraId="67ACF959" w14:textId="77777777" w:rsidR="00745C9E" w:rsidRPr="00337547" w:rsidRDefault="00745C9E" w:rsidP="00745C9E">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cs="Arial"/>
          <w:color w:val="333333"/>
          <w:sz w:val="15"/>
          <w:szCs w:val="15"/>
          <w:shd w:val="clear" w:color="auto" w:fill="FFFFFF"/>
        </w:rPr>
        <w:t>王玉玊.“逛展子、买本子、混圈子的幸福生活”——“同人·粉丝文化”单元导读[J].文艺理论与批评,2018(05):129-131.</w:t>
      </w:r>
    </w:p>
  </w:footnote>
  <w:footnote w:id="7">
    <w:p w14:paraId="71E6C311" w14:textId="77777777" w:rsidR="00745C9E" w:rsidRPr="00337547" w:rsidRDefault="00745C9E" w:rsidP="00745C9E">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[美] 克莱·舍基. 未来是湿的—— 无组织的组织力量[M]. 胡 泳，沈满琳，译. 北京：中国人民大学出版社，2009：5.</w:t>
      </w:r>
    </w:p>
  </w:footnote>
  <w:footnote w:id="8">
    <w:p w14:paraId="41416E55" w14:textId="77777777" w:rsidR="00745C9E" w:rsidRPr="00337547" w:rsidRDefault="00745C9E" w:rsidP="00745C9E">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hint="eastAsia"/>
          <w:sz w:val="15"/>
          <w:szCs w:val="15"/>
        </w:rPr>
        <w:t>强调普通民众的介入和推动，包括讨论、推荐、造势等行为。</w:t>
      </w:r>
    </w:p>
  </w:footnote>
  <w:footnote w:id="9">
    <w:p w14:paraId="06329C4F" w14:textId="77777777" w:rsidR="00745C9E" w:rsidRPr="00337547" w:rsidRDefault="00745C9E" w:rsidP="00745C9E">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cs="Arial"/>
          <w:color w:val="333333"/>
          <w:sz w:val="15"/>
          <w:szCs w:val="15"/>
          <w:shd w:val="clear" w:color="auto" w:fill="FFFFFF"/>
        </w:rPr>
        <w:t>王蕾.亨利·詹金斯及其融合文化理论分析[J].东南传播,2012(09):11-13.</w:t>
      </w:r>
    </w:p>
  </w:footnote>
  <w:footnote w:id="10">
    <w:p w14:paraId="5EA3259D" w14:textId="77777777" w:rsidR="00745C9E" w:rsidRPr="00337547" w:rsidRDefault="00745C9E" w:rsidP="00745C9E">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cs="Arial" w:hint="eastAsia"/>
          <w:color w:val="333333"/>
          <w:kern w:val="0"/>
          <w:sz w:val="15"/>
          <w:szCs w:val="15"/>
        </w:rPr>
        <w:t>Frank</w:t>
      </w:r>
      <w:r w:rsidRPr="00337547">
        <w:rPr>
          <w:rFonts w:eastAsiaTheme="minorHAnsi" w:cs="Arial"/>
          <w:color w:val="333333"/>
          <w:kern w:val="0"/>
          <w:sz w:val="15"/>
          <w:szCs w:val="15"/>
        </w:rPr>
        <w:t xml:space="preserve"> Webster, Sociology Cultural Studies, Disciplinary Boundaries, A Companion to Culture Studies, ed Toby Miller, Blackwell Publishers, 2001,P79-99</w:t>
      </w:r>
    </w:p>
  </w:footnote>
  <w:footnote w:id="11">
    <w:p w14:paraId="33E6EA9A" w14:textId="77777777" w:rsidR="00745C9E" w:rsidRDefault="00745C9E" w:rsidP="00745C9E">
      <w:pPr>
        <w:pStyle w:val="FootnoteText"/>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cs="Arial"/>
          <w:color w:val="333333"/>
          <w:kern w:val="0"/>
          <w:sz w:val="15"/>
          <w:szCs w:val="15"/>
        </w:rPr>
        <w:t>陶东风.粉丝文化研究:阅读—接受理论的新拓展[J].社会科学战线,2009(07):164-172.</w:t>
      </w:r>
    </w:p>
  </w:footnote>
  <w:footnote w:id="12">
    <w:p w14:paraId="7094CAFA" w14:textId="77777777" w:rsidR="001B47F9" w:rsidRPr="00337547" w:rsidRDefault="001B47F9" w:rsidP="001B47F9">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cs="Arial"/>
          <w:color w:val="333333"/>
          <w:kern w:val="0"/>
          <w:sz w:val="15"/>
          <w:szCs w:val="15"/>
        </w:rPr>
        <w:t>秦兰珺.论青年亚文化与互联网生产方式的互动[J].文艺理论与批评,2018(04):73-85.</w:t>
      </w:r>
    </w:p>
  </w:footnote>
  <w:footnote w:id="13">
    <w:p w14:paraId="173BC2C6" w14:textId="77777777" w:rsidR="001B47F9" w:rsidRPr="00337547" w:rsidRDefault="001B47F9" w:rsidP="001B47F9">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sz w:val="15"/>
          <w:szCs w:val="15"/>
        </w:rPr>
        <w:t>罗钢等主编:《文化研究读本》, 北京:中国社会科学出版社, 2000年, 第 18页</w:t>
      </w:r>
      <w:r w:rsidRPr="00337547">
        <w:rPr>
          <w:rFonts w:eastAsiaTheme="minorHAnsi" w:hint="eastAsia"/>
          <w:sz w:val="15"/>
          <w:szCs w:val="15"/>
        </w:rPr>
        <w:t>.</w:t>
      </w:r>
    </w:p>
  </w:footnote>
  <w:footnote w:id="14">
    <w:p w14:paraId="6AABE1A5" w14:textId="77777777" w:rsidR="001B47F9" w:rsidRPr="00337547" w:rsidRDefault="001B47F9" w:rsidP="001B47F9">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cs="Arial"/>
          <w:color w:val="333333"/>
          <w:sz w:val="15"/>
          <w:szCs w:val="15"/>
          <w:shd w:val="clear" w:color="auto" w:fill="FFFFFF"/>
        </w:rPr>
        <w:t>邓筑虹.从《理解大众文化》看约翰·费斯克的文化理论[J].广东海洋大学学报,2010,30(02):80-84.</w:t>
      </w:r>
    </w:p>
  </w:footnote>
  <w:footnote w:id="15">
    <w:p w14:paraId="5EFC6E3A" w14:textId="77777777" w:rsidR="001B47F9" w:rsidRPr="0018674B" w:rsidRDefault="001B47F9" w:rsidP="001B47F9">
      <w:pPr>
        <w:pStyle w:val="FootnoteText"/>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hint="eastAsia"/>
          <w:sz w:val="15"/>
          <w:szCs w:val="15"/>
        </w:rPr>
        <w:t>默克罗比.后现代主义与大众文化</w:t>
      </w:r>
      <w:r w:rsidRPr="00337547">
        <w:rPr>
          <w:rFonts w:eastAsiaTheme="minorHAnsi"/>
          <w:sz w:val="15"/>
          <w:szCs w:val="15"/>
        </w:rPr>
        <w:t>[M]</w:t>
      </w:r>
      <w:r w:rsidRPr="00337547">
        <w:rPr>
          <w:rFonts w:eastAsiaTheme="minorHAnsi" w:hint="eastAsia"/>
          <w:sz w:val="15"/>
          <w:szCs w:val="15"/>
        </w:rPr>
        <w:t xml:space="preserve">.田晓菲，译 北京：中央编译出版社，2000：205-206 </w:t>
      </w:r>
    </w:p>
  </w:footnote>
  <w:footnote w:id="16">
    <w:p w14:paraId="151D8782" w14:textId="77777777" w:rsidR="001B47F9" w:rsidRPr="00337547" w:rsidRDefault="001B47F9" w:rsidP="001B47F9">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sz w:val="15"/>
          <w:szCs w:val="15"/>
        </w:rPr>
        <w:t>桑顿借鉴了布迪厄文化资本的概念，但他认为二者的主要区别在于与阶级和媒体的关系上大有不同，而他有关不同媒体在亚文化发展过程中所扮演的作用的见解对我们思考新媒体时代的亚文化有着重要启发</w:t>
      </w:r>
      <w:r w:rsidRPr="00337547">
        <w:rPr>
          <w:rFonts w:eastAsiaTheme="minorHAnsi" w:hint="eastAsia"/>
          <w:sz w:val="15"/>
          <w:szCs w:val="15"/>
        </w:rPr>
        <w:t>：①</w:t>
      </w:r>
      <w:r w:rsidRPr="00337547">
        <w:rPr>
          <w:rFonts w:eastAsiaTheme="minorHAnsi"/>
          <w:sz w:val="15"/>
          <w:szCs w:val="15"/>
        </w:rPr>
        <w:t>大众媒体虽然对亚文化有着诸多批评</w:t>
      </w:r>
      <w:r w:rsidRPr="00337547">
        <w:rPr>
          <w:rFonts w:eastAsiaTheme="minorHAnsi" w:hint="eastAsia"/>
          <w:sz w:val="15"/>
          <w:szCs w:val="15"/>
        </w:rPr>
        <w:t>，</w:t>
      </w:r>
      <w:r w:rsidRPr="00337547">
        <w:rPr>
          <w:rFonts w:eastAsiaTheme="minorHAnsi"/>
          <w:sz w:val="15"/>
          <w:szCs w:val="15"/>
        </w:rPr>
        <w:t>但亚文化本身也在享受着这种关注</w:t>
      </w:r>
      <w:r w:rsidRPr="00337547">
        <w:rPr>
          <w:rFonts w:eastAsiaTheme="minorHAnsi" w:hint="eastAsia"/>
          <w:sz w:val="15"/>
          <w:szCs w:val="15"/>
        </w:rPr>
        <w:t>（</w:t>
      </w:r>
      <w:r w:rsidRPr="00337547">
        <w:rPr>
          <w:rFonts w:eastAsiaTheme="minorHAnsi"/>
          <w:sz w:val="15"/>
          <w:szCs w:val="15"/>
        </w:rPr>
        <w:t>尽管媒体关注的价值在于亚文化之外）</w:t>
      </w:r>
      <w:r w:rsidRPr="00337547">
        <w:rPr>
          <w:rFonts w:eastAsiaTheme="minorHAnsi" w:hint="eastAsia"/>
          <w:sz w:val="15"/>
          <w:szCs w:val="15"/>
        </w:rPr>
        <w:t>。②</w:t>
      </w:r>
      <w:r w:rsidRPr="00337547">
        <w:rPr>
          <w:rFonts w:eastAsiaTheme="minorHAnsi"/>
          <w:sz w:val="15"/>
          <w:szCs w:val="15"/>
        </w:rPr>
        <w:t>微型媒体（如小型电台）是亚文化群体中不可或缺的媒介。亚文化群体常常会寻求微型媒体的宣传，来确保受众能够了解“在行”，并使年轻人能够成为亚文化当中一员，同时又能够避免曝光过度。</w:t>
      </w:r>
      <w:r w:rsidRPr="00337547">
        <w:rPr>
          <w:rFonts w:eastAsiaTheme="minorHAnsi" w:hint="eastAsia"/>
          <w:sz w:val="15"/>
          <w:szCs w:val="15"/>
        </w:rPr>
        <w:t>③</w:t>
      </w:r>
      <w:r w:rsidRPr="00337547">
        <w:rPr>
          <w:rFonts w:eastAsiaTheme="minorHAnsi"/>
          <w:sz w:val="15"/>
          <w:szCs w:val="15"/>
        </w:rPr>
        <w:t>在小众媒体（如特定杂志）当中，“核心群体”采用自己的语言和时尚规范编织了不同类型的风格，使亚文化本身得到了丰富。</w:t>
      </w:r>
    </w:p>
  </w:footnote>
  <w:footnote w:id="17">
    <w:p w14:paraId="28E430F0" w14:textId="77777777" w:rsidR="001B47F9" w:rsidRPr="00337547" w:rsidRDefault="001B47F9" w:rsidP="001B47F9">
      <w:pPr>
        <w:pStyle w:val="FootnoteText"/>
        <w:rPr>
          <w:rFonts w:eastAsiaTheme="minorHAnsi"/>
          <w:sz w:val="15"/>
          <w:szCs w:val="15"/>
        </w:rPr>
      </w:pPr>
      <w:r w:rsidRPr="00337547">
        <w:rPr>
          <w:rStyle w:val="FootnoteReference"/>
          <w:rFonts w:eastAsiaTheme="minorHAnsi"/>
          <w:sz w:val="15"/>
          <w:szCs w:val="15"/>
        </w:rPr>
        <w:footnoteRef/>
      </w:r>
      <w:r w:rsidRPr="00337547">
        <w:rPr>
          <w:rFonts w:eastAsiaTheme="minorHAnsi"/>
          <w:sz w:val="15"/>
          <w:szCs w:val="15"/>
        </w:rPr>
        <w:t xml:space="preserve"> </w:t>
      </w:r>
      <w:r w:rsidRPr="00337547">
        <w:rPr>
          <w:rFonts w:eastAsiaTheme="minorHAnsi" w:hint="eastAsia"/>
          <w:sz w:val="15"/>
          <w:szCs w:val="15"/>
        </w:rPr>
        <w:t>“亚文化资本”新媒体时代青年亚文化的一种解释</w:t>
      </w:r>
    </w:p>
  </w:footnote>
  <w:footnote w:id="18">
    <w:p w14:paraId="316B1FD0" w14:textId="77777777" w:rsidR="001B47F9" w:rsidRDefault="001B47F9" w:rsidP="001B47F9">
      <w:pPr>
        <w:pStyle w:val="FootnoteText"/>
      </w:pPr>
      <w:r>
        <w:rPr>
          <w:rStyle w:val="FootnoteReference"/>
        </w:rPr>
        <w:footnoteRef/>
      </w:r>
      <w:r>
        <w:t xml:space="preserve"> </w:t>
      </w:r>
      <w:r>
        <w:rPr>
          <w:rFonts w:hint="eastAsia"/>
        </w:rPr>
        <w:t>喜欢幻想BL（boy</w:t>
      </w:r>
      <w:r>
        <w:t>s love</w:t>
      </w:r>
      <w:r>
        <w:rPr>
          <w:rFonts w:hint="eastAsia"/>
        </w:rPr>
        <w:t>，男男恋爱）的女生，不涉及现实性取向</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56"/>
    <w:rsid w:val="00036A7F"/>
    <w:rsid w:val="0009273E"/>
    <w:rsid w:val="000A566C"/>
    <w:rsid w:val="000B323F"/>
    <w:rsid w:val="00170D24"/>
    <w:rsid w:val="00180056"/>
    <w:rsid w:val="001B47F9"/>
    <w:rsid w:val="001F025E"/>
    <w:rsid w:val="00255C8C"/>
    <w:rsid w:val="002638B9"/>
    <w:rsid w:val="00382BA1"/>
    <w:rsid w:val="003A2CBE"/>
    <w:rsid w:val="00513CAD"/>
    <w:rsid w:val="00622D67"/>
    <w:rsid w:val="00660D76"/>
    <w:rsid w:val="006814E0"/>
    <w:rsid w:val="006E54DE"/>
    <w:rsid w:val="006F5727"/>
    <w:rsid w:val="00745C9E"/>
    <w:rsid w:val="007A3CAE"/>
    <w:rsid w:val="00842A90"/>
    <w:rsid w:val="00936EC2"/>
    <w:rsid w:val="00A734E9"/>
    <w:rsid w:val="00B50C8D"/>
    <w:rsid w:val="00B970FC"/>
    <w:rsid w:val="00BE6D5B"/>
    <w:rsid w:val="00D11908"/>
    <w:rsid w:val="00E43343"/>
    <w:rsid w:val="00F369B0"/>
    <w:rsid w:val="00F9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84498"/>
  <w15:chartTrackingRefBased/>
  <w15:docId w15:val="{214641E1-55BE-418B-ABAE-1E2510DB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D76"/>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660D76"/>
    <w:rPr>
      <w:sz w:val="18"/>
      <w:szCs w:val="18"/>
    </w:rPr>
  </w:style>
  <w:style w:type="paragraph" w:styleId="Footer">
    <w:name w:val="footer"/>
    <w:basedOn w:val="Normal"/>
    <w:link w:val="FooterChar"/>
    <w:uiPriority w:val="99"/>
    <w:unhideWhenUsed/>
    <w:rsid w:val="00660D76"/>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660D76"/>
    <w:rPr>
      <w:sz w:val="18"/>
      <w:szCs w:val="18"/>
    </w:rPr>
  </w:style>
  <w:style w:type="paragraph" w:styleId="FootnoteText">
    <w:name w:val="footnote text"/>
    <w:basedOn w:val="Normal"/>
    <w:link w:val="FootnoteTextChar"/>
    <w:uiPriority w:val="99"/>
    <w:semiHidden/>
    <w:unhideWhenUsed/>
    <w:rsid w:val="00745C9E"/>
    <w:pPr>
      <w:snapToGrid w:val="0"/>
      <w:jc w:val="left"/>
    </w:pPr>
    <w:rPr>
      <w:sz w:val="18"/>
      <w:szCs w:val="18"/>
    </w:rPr>
  </w:style>
  <w:style w:type="character" w:customStyle="1" w:styleId="FootnoteTextChar">
    <w:name w:val="Footnote Text Char"/>
    <w:basedOn w:val="DefaultParagraphFont"/>
    <w:link w:val="FootnoteText"/>
    <w:uiPriority w:val="99"/>
    <w:semiHidden/>
    <w:rsid w:val="00745C9E"/>
    <w:rPr>
      <w:sz w:val="18"/>
      <w:szCs w:val="18"/>
    </w:rPr>
  </w:style>
  <w:style w:type="character" w:styleId="FootnoteReference">
    <w:name w:val="footnote reference"/>
    <w:basedOn w:val="DefaultParagraphFont"/>
    <w:uiPriority w:val="99"/>
    <w:semiHidden/>
    <w:unhideWhenUsed/>
    <w:rsid w:val="00745C9E"/>
    <w:rPr>
      <w:vertAlign w:val="superscript"/>
    </w:rPr>
  </w:style>
  <w:style w:type="paragraph" w:styleId="BalloonText">
    <w:name w:val="Balloon Text"/>
    <w:basedOn w:val="Normal"/>
    <w:link w:val="BalloonTextChar"/>
    <w:uiPriority w:val="99"/>
    <w:semiHidden/>
    <w:unhideWhenUsed/>
    <w:rsid w:val="00B50C8D"/>
    <w:rPr>
      <w:sz w:val="18"/>
      <w:szCs w:val="18"/>
    </w:rPr>
  </w:style>
  <w:style w:type="character" w:customStyle="1" w:styleId="BalloonTextChar">
    <w:name w:val="Balloon Text Char"/>
    <w:basedOn w:val="DefaultParagraphFont"/>
    <w:link w:val="BalloonText"/>
    <w:uiPriority w:val="99"/>
    <w:semiHidden/>
    <w:rsid w:val="00B50C8D"/>
    <w:rPr>
      <w:sz w:val="18"/>
      <w:szCs w:val="18"/>
    </w:rPr>
  </w:style>
  <w:style w:type="paragraph" w:customStyle="1" w:styleId="paragraph">
    <w:name w:val="paragraph"/>
    <w:basedOn w:val="Normal"/>
    <w:rsid w:val="0009273E"/>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518348">
      <w:bodyDiv w:val="1"/>
      <w:marLeft w:val="0"/>
      <w:marRight w:val="0"/>
      <w:marTop w:val="0"/>
      <w:marBottom w:val="0"/>
      <w:divBdr>
        <w:top w:val="none" w:sz="0" w:space="0" w:color="auto"/>
        <w:left w:val="none" w:sz="0" w:space="0" w:color="auto"/>
        <w:bottom w:val="none" w:sz="0" w:space="0" w:color="auto"/>
        <w:right w:val="none" w:sz="0" w:space="0" w:color="auto"/>
      </w:divBdr>
    </w:div>
    <w:div w:id="1288199484">
      <w:bodyDiv w:val="1"/>
      <w:marLeft w:val="0"/>
      <w:marRight w:val="0"/>
      <w:marTop w:val="0"/>
      <w:marBottom w:val="0"/>
      <w:divBdr>
        <w:top w:val="none" w:sz="0" w:space="0" w:color="auto"/>
        <w:left w:val="none" w:sz="0" w:space="0" w:color="auto"/>
        <w:bottom w:val="none" w:sz="0" w:space="0" w:color="auto"/>
        <w:right w:val="none" w:sz="0" w:space="0" w:color="auto"/>
      </w:divBdr>
      <w:divsChild>
        <w:div w:id="56562521">
          <w:marLeft w:val="0"/>
          <w:marRight w:val="0"/>
          <w:marTop w:val="0"/>
          <w:marBottom w:val="0"/>
          <w:divBdr>
            <w:top w:val="none" w:sz="0" w:space="0" w:color="auto"/>
            <w:left w:val="none" w:sz="0" w:space="0" w:color="auto"/>
            <w:bottom w:val="none" w:sz="0" w:space="0" w:color="auto"/>
            <w:right w:val="none" w:sz="0" w:space="0" w:color="auto"/>
          </w:divBdr>
          <w:divsChild>
            <w:div w:id="2204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6630-E93F-40CF-8E17-C21DCE19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2020-02-19T06:32:00Z</dcterms:created>
  <dcterms:modified xsi:type="dcterms:W3CDTF">2020-02-26T08:23:00Z</dcterms:modified>
</cp:coreProperties>
</file>