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a"/>
        <w:tblW w:w="972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1680"/>
        <w:gridCol w:w="2745"/>
        <w:gridCol w:w="2430"/>
        <w:gridCol w:w="2865"/>
      </w:tblGrid>
      <w:tr w:rsidR="006C1412" w14:paraId="587E9CE4" w14:textId="77777777">
        <w:trPr>
          <w:trHeight w:val="720"/>
        </w:trPr>
        <w:tc>
          <w:tcPr>
            <w:tcW w:w="168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60DCF288" w14:textId="77777777" w:rsidR="006C1412" w:rsidRDefault="00000000">
            <w:pPr>
              <w:spacing w:line="240" w:lineRule="auto"/>
              <w:jc w:val="center"/>
              <w:rPr>
                <w:sz w:val="20"/>
                <w:szCs w:val="20"/>
              </w:rPr>
            </w:pPr>
            <w:r>
              <w:rPr>
                <w:sz w:val="20"/>
                <w:szCs w:val="20"/>
              </w:rPr>
              <w:t>Event Task</w:t>
            </w:r>
          </w:p>
        </w:tc>
        <w:tc>
          <w:tcPr>
            <w:tcW w:w="274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17513C8D" w14:textId="77777777" w:rsidR="006C1412" w:rsidRDefault="00000000">
            <w:pPr>
              <w:spacing w:line="240" w:lineRule="auto"/>
              <w:jc w:val="center"/>
              <w:rPr>
                <w:sz w:val="20"/>
                <w:szCs w:val="20"/>
              </w:rPr>
            </w:pPr>
            <w:r>
              <w:rPr>
                <w:sz w:val="20"/>
                <w:szCs w:val="20"/>
              </w:rPr>
              <w:t>Screenshot of the relevant screen</w:t>
            </w:r>
          </w:p>
        </w:tc>
        <w:tc>
          <w:tcPr>
            <w:tcW w:w="243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228CAB57" w14:textId="77777777" w:rsidR="006C1412" w:rsidRDefault="00000000">
            <w:pPr>
              <w:spacing w:line="240" w:lineRule="auto"/>
              <w:jc w:val="center"/>
              <w:rPr>
                <w:sz w:val="20"/>
                <w:szCs w:val="20"/>
              </w:rPr>
            </w:pPr>
            <w:r>
              <w:rPr>
                <w:sz w:val="20"/>
                <w:szCs w:val="20"/>
              </w:rPr>
              <w:t>Issue</w:t>
            </w:r>
          </w:p>
        </w:tc>
        <w:tc>
          <w:tcPr>
            <w:tcW w:w="286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0995F257" w14:textId="77777777" w:rsidR="006C1412" w:rsidRDefault="00000000">
            <w:pPr>
              <w:spacing w:line="240" w:lineRule="auto"/>
              <w:jc w:val="center"/>
              <w:rPr>
                <w:sz w:val="20"/>
                <w:szCs w:val="20"/>
              </w:rPr>
            </w:pPr>
            <w:r>
              <w:rPr>
                <w:sz w:val="20"/>
                <w:szCs w:val="20"/>
              </w:rPr>
              <w:t>Recommendations</w:t>
            </w:r>
          </w:p>
        </w:tc>
      </w:tr>
      <w:tr w:rsidR="006C1412" w14:paraId="3C42843F" w14:textId="77777777">
        <w:trPr>
          <w:trHeight w:val="75"/>
        </w:trPr>
        <w:tc>
          <w:tcPr>
            <w:tcW w:w="168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0C55B3E4" w14:textId="77777777" w:rsidR="006C1412" w:rsidRDefault="00000000">
            <w:pPr>
              <w:rPr>
                <w:color w:val="273540"/>
                <w:sz w:val="20"/>
                <w:szCs w:val="20"/>
              </w:rPr>
            </w:pPr>
            <w:r>
              <w:rPr>
                <w:sz w:val="20"/>
                <w:szCs w:val="20"/>
              </w:rPr>
              <w:t>Create Event – preferences screen</w:t>
            </w:r>
          </w:p>
        </w:tc>
        <w:tc>
          <w:tcPr>
            <w:tcW w:w="274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4EE2FC3B" w14:textId="77777777" w:rsidR="006C1412" w:rsidRDefault="00000000">
            <w:pPr>
              <w:spacing w:after="240"/>
              <w:jc w:val="both"/>
              <w:rPr>
                <w:color w:val="273540"/>
                <w:sz w:val="20"/>
                <w:szCs w:val="20"/>
              </w:rPr>
            </w:pPr>
            <w:r>
              <w:rPr>
                <w:noProof/>
                <w:color w:val="273540"/>
                <w:sz w:val="20"/>
                <w:szCs w:val="20"/>
              </w:rPr>
              <w:drawing>
                <wp:inline distT="114300" distB="114300" distL="114300" distR="114300" wp14:anchorId="719DC70D" wp14:editId="4CEA341C">
                  <wp:extent cx="1676400" cy="3365500"/>
                  <wp:effectExtent l="0" t="0" r="0" b="0"/>
                  <wp:docPr id="8"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5"/>
                          <a:srcRect/>
                          <a:stretch>
                            <a:fillRect/>
                          </a:stretch>
                        </pic:blipFill>
                        <pic:spPr>
                          <a:xfrm>
                            <a:off x="0" y="0"/>
                            <a:ext cx="1676400" cy="3365500"/>
                          </a:xfrm>
                          <a:prstGeom prst="rect">
                            <a:avLst/>
                          </a:prstGeom>
                          <a:ln/>
                        </pic:spPr>
                      </pic:pic>
                    </a:graphicData>
                  </a:graphic>
                </wp:inline>
              </w:drawing>
            </w:r>
          </w:p>
        </w:tc>
        <w:tc>
          <w:tcPr>
            <w:tcW w:w="243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74F34B6E" w14:textId="77777777" w:rsidR="006C1412" w:rsidRDefault="00000000">
            <w:pPr>
              <w:spacing w:after="240"/>
              <w:rPr>
                <w:color w:val="273540"/>
                <w:sz w:val="20"/>
                <w:szCs w:val="20"/>
              </w:rPr>
            </w:pPr>
            <w:r>
              <w:rPr>
                <w:color w:val="273540"/>
                <w:sz w:val="20"/>
                <w:szCs w:val="20"/>
              </w:rPr>
              <w:t>The field labels "Budget" and "Group Size" were ambiguous. Users were unclear whether "Budget" referred to the total cost or per-person cost, and whether "Group Size" included the event creator.</w:t>
            </w:r>
          </w:p>
        </w:tc>
        <w:tc>
          <w:tcPr>
            <w:tcW w:w="286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34A1BFA9" w14:textId="77777777" w:rsidR="006C1412" w:rsidRDefault="00000000">
            <w:pPr>
              <w:spacing w:after="240"/>
              <w:rPr>
                <w:color w:val="273540"/>
                <w:sz w:val="20"/>
                <w:szCs w:val="20"/>
              </w:rPr>
            </w:pPr>
            <w:r>
              <w:rPr>
                <w:color w:val="273540"/>
                <w:sz w:val="20"/>
                <w:szCs w:val="20"/>
              </w:rPr>
              <w:t>Renamed "Budget" to "Budget/Person" to clarify the per-person cost expectation. Updated "Group Size" to include a hint such as "incl. yourself" to make clear that the creator is counted in the group.</w:t>
            </w:r>
          </w:p>
        </w:tc>
      </w:tr>
      <w:tr w:rsidR="006C1412" w14:paraId="0DC5BB86" w14:textId="77777777">
        <w:trPr>
          <w:trHeight w:val="75"/>
        </w:trPr>
        <w:tc>
          <w:tcPr>
            <w:tcW w:w="168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5ED83429" w14:textId="77777777" w:rsidR="006C1412" w:rsidRDefault="00000000">
            <w:pPr>
              <w:rPr>
                <w:sz w:val="20"/>
                <w:szCs w:val="20"/>
              </w:rPr>
            </w:pPr>
            <w:r>
              <w:rPr>
                <w:sz w:val="20"/>
                <w:szCs w:val="20"/>
              </w:rPr>
              <w:t>Communicate with others in the chatroom - report a user</w:t>
            </w:r>
          </w:p>
        </w:tc>
        <w:tc>
          <w:tcPr>
            <w:tcW w:w="274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2755E97B" w14:textId="77777777" w:rsidR="006C1412" w:rsidRDefault="00000000">
            <w:pPr>
              <w:spacing w:after="240"/>
              <w:jc w:val="both"/>
              <w:rPr>
                <w:color w:val="273540"/>
                <w:sz w:val="20"/>
                <w:szCs w:val="20"/>
              </w:rPr>
            </w:pPr>
            <w:r>
              <w:rPr>
                <w:noProof/>
                <w:color w:val="273540"/>
                <w:sz w:val="20"/>
                <w:szCs w:val="20"/>
              </w:rPr>
              <w:drawing>
                <wp:inline distT="114300" distB="114300" distL="114300" distR="114300" wp14:anchorId="4FDDEFB6" wp14:editId="1041F548">
                  <wp:extent cx="1676400" cy="2082800"/>
                  <wp:effectExtent l="0" t="0" r="0" b="0"/>
                  <wp:docPr id="7"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6"/>
                          <a:srcRect/>
                          <a:stretch>
                            <a:fillRect/>
                          </a:stretch>
                        </pic:blipFill>
                        <pic:spPr>
                          <a:xfrm>
                            <a:off x="0" y="0"/>
                            <a:ext cx="1676400" cy="2082800"/>
                          </a:xfrm>
                          <a:prstGeom prst="rect">
                            <a:avLst/>
                          </a:prstGeom>
                          <a:ln/>
                        </pic:spPr>
                      </pic:pic>
                    </a:graphicData>
                  </a:graphic>
                </wp:inline>
              </w:drawing>
            </w:r>
          </w:p>
        </w:tc>
        <w:tc>
          <w:tcPr>
            <w:tcW w:w="243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25EACC55" w14:textId="77777777" w:rsidR="006C1412" w:rsidRDefault="00000000">
            <w:pPr>
              <w:spacing w:after="240"/>
              <w:rPr>
                <w:color w:val="273540"/>
                <w:sz w:val="20"/>
                <w:szCs w:val="20"/>
              </w:rPr>
            </w:pPr>
            <w:r>
              <w:rPr>
                <w:color w:val="273540"/>
                <w:sz w:val="20"/>
                <w:szCs w:val="20"/>
              </w:rPr>
              <w:t xml:space="preserve">The report interaction lacked flexibility, as users were unable to modify their selected reason once a choice was made. The interface immediately prompted for submission or cancellation, forcing users to exit and restart the process if an error occurred. This rigid workflow hindered </w:t>
            </w:r>
            <w:r>
              <w:rPr>
                <w:b/>
                <w:bCs/>
                <w:color w:val="273540"/>
                <w:sz w:val="20"/>
                <w:szCs w:val="20"/>
              </w:rPr>
              <w:t>efficiency</w:t>
            </w:r>
            <w:r>
              <w:rPr>
                <w:color w:val="273540"/>
                <w:sz w:val="20"/>
                <w:szCs w:val="20"/>
              </w:rPr>
              <w:t xml:space="preserve"> by creating unnecessary navigation barriers during the reporting process.</w:t>
            </w:r>
          </w:p>
        </w:tc>
        <w:tc>
          <w:tcPr>
            <w:tcW w:w="286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3BAD98A5" w14:textId="77777777" w:rsidR="006C1412" w:rsidRDefault="00000000">
            <w:pPr>
              <w:spacing w:after="240"/>
              <w:rPr>
                <w:color w:val="273540"/>
                <w:sz w:val="20"/>
                <w:szCs w:val="20"/>
              </w:rPr>
            </w:pPr>
            <w:r>
              <w:rPr>
                <w:color w:val="273540"/>
                <w:sz w:val="20"/>
                <w:szCs w:val="20"/>
              </w:rPr>
              <w:t xml:space="preserve">The report interaction was updated to allow users to modify their selected reason within the same screen before submission. This adjustment enhances </w:t>
            </w:r>
            <w:r>
              <w:rPr>
                <w:b/>
                <w:bCs/>
                <w:color w:val="273540"/>
                <w:sz w:val="20"/>
                <w:szCs w:val="20"/>
              </w:rPr>
              <w:t>flexibility of use</w:t>
            </w:r>
            <w:r>
              <w:rPr>
                <w:color w:val="273540"/>
                <w:sz w:val="20"/>
                <w:szCs w:val="20"/>
              </w:rPr>
              <w:t xml:space="preserve"> and improves </w:t>
            </w:r>
            <w:r>
              <w:rPr>
                <w:b/>
                <w:bCs/>
                <w:color w:val="273540"/>
                <w:sz w:val="20"/>
                <w:szCs w:val="20"/>
              </w:rPr>
              <w:t>efficiency</w:t>
            </w:r>
            <w:r>
              <w:rPr>
                <w:color w:val="273540"/>
                <w:sz w:val="20"/>
                <w:szCs w:val="20"/>
              </w:rPr>
              <w:t xml:space="preserve"> by removing the need to restart the process if an error occurs.</w:t>
            </w:r>
          </w:p>
        </w:tc>
      </w:tr>
      <w:tr w:rsidR="006C1412" w14:paraId="4A61C677" w14:textId="77777777">
        <w:trPr>
          <w:trHeight w:val="75"/>
        </w:trPr>
        <w:tc>
          <w:tcPr>
            <w:tcW w:w="168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75B7C564" w14:textId="77777777" w:rsidR="006C1412" w:rsidRDefault="00000000">
            <w:pPr>
              <w:rPr>
                <w:sz w:val="20"/>
                <w:szCs w:val="20"/>
              </w:rPr>
            </w:pPr>
            <w:r>
              <w:rPr>
                <w:sz w:val="20"/>
                <w:szCs w:val="20"/>
              </w:rPr>
              <w:lastRenderedPageBreak/>
              <w:t>Communicate with others in the chatroom - view a user by clicking their avatars in the chatroom</w:t>
            </w:r>
          </w:p>
        </w:tc>
        <w:tc>
          <w:tcPr>
            <w:tcW w:w="274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261C72A2" w14:textId="77777777" w:rsidR="006C1412" w:rsidRDefault="00000000">
            <w:pPr>
              <w:spacing w:after="240"/>
              <w:jc w:val="both"/>
              <w:rPr>
                <w:color w:val="273540"/>
                <w:sz w:val="20"/>
                <w:szCs w:val="20"/>
              </w:rPr>
            </w:pPr>
            <w:r>
              <w:rPr>
                <w:noProof/>
                <w:color w:val="273540"/>
                <w:sz w:val="20"/>
                <w:szCs w:val="20"/>
              </w:rPr>
              <w:drawing>
                <wp:inline distT="114300" distB="114300" distL="114300" distR="114300" wp14:anchorId="4D6B8EAB" wp14:editId="324D02D9">
                  <wp:extent cx="1676400" cy="2628900"/>
                  <wp:effectExtent l="0" t="0" r="0" b="0"/>
                  <wp:docPr id="9"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7"/>
                          <a:srcRect/>
                          <a:stretch>
                            <a:fillRect/>
                          </a:stretch>
                        </pic:blipFill>
                        <pic:spPr>
                          <a:xfrm>
                            <a:off x="0" y="0"/>
                            <a:ext cx="1676400" cy="2628900"/>
                          </a:xfrm>
                          <a:prstGeom prst="rect">
                            <a:avLst/>
                          </a:prstGeom>
                          <a:ln/>
                        </pic:spPr>
                      </pic:pic>
                    </a:graphicData>
                  </a:graphic>
                </wp:inline>
              </w:drawing>
            </w:r>
          </w:p>
        </w:tc>
        <w:tc>
          <w:tcPr>
            <w:tcW w:w="243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2C667A82" w14:textId="77777777" w:rsidR="006C1412" w:rsidRDefault="00000000">
            <w:pPr>
              <w:spacing w:after="240"/>
              <w:rPr>
                <w:color w:val="273540"/>
                <w:sz w:val="20"/>
                <w:szCs w:val="20"/>
              </w:rPr>
            </w:pPr>
            <w:r>
              <w:rPr>
                <w:color w:val="273540"/>
                <w:sz w:val="20"/>
                <w:szCs w:val="20"/>
              </w:rPr>
              <w:t xml:space="preserve">Users could view other participants’ profiles by tapping on their </w:t>
            </w:r>
            <w:proofErr w:type="gramStart"/>
            <w:r>
              <w:rPr>
                <w:color w:val="273540"/>
                <w:sz w:val="20"/>
                <w:szCs w:val="20"/>
              </w:rPr>
              <w:t>avatars, but</w:t>
            </w:r>
            <w:proofErr w:type="gramEnd"/>
            <w:r>
              <w:rPr>
                <w:color w:val="273540"/>
                <w:sz w:val="20"/>
                <w:szCs w:val="20"/>
              </w:rPr>
              <w:t xml:space="preserve"> could not access their own profile by tapping on “You.” To view their own information, users had to leave the chatroom and navigate to the profile page, which creates an inconsistent and less efficient experience.</w:t>
            </w:r>
          </w:p>
        </w:tc>
        <w:tc>
          <w:tcPr>
            <w:tcW w:w="286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727695E7" w14:textId="77777777" w:rsidR="006C1412" w:rsidRDefault="00000000">
            <w:pPr>
              <w:spacing w:after="240"/>
              <w:rPr>
                <w:color w:val="273540"/>
                <w:sz w:val="20"/>
                <w:szCs w:val="20"/>
              </w:rPr>
            </w:pPr>
            <w:r>
              <w:rPr>
                <w:color w:val="273540"/>
                <w:sz w:val="20"/>
                <w:szCs w:val="20"/>
              </w:rPr>
              <w:t>Updated the interaction so that tapping on “You” also opens the user’s own profile preview. This improves consistency and allows users to access profile information directly within the chatroom.</w:t>
            </w:r>
          </w:p>
        </w:tc>
      </w:tr>
      <w:tr w:rsidR="006C1412" w14:paraId="401AB451" w14:textId="77777777">
        <w:trPr>
          <w:trHeight w:val="75"/>
        </w:trPr>
        <w:tc>
          <w:tcPr>
            <w:tcW w:w="168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24078D56" w14:textId="77777777" w:rsidR="006C1412" w:rsidRDefault="00000000">
            <w:pPr>
              <w:rPr>
                <w:color w:val="273540"/>
                <w:sz w:val="20"/>
                <w:szCs w:val="20"/>
              </w:rPr>
            </w:pPr>
            <w:r>
              <w:rPr>
                <w:color w:val="273540"/>
                <w:sz w:val="20"/>
                <w:szCs w:val="20"/>
              </w:rPr>
              <w:t>Login and Manage Profile</w:t>
            </w:r>
          </w:p>
        </w:tc>
        <w:tc>
          <w:tcPr>
            <w:tcW w:w="274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50C5E85E" w14:textId="77777777" w:rsidR="006C1412" w:rsidRDefault="00000000">
            <w:pPr>
              <w:spacing w:after="240"/>
              <w:jc w:val="both"/>
              <w:rPr>
                <w:color w:val="273540"/>
                <w:sz w:val="20"/>
                <w:szCs w:val="20"/>
              </w:rPr>
            </w:pPr>
            <w:r>
              <w:rPr>
                <w:noProof/>
                <w:color w:val="273540"/>
                <w:sz w:val="20"/>
                <w:szCs w:val="20"/>
              </w:rPr>
              <w:drawing>
                <wp:inline distT="114300" distB="114300" distL="114300" distR="114300" wp14:anchorId="4F7318AC" wp14:editId="0D865029">
                  <wp:extent cx="1676400" cy="1727200"/>
                  <wp:effectExtent l="0" t="0" r="0" b="0"/>
                  <wp:docPr id="6"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8"/>
                          <a:srcRect/>
                          <a:stretch>
                            <a:fillRect/>
                          </a:stretch>
                        </pic:blipFill>
                        <pic:spPr>
                          <a:xfrm>
                            <a:off x="0" y="0"/>
                            <a:ext cx="1676400" cy="1727200"/>
                          </a:xfrm>
                          <a:prstGeom prst="rect">
                            <a:avLst/>
                          </a:prstGeom>
                          <a:ln/>
                        </pic:spPr>
                      </pic:pic>
                    </a:graphicData>
                  </a:graphic>
                </wp:inline>
              </w:drawing>
            </w:r>
          </w:p>
        </w:tc>
        <w:tc>
          <w:tcPr>
            <w:tcW w:w="243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53704CF7" w14:textId="77777777" w:rsidR="006C1412" w:rsidRDefault="00000000">
            <w:pPr>
              <w:spacing w:after="240"/>
              <w:rPr>
                <w:color w:val="273540"/>
                <w:sz w:val="20"/>
                <w:szCs w:val="20"/>
              </w:rPr>
            </w:pPr>
            <w:r>
              <w:rPr>
                <w:color w:val="273540"/>
                <w:sz w:val="20"/>
                <w:szCs w:val="20"/>
              </w:rPr>
              <w:t>Some screens still needed high-fidelity visual refinement. In particular, the confirmation screens and selected states needed to be more visually polished so users could clearly recognize completed actions and current selections.</w:t>
            </w:r>
          </w:p>
        </w:tc>
        <w:tc>
          <w:tcPr>
            <w:tcW w:w="286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16459260" w14:textId="77777777" w:rsidR="006C1412" w:rsidRDefault="00000000">
            <w:pPr>
              <w:spacing w:after="240"/>
              <w:rPr>
                <w:color w:val="273540"/>
                <w:sz w:val="20"/>
                <w:szCs w:val="20"/>
              </w:rPr>
            </w:pPr>
            <w:r>
              <w:rPr>
                <w:color w:val="273540"/>
                <w:sz w:val="20"/>
                <w:szCs w:val="20"/>
              </w:rPr>
              <w:t>The confirmation screens were redesigned with a clearer card layout, a subtle highlight background. This makes the end of each task easier to recognize, such as after resetting a password, saving profile changes, or selecting a subscription plan.</w:t>
            </w:r>
          </w:p>
          <w:p w14:paraId="060D1CE8" w14:textId="77777777" w:rsidR="006C1412" w:rsidRDefault="006C1412">
            <w:pPr>
              <w:spacing w:after="240"/>
              <w:rPr>
                <w:color w:val="273540"/>
                <w:sz w:val="20"/>
                <w:szCs w:val="20"/>
              </w:rPr>
            </w:pPr>
          </w:p>
        </w:tc>
      </w:tr>
      <w:tr w:rsidR="006C1412" w14:paraId="02566F93" w14:textId="77777777">
        <w:trPr>
          <w:trHeight w:val="75"/>
        </w:trPr>
        <w:tc>
          <w:tcPr>
            <w:tcW w:w="168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5B845E91" w14:textId="77777777" w:rsidR="006C1412" w:rsidRDefault="00000000">
            <w:pPr>
              <w:rPr>
                <w:color w:val="273540"/>
                <w:sz w:val="20"/>
                <w:szCs w:val="20"/>
              </w:rPr>
            </w:pPr>
            <w:r>
              <w:rPr>
                <w:color w:val="273540"/>
                <w:sz w:val="20"/>
                <w:szCs w:val="20"/>
              </w:rPr>
              <w:t>View Participants / View User Profile</w:t>
            </w:r>
          </w:p>
        </w:tc>
        <w:tc>
          <w:tcPr>
            <w:tcW w:w="274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002CC409" w14:textId="77777777" w:rsidR="006C1412" w:rsidRDefault="00000000">
            <w:pPr>
              <w:spacing w:after="240"/>
              <w:jc w:val="both"/>
              <w:rPr>
                <w:color w:val="273540"/>
                <w:sz w:val="20"/>
                <w:szCs w:val="20"/>
              </w:rPr>
            </w:pPr>
            <w:r>
              <w:rPr>
                <w:noProof/>
                <w:color w:val="273540"/>
                <w:sz w:val="20"/>
                <w:szCs w:val="20"/>
              </w:rPr>
              <w:drawing>
                <wp:inline distT="114300" distB="114300" distL="114300" distR="114300" wp14:anchorId="74BDE7EB" wp14:editId="347716F6">
                  <wp:extent cx="1685925" cy="800100"/>
                  <wp:effectExtent l="0" t="0" r="0" b="0"/>
                  <wp:docPr id="1"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9"/>
                          <a:srcRect/>
                          <a:stretch>
                            <a:fillRect/>
                          </a:stretch>
                        </pic:blipFill>
                        <pic:spPr>
                          <a:xfrm>
                            <a:off x="0" y="0"/>
                            <a:ext cx="1685925" cy="800100"/>
                          </a:xfrm>
                          <a:prstGeom prst="rect">
                            <a:avLst/>
                          </a:prstGeom>
                          <a:ln/>
                        </pic:spPr>
                      </pic:pic>
                    </a:graphicData>
                  </a:graphic>
                </wp:inline>
              </w:drawing>
            </w:r>
          </w:p>
        </w:tc>
        <w:tc>
          <w:tcPr>
            <w:tcW w:w="243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50693B33" w14:textId="77777777" w:rsidR="006C1412" w:rsidRDefault="00000000">
            <w:pPr>
              <w:spacing w:before="240" w:after="240"/>
              <w:rPr>
                <w:color w:val="273540"/>
                <w:sz w:val="20"/>
                <w:szCs w:val="20"/>
              </w:rPr>
            </w:pPr>
            <w:r>
              <w:rPr>
                <w:color w:val="273540"/>
                <w:sz w:val="20"/>
                <w:szCs w:val="20"/>
              </w:rPr>
              <w:t>Users could not easily view participant information. Previously, only part of the participant list was clickable. For example, if there were four users, sometimes only the first one could be clicked. Also, participant avatars were missing, which made the interface less clear.</w:t>
            </w:r>
          </w:p>
          <w:p w14:paraId="7010FAA1" w14:textId="77777777" w:rsidR="006C1412" w:rsidRDefault="006C1412">
            <w:pPr>
              <w:spacing w:after="240"/>
              <w:rPr>
                <w:color w:val="273540"/>
                <w:sz w:val="20"/>
                <w:szCs w:val="20"/>
              </w:rPr>
            </w:pPr>
          </w:p>
        </w:tc>
        <w:tc>
          <w:tcPr>
            <w:tcW w:w="286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566BD851" w14:textId="77777777" w:rsidR="006C1412" w:rsidRDefault="00000000">
            <w:pPr>
              <w:spacing w:after="240"/>
              <w:rPr>
                <w:color w:val="273540"/>
                <w:sz w:val="20"/>
                <w:szCs w:val="20"/>
              </w:rPr>
            </w:pPr>
            <w:r>
              <w:rPr>
                <w:color w:val="273540"/>
                <w:sz w:val="20"/>
                <w:szCs w:val="20"/>
              </w:rPr>
              <w:t>Add avatars for all participants and make every participant in the list clickable, so users can view each person’s profile more easily.</w:t>
            </w:r>
          </w:p>
        </w:tc>
      </w:tr>
    </w:tbl>
    <w:p w14:paraId="49030D34" w14:textId="77777777" w:rsidR="006C1412" w:rsidRDefault="006C1412">
      <w:pPr>
        <w:spacing w:after="240"/>
        <w:jc w:val="both"/>
        <w:rPr>
          <w:b/>
          <w:bCs/>
          <w:color w:val="3B3838"/>
          <w:sz w:val="20"/>
          <w:szCs w:val="20"/>
        </w:rPr>
      </w:pPr>
    </w:p>
    <w:sectPr w:rsidR="006C1412">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embedRegular r:id="rId1" w:fontKey="{B17B6FC8-670C-EB44-9D82-A949758605A9}"/>
  </w:font>
  <w:font w:name="Arial">
    <w:panose1 w:val="020B0604020202020204"/>
    <w:charset w:val="00"/>
    <w:family w:val="swiss"/>
    <w:pitch w:val="variable"/>
    <w:sig w:usb0="E0002AFF" w:usb1="C0007843" w:usb2="00000009" w:usb3="00000000" w:csb0="000001FF" w:csb1="00000000"/>
    <w:embedRegular r:id="rId2" w:fontKey="{C1979150-DAB9-384A-BA7F-FB622D1FFBA1}"/>
    <w:embedBold r:id="rId3" w:fontKey="{D84BECB0-ABB1-3646-BBD0-8485E5E0A7C0}"/>
    <w:embedItalic r:id="rId4" w:fontKey="{0FE40368-FE54-994D-B7DA-10F0363397E7}"/>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0002AFF" w:usb1="C000247B" w:usb2="00000009" w:usb3="00000000" w:csb0="000001FF" w:csb1="00000000"/>
    <w:embedRegular r:id="rId5" w:fontKey="{7740066A-2803-1044-94F4-ECE8F75F24CA}"/>
  </w:font>
  <w:font w:name="Cambria">
    <w:panose1 w:val="02040503050406030204"/>
    <w:charset w:val="00"/>
    <w:family w:val="roman"/>
    <w:pitch w:val="variable"/>
    <w:sig w:usb0="E00002FF" w:usb1="400004FF" w:usb2="00000000" w:usb3="00000000" w:csb0="0000019F" w:csb1="00000000"/>
    <w:embedRegular r:id="rId6" w:fontKey="{AB100C39-52C4-CE4D-967C-EB0651AF7855}"/>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D53BB5"/>
    <w:multiLevelType w:val="multilevel"/>
    <w:tmpl w:val="C36C95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5FC34C4"/>
    <w:multiLevelType w:val="multilevel"/>
    <w:tmpl w:val="E794BA6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6354DA1"/>
    <w:multiLevelType w:val="multilevel"/>
    <w:tmpl w:val="B31A91B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18EE06DC"/>
    <w:multiLevelType w:val="multilevel"/>
    <w:tmpl w:val="D2A0CF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19C97776"/>
    <w:multiLevelType w:val="multilevel"/>
    <w:tmpl w:val="58E608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255B3FAC"/>
    <w:multiLevelType w:val="multilevel"/>
    <w:tmpl w:val="F05ED7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27260D65"/>
    <w:multiLevelType w:val="multilevel"/>
    <w:tmpl w:val="3F74BEC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274C47DB"/>
    <w:multiLevelType w:val="multilevel"/>
    <w:tmpl w:val="A8B8440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2C8C31FC"/>
    <w:multiLevelType w:val="multilevel"/>
    <w:tmpl w:val="9FFAAF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2DDD2C85"/>
    <w:multiLevelType w:val="multilevel"/>
    <w:tmpl w:val="3142FC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2E8C7F15"/>
    <w:multiLevelType w:val="multilevel"/>
    <w:tmpl w:val="50AE9B4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3A3672C7"/>
    <w:multiLevelType w:val="multilevel"/>
    <w:tmpl w:val="31341CD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3FC10385"/>
    <w:multiLevelType w:val="multilevel"/>
    <w:tmpl w:val="5C6AB8B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43F419A9"/>
    <w:multiLevelType w:val="multilevel"/>
    <w:tmpl w:val="39F2545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45686454"/>
    <w:multiLevelType w:val="multilevel"/>
    <w:tmpl w:val="72D4CFC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459369C6"/>
    <w:multiLevelType w:val="multilevel"/>
    <w:tmpl w:val="471A107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4CF50EA6"/>
    <w:multiLevelType w:val="multilevel"/>
    <w:tmpl w:val="6DF81CD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4E8511CF"/>
    <w:multiLevelType w:val="multilevel"/>
    <w:tmpl w:val="C1C09B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5644423E"/>
    <w:multiLevelType w:val="multilevel"/>
    <w:tmpl w:val="0188FE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15:restartNumberingAfterBreak="0">
    <w:nsid w:val="58FD2369"/>
    <w:multiLevelType w:val="multilevel"/>
    <w:tmpl w:val="52E0CE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15:restartNumberingAfterBreak="0">
    <w:nsid w:val="5AD44046"/>
    <w:multiLevelType w:val="multilevel"/>
    <w:tmpl w:val="F988971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15:restartNumberingAfterBreak="0">
    <w:nsid w:val="6331211B"/>
    <w:multiLevelType w:val="multilevel"/>
    <w:tmpl w:val="794A9BA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15:restartNumberingAfterBreak="0">
    <w:nsid w:val="642D5561"/>
    <w:multiLevelType w:val="multilevel"/>
    <w:tmpl w:val="4F1C7BD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15:restartNumberingAfterBreak="0">
    <w:nsid w:val="645F4B28"/>
    <w:multiLevelType w:val="multilevel"/>
    <w:tmpl w:val="0240CF5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15:restartNumberingAfterBreak="0">
    <w:nsid w:val="65006A67"/>
    <w:multiLevelType w:val="multilevel"/>
    <w:tmpl w:val="9C086F8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15:restartNumberingAfterBreak="0">
    <w:nsid w:val="65762F30"/>
    <w:multiLevelType w:val="multilevel"/>
    <w:tmpl w:val="106414B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15:restartNumberingAfterBreak="0">
    <w:nsid w:val="671F6735"/>
    <w:multiLevelType w:val="multilevel"/>
    <w:tmpl w:val="45C616C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15:restartNumberingAfterBreak="0">
    <w:nsid w:val="6A5B719A"/>
    <w:multiLevelType w:val="multilevel"/>
    <w:tmpl w:val="EF7609A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15:restartNumberingAfterBreak="0">
    <w:nsid w:val="7B7A389F"/>
    <w:multiLevelType w:val="multilevel"/>
    <w:tmpl w:val="D084F0C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532918854">
    <w:abstractNumId w:val="5"/>
  </w:num>
  <w:num w:numId="2" w16cid:durableId="1043095293">
    <w:abstractNumId w:val="20"/>
  </w:num>
  <w:num w:numId="3" w16cid:durableId="690493238">
    <w:abstractNumId w:val="10"/>
  </w:num>
  <w:num w:numId="4" w16cid:durableId="1989433934">
    <w:abstractNumId w:val="2"/>
  </w:num>
  <w:num w:numId="5" w16cid:durableId="797989011">
    <w:abstractNumId w:val="4"/>
  </w:num>
  <w:num w:numId="6" w16cid:durableId="1882328050">
    <w:abstractNumId w:val="13"/>
  </w:num>
  <w:num w:numId="7" w16cid:durableId="1291399855">
    <w:abstractNumId w:val="15"/>
  </w:num>
  <w:num w:numId="8" w16cid:durableId="1305817763">
    <w:abstractNumId w:val="14"/>
  </w:num>
  <w:num w:numId="9" w16cid:durableId="264118743">
    <w:abstractNumId w:val="3"/>
  </w:num>
  <w:num w:numId="10" w16cid:durableId="746415016">
    <w:abstractNumId w:val="21"/>
  </w:num>
  <w:num w:numId="11" w16cid:durableId="1561137776">
    <w:abstractNumId w:val="28"/>
  </w:num>
  <w:num w:numId="12" w16cid:durableId="533079057">
    <w:abstractNumId w:val="16"/>
  </w:num>
  <w:num w:numId="13" w16cid:durableId="1166213279">
    <w:abstractNumId w:val="26"/>
  </w:num>
  <w:num w:numId="14" w16cid:durableId="1246961578">
    <w:abstractNumId w:val="8"/>
  </w:num>
  <w:num w:numId="15" w16cid:durableId="2026517054">
    <w:abstractNumId w:val="0"/>
  </w:num>
  <w:num w:numId="16" w16cid:durableId="926234560">
    <w:abstractNumId w:val="24"/>
  </w:num>
  <w:num w:numId="17" w16cid:durableId="579827369">
    <w:abstractNumId w:val="22"/>
  </w:num>
  <w:num w:numId="18" w16cid:durableId="2130128815">
    <w:abstractNumId w:val="25"/>
  </w:num>
  <w:num w:numId="19" w16cid:durableId="79110126">
    <w:abstractNumId w:val="6"/>
  </w:num>
  <w:num w:numId="20" w16cid:durableId="1324817294">
    <w:abstractNumId w:val="27"/>
  </w:num>
  <w:num w:numId="21" w16cid:durableId="647900653">
    <w:abstractNumId w:val="7"/>
  </w:num>
  <w:num w:numId="22" w16cid:durableId="1674406551">
    <w:abstractNumId w:val="19"/>
  </w:num>
  <w:num w:numId="23" w16cid:durableId="875315329">
    <w:abstractNumId w:val="18"/>
  </w:num>
  <w:num w:numId="24" w16cid:durableId="625698651">
    <w:abstractNumId w:val="17"/>
  </w:num>
  <w:num w:numId="25" w16cid:durableId="1863324163">
    <w:abstractNumId w:val="11"/>
  </w:num>
  <w:num w:numId="26" w16cid:durableId="1642346724">
    <w:abstractNumId w:val="1"/>
  </w:num>
  <w:num w:numId="27" w16cid:durableId="1211265561">
    <w:abstractNumId w:val="9"/>
  </w:num>
  <w:num w:numId="28" w16cid:durableId="563414732">
    <w:abstractNumId w:val="23"/>
  </w:num>
  <w:num w:numId="29" w16cid:durableId="1457218667">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6"/>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C1412"/>
    <w:rsid w:val="00464B32"/>
    <w:rsid w:val="005854A4"/>
    <w:rsid w:val="006C141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416FEB5D"/>
  <w15:docId w15:val="{69A4A269-04DC-8342-AF65-F2E0C649A9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 w:eastAsia="zh-C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tcPr>
      <w:shd w:val="clear" w:color="auto" w:fill="FFFFFF"/>
    </w:tcPr>
  </w:style>
  <w:style w:type="table" w:customStyle="1" w:styleId="a0">
    <w:basedOn w:val="TableNormal0"/>
    <w:tblPr>
      <w:tblStyleRowBandSize w:val="1"/>
      <w:tblStyleColBandSize w:val="1"/>
    </w:tblPr>
    <w:tcPr>
      <w:shd w:val="clear" w:color="auto" w:fill="FFFFFF"/>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2</Pages>
  <Words>407</Words>
  <Characters>2326</Characters>
  <Application>Microsoft Office Word</Application>
  <DocSecurity>0</DocSecurity>
  <Lines>19</Lines>
  <Paragraphs>5</Paragraphs>
  <ScaleCrop>false</ScaleCrop>
  <Company/>
  <LinksUpToDate>false</LinksUpToDate>
  <CharactersWithSpaces>2728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Zoey Ai</cp:lastModifiedBy>
  <cp:revision>3</cp:revision>
  <dcterms:created xsi:type="dcterms:W3CDTF">2026-04-22T00:45:00Z</dcterms:created>
  <dcterms:modified xsi:type="dcterms:W3CDTF">2026-04-22T00:46:00Z</dcterms:modified>
</cp:coreProperties>
</file>