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0"/>
        <w:tblW w:w="961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680"/>
        <w:gridCol w:w="2730"/>
        <w:gridCol w:w="2445"/>
        <w:gridCol w:w="2760"/>
      </w:tblGrid>
      <w:tr w:rsidR="009B515D" w14:paraId="7DD62F93" w14:textId="77777777">
        <w:trPr>
          <w:trHeight w:val="720"/>
        </w:trPr>
        <w:tc>
          <w:tcPr>
            <w:tcW w:w="16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1469B52" w14:textId="77777777" w:rsidR="009B515D" w:rsidRDefault="00000000">
            <w:pPr>
              <w:spacing w:line="240" w:lineRule="auto"/>
              <w:jc w:val="center"/>
              <w:rPr>
                <w:sz w:val="20"/>
                <w:szCs w:val="20"/>
              </w:rPr>
            </w:pPr>
            <w:r>
              <w:rPr>
                <w:sz w:val="20"/>
                <w:szCs w:val="20"/>
              </w:rPr>
              <w:t>Event Task</w:t>
            </w:r>
          </w:p>
        </w:tc>
        <w:tc>
          <w:tcPr>
            <w:tcW w:w="27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CC18C1B" w14:textId="77777777" w:rsidR="009B515D" w:rsidRDefault="00000000">
            <w:pPr>
              <w:spacing w:line="240" w:lineRule="auto"/>
              <w:jc w:val="center"/>
              <w:rPr>
                <w:sz w:val="20"/>
                <w:szCs w:val="20"/>
              </w:rPr>
            </w:pPr>
            <w:r>
              <w:rPr>
                <w:sz w:val="20"/>
                <w:szCs w:val="20"/>
              </w:rPr>
              <w:t>Screenshot of the relevant screen</w:t>
            </w:r>
          </w:p>
        </w:tc>
        <w:tc>
          <w:tcPr>
            <w:tcW w:w="24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828B043" w14:textId="77777777" w:rsidR="009B515D" w:rsidRDefault="00000000">
            <w:pPr>
              <w:spacing w:line="240" w:lineRule="auto"/>
              <w:jc w:val="center"/>
              <w:rPr>
                <w:sz w:val="20"/>
                <w:szCs w:val="20"/>
              </w:rPr>
            </w:pPr>
            <w:r>
              <w:rPr>
                <w:sz w:val="20"/>
                <w:szCs w:val="20"/>
              </w:rPr>
              <w:t>Issue</w:t>
            </w:r>
          </w:p>
        </w:tc>
        <w:tc>
          <w:tcPr>
            <w:tcW w:w="27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BFEECFA" w14:textId="77777777" w:rsidR="009B515D" w:rsidRDefault="00000000">
            <w:pPr>
              <w:spacing w:line="240" w:lineRule="auto"/>
              <w:jc w:val="center"/>
              <w:rPr>
                <w:sz w:val="20"/>
                <w:szCs w:val="20"/>
              </w:rPr>
            </w:pPr>
            <w:r>
              <w:rPr>
                <w:sz w:val="20"/>
                <w:szCs w:val="20"/>
              </w:rPr>
              <w:t>Recommendations</w:t>
            </w:r>
          </w:p>
        </w:tc>
      </w:tr>
      <w:tr w:rsidR="009B515D" w14:paraId="7A9D7700" w14:textId="77777777">
        <w:trPr>
          <w:trHeight w:val="75"/>
        </w:trPr>
        <w:tc>
          <w:tcPr>
            <w:tcW w:w="16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CEC04E1" w14:textId="77777777" w:rsidR="009B515D" w:rsidRDefault="00000000">
            <w:pPr>
              <w:rPr>
                <w:color w:val="273540"/>
                <w:sz w:val="20"/>
                <w:szCs w:val="20"/>
              </w:rPr>
            </w:pPr>
            <w:r>
              <w:rPr>
                <w:color w:val="273540"/>
                <w:sz w:val="20"/>
                <w:szCs w:val="20"/>
              </w:rPr>
              <w:t>Cancel and Edit Event - accessed from Event detail page</w:t>
            </w:r>
          </w:p>
        </w:tc>
        <w:tc>
          <w:tcPr>
            <w:tcW w:w="27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583E390" w14:textId="77777777" w:rsidR="009B515D" w:rsidRDefault="00000000">
            <w:pPr>
              <w:spacing w:after="240"/>
              <w:jc w:val="both"/>
              <w:rPr>
                <w:color w:val="273540"/>
                <w:sz w:val="20"/>
                <w:szCs w:val="20"/>
              </w:rPr>
            </w:pPr>
            <w:r>
              <w:rPr>
                <w:noProof/>
                <w:color w:val="273540"/>
                <w:sz w:val="20"/>
                <w:szCs w:val="20"/>
              </w:rPr>
              <w:drawing>
                <wp:inline distT="114300" distB="114300" distL="114300" distR="114300" wp14:anchorId="1D8BEB8E" wp14:editId="1BD85D83">
                  <wp:extent cx="1676400" cy="3416300"/>
                  <wp:effectExtent l="0" t="0" r="0" b="0"/>
                  <wp:docPr id="2" name="image7.png" descr="&lt; &#10;Ding Tai Feng &#10;Restaurant &#10;Ding Tai Feng &#10;Location &#10;3456 ABC Ave &#10;Seattle, WA 98100 &#10;Time &#10;Mar 11 . 11:00 AM &#10;Budget &#10;$25-40 &#10;Participants &#10;18 &#10;Open Chatroom "/>
                  <wp:cNvGraphicFramePr/>
                  <a:graphic xmlns:a="http://schemas.openxmlformats.org/drawingml/2006/main">
                    <a:graphicData uri="http://schemas.openxmlformats.org/drawingml/2006/picture">
                      <pic:pic xmlns:pic="http://schemas.openxmlformats.org/drawingml/2006/picture">
                        <pic:nvPicPr>
                          <pic:cNvPr id="0" name="image7.png" descr="&lt; &#10;Ding Tai Feng &#10;Restaurant &#10;Ding Tai Feng &#10;Location &#10;3456 ABC Ave &#10;Seattle, WA 98100 &#10;Time &#10;Mar 11 . 11:00 AM &#10;Budget &#10;$25-40 &#10;Participants &#10;18 &#10;Open Chatroom "/>
                          <pic:cNvPicPr preferRelativeResize="0"/>
                        </pic:nvPicPr>
                        <pic:blipFill>
                          <a:blip r:embed="rId5"/>
                          <a:srcRect/>
                          <a:stretch>
                            <a:fillRect/>
                          </a:stretch>
                        </pic:blipFill>
                        <pic:spPr>
                          <a:xfrm>
                            <a:off x="0" y="0"/>
                            <a:ext cx="1676400" cy="3416300"/>
                          </a:xfrm>
                          <a:prstGeom prst="rect">
                            <a:avLst/>
                          </a:prstGeom>
                          <a:ln/>
                        </pic:spPr>
                      </pic:pic>
                    </a:graphicData>
                  </a:graphic>
                </wp:inline>
              </w:drawing>
            </w:r>
          </w:p>
        </w:tc>
        <w:tc>
          <w:tcPr>
            <w:tcW w:w="24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FBDCB27" w14:textId="77777777" w:rsidR="009B515D" w:rsidRDefault="00000000">
            <w:pPr>
              <w:spacing w:after="240"/>
              <w:rPr>
                <w:color w:val="273540"/>
                <w:sz w:val="20"/>
                <w:szCs w:val="20"/>
              </w:rPr>
            </w:pPr>
            <w:r>
              <w:rPr>
                <w:color w:val="273540"/>
                <w:sz w:val="20"/>
                <w:szCs w:val="20"/>
              </w:rPr>
              <w:t xml:space="preserve">Users who navigated to an event detail page directly from the </w:t>
            </w:r>
            <w:proofErr w:type="gramStart"/>
            <w:r>
              <w:rPr>
                <w:color w:val="273540"/>
                <w:sz w:val="20"/>
                <w:szCs w:val="20"/>
              </w:rPr>
              <w:t>Home</w:t>
            </w:r>
            <w:proofErr w:type="gramEnd"/>
            <w:r>
              <w:rPr>
                <w:color w:val="273540"/>
                <w:sz w:val="20"/>
                <w:szCs w:val="20"/>
              </w:rPr>
              <w:t xml:space="preserve"> screen had no way to cancel or edit the event from that page, they had to go to My Events to find those actions. This limits </w:t>
            </w:r>
            <w:r>
              <w:rPr>
                <w:b/>
                <w:bCs/>
                <w:color w:val="273540"/>
                <w:sz w:val="20"/>
                <w:szCs w:val="20"/>
              </w:rPr>
              <w:t>flexibility of use</w:t>
            </w:r>
            <w:r>
              <w:rPr>
                <w:color w:val="273540"/>
                <w:sz w:val="20"/>
                <w:szCs w:val="20"/>
              </w:rPr>
              <w:t>, as the same function requires different navigation paths depending on entry point.</w:t>
            </w:r>
          </w:p>
        </w:tc>
        <w:tc>
          <w:tcPr>
            <w:tcW w:w="27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F2767B7" w14:textId="77777777" w:rsidR="009B515D" w:rsidRDefault="00000000">
            <w:pPr>
              <w:spacing w:after="240"/>
              <w:rPr>
                <w:color w:val="273540"/>
                <w:sz w:val="20"/>
                <w:szCs w:val="20"/>
              </w:rPr>
            </w:pPr>
            <w:r>
              <w:rPr>
                <w:color w:val="273540"/>
                <w:sz w:val="20"/>
                <w:szCs w:val="20"/>
              </w:rPr>
              <w:t>Add Cancel and Edit buttons directly on the event detail page, so users can manage their event regardless of how they accessed it.</w:t>
            </w:r>
          </w:p>
          <w:p w14:paraId="65C2BB6F" w14:textId="77777777" w:rsidR="009B515D" w:rsidRDefault="009B515D">
            <w:pPr>
              <w:spacing w:after="240"/>
              <w:rPr>
                <w:color w:val="273540"/>
                <w:sz w:val="20"/>
                <w:szCs w:val="20"/>
              </w:rPr>
            </w:pPr>
          </w:p>
        </w:tc>
      </w:tr>
      <w:tr w:rsidR="009B515D" w14:paraId="2B744E1B" w14:textId="77777777">
        <w:trPr>
          <w:trHeight w:val="75"/>
        </w:trPr>
        <w:tc>
          <w:tcPr>
            <w:tcW w:w="16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5EB2780" w14:textId="77777777" w:rsidR="009B515D" w:rsidRDefault="00000000">
            <w:pPr>
              <w:rPr>
                <w:color w:val="273540"/>
                <w:sz w:val="20"/>
                <w:szCs w:val="20"/>
              </w:rPr>
            </w:pPr>
            <w:r>
              <w:rPr>
                <w:color w:val="273540"/>
                <w:sz w:val="20"/>
                <w:szCs w:val="20"/>
              </w:rPr>
              <w:t>View Event details</w:t>
            </w:r>
          </w:p>
        </w:tc>
        <w:tc>
          <w:tcPr>
            <w:tcW w:w="27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9570D94" w14:textId="77777777" w:rsidR="009B515D" w:rsidRDefault="00000000">
            <w:pPr>
              <w:spacing w:after="240"/>
              <w:jc w:val="both"/>
              <w:rPr>
                <w:color w:val="273540"/>
                <w:sz w:val="20"/>
                <w:szCs w:val="20"/>
              </w:rPr>
            </w:pPr>
            <w:r>
              <w:rPr>
                <w:noProof/>
                <w:color w:val="273540"/>
                <w:sz w:val="20"/>
                <w:szCs w:val="20"/>
              </w:rPr>
              <w:drawing>
                <wp:inline distT="114300" distB="114300" distL="114300" distR="114300" wp14:anchorId="56882389" wp14:editId="3FC81A68">
                  <wp:extent cx="1676400" cy="698500"/>
                  <wp:effectExtent l="0" t="0" r="0" b="0"/>
                  <wp:docPr id="3" name="image1.png" descr="Ding Tai Feng &#10;Downtown . Mar 11 .11:00 AM &#10;4/4 people &#10;&gt; &#10;$25-40 "/>
                  <wp:cNvGraphicFramePr/>
                  <a:graphic xmlns:a="http://schemas.openxmlformats.org/drawingml/2006/main">
                    <a:graphicData uri="http://schemas.openxmlformats.org/drawingml/2006/picture">
                      <pic:pic xmlns:pic="http://schemas.openxmlformats.org/drawingml/2006/picture">
                        <pic:nvPicPr>
                          <pic:cNvPr id="0" name="image1.png" descr="Ding Tai Feng &#10;Downtown . Mar 11 .11:00 AM &#10;4/4 people &#10;&gt; &#10;$25-40 "/>
                          <pic:cNvPicPr preferRelativeResize="0"/>
                        </pic:nvPicPr>
                        <pic:blipFill>
                          <a:blip r:embed="rId6"/>
                          <a:srcRect/>
                          <a:stretch>
                            <a:fillRect/>
                          </a:stretch>
                        </pic:blipFill>
                        <pic:spPr>
                          <a:xfrm>
                            <a:off x="0" y="0"/>
                            <a:ext cx="1676400" cy="698500"/>
                          </a:xfrm>
                          <a:prstGeom prst="rect">
                            <a:avLst/>
                          </a:prstGeom>
                          <a:ln/>
                        </pic:spPr>
                      </pic:pic>
                    </a:graphicData>
                  </a:graphic>
                </wp:inline>
              </w:drawing>
            </w:r>
          </w:p>
        </w:tc>
        <w:tc>
          <w:tcPr>
            <w:tcW w:w="24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BB0A376" w14:textId="77777777" w:rsidR="009B515D" w:rsidRDefault="00000000">
            <w:pPr>
              <w:spacing w:after="240"/>
              <w:rPr>
                <w:color w:val="273540"/>
                <w:sz w:val="20"/>
                <w:szCs w:val="20"/>
              </w:rPr>
            </w:pPr>
            <w:r>
              <w:rPr>
                <w:color w:val="273540"/>
                <w:sz w:val="20"/>
                <w:szCs w:val="20"/>
              </w:rPr>
              <w:t xml:space="preserve">The only tappable area to enter an event was a small "&gt;" button on the right side of the card. The limited tap target reduces </w:t>
            </w:r>
            <w:r>
              <w:rPr>
                <w:b/>
                <w:bCs/>
                <w:color w:val="273540"/>
                <w:sz w:val="20"/>
                <w:szCs w:val="20"/>
              </w:rPr>
              <w:t>efficiency</w:t>
            </w:r>
            <w:r>
              <w:rPr>
                <w:color w:val="273540"/>
                <w:sz w:val="20"/>
                <w:szCs w:val="20"/>
              </w:rPr>
              <w:t xml:space="preserve"> and conflicts with the </w:t>
            </w:r>
            <w:r>
              <w:rPr>
                <w:b/>
                <w:bCs/>
                <w:color w:val="273540"/>
                <w:sz w:val="20"/>
                <w:szCs w:val="20"/>
              </w:rPr>
              <w:t>proximity</w:t>
            </w:r>
            <w:r>
              <w:rPr>
                <w:color w:val="273540"/>
                <w:sz w:val="20"/>
                <w:szCs w:val="20"/>
              </w:rPr>
              <w:t xml:space="preserve"> principle, the action trigger is visually separated from the content it relates to.</w:t>
            </w:r>
          </w:p>
        </w:tc>
        <w:tc>
          <w:tcPr>
            <w:tcW w:w="27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27B9E4B" w14:textId="77777777" w:rsidR="009B515D" w:rsidRDefault="00000000">
            <w:pPr>
              <w:spacing w:after="240"/>
              <w:rPr>
                <w:color w:val="273540"/>
                <w:sz w:val="20"/>
                <w:szCs w:val="20"/>
              </w:rPr>
            </w:pPr>
            <w:r>
              <w:rPr>
                <w:color w:val="273540"/>
                <w:sz w:val="20"/>
                <w:szCs w:val="20"/>
              </w:rPr>
              <w:t xml:space="preserve">Retain the "&gt;" indicator as a visual </w:t>
            </w:r>
            <w:proofErr w:type="gramStart"/>
            <w:r>
              <w:rPr>
                <w:color w:val="273540"/>
                <w:sz w:val="20"/>
                <w:szCs w:val="20"/>
              </w:rPr>
              <w:t>cue, but</w:t>
            </w:r>
            <w:proofErr w:type="gramEnd"/>
            <w:r>
              <w:rPr>
                <w:color w:val="273540"/>
                <w:sz w:val="20"/>
                <w:szCs w:val="20"/>
              </w:rPr>
              <w:t xml:space="preserve"> expand the entire event card as the tappable area, making navigation more intuitive and accessible.</w:t>
            </w:r>
          </w:p>
        </w:tc>
      </w:tr>
      <w:tr w:rsidR="009B515D" w14:paraId="6C8E0C08" w14:textId="77777777">
        <w:trPr>
          <w:trHeight w:val="75"/>
        </w:trPr>
        <w:tc>
          <w:tcPr>
            <w:tcW w:w="16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7E537C1" w14:textId="77777777" w:rsidR="009B515D" w:rsidRDefault="00000000">
            <w:pPr>
              <w:rPr>
                <w:color w:val="273540"/>
                <w:sz w:val="20"/>
                <w:szCs w:val="20"/>
              </w:rPr>
            </w:pPr>
            <w:r>
              <w:rPr>
                <w:color w:val="273540"/>
                <w:sz w:val="20"/>
                <w:szCs w:val="20"/>
              </w:rPr>
              <w:lastRenderedPageBreak/>
              <w:t xml:space="preserve">Communicate with others in the chatroom - send a message </w:t>
            </w:r>
          </w:p>
        </w:tc>
        <w:tc>
          <w:tcPr>
            <w:tcW w:w="27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F98A7B4" w14:textId="77777777" w:rsidR="009B515D" w:rsidRDefault="00000000">
            <w:pPr>
              <w:spacing w:after="240"/>
              <w:jc w:val="both"/>
              <w:rPr>
                <w:color w:val="273540"/>
                <w:sz w:val="20"/>
                <w:szCs w:val="20"/>
              </w:rPr>
            </w:pPr>
            <w:r>
              <w:rPr>
                <w:noProof/>
                <w:color w:val="273540"/>
                <w:sz w:val="20"/>
                <w:szCs w:val="20"/>
              </w:rPr>
              <w:drawing>
                <wp:inline distT="114300" distB="114300" distL="114300" distR="114300" wp14:anchorId="7AA9E73D" wp14:editId="6318F8BB">
                  <wp:extent cx="1676400" cy="35560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1676400" cy="3556000"/>
                          </a:xfrm>
                          <a:prstGeom prst="rect">
                            <a:avLst/>
                          </a:prstGeom>
                          <a:ln/>
                        </pic:spPr>
                      </pic:pic>
                    </a:graphicData>
                  </a:graphic>
                </wp:inline>
              </w:drawing>
            </w:r>
          </w:p>
        </w:tc>
        <w:tc>
          <w:tcPr>
            <w:tcW w:w="24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E666DE5" w14:textId="77777777" w:rsidR="009B515D" w:rsidRDefault="00000000">
            <w:pPr>
              <w:spacing w:after="240"/>
              <w:rPr>
                <w:color w:val="273540"/>
                <w:sz w:val="20"/>
                <w:szCs w:val="20"/>
              </w:rPr>
            </w:pPr>
            <w:r>
              <w:rPr>
                <w:color w:val="273540"/>
                <w:sz w:val="20"/>
                <w:szCs w:val="20"/>
              </w:rPr>
              <w:t xml:space="preserve">The positioning of the keyboard and input field deviated from established mobile chat patterns. Specifically, the input field was located beneath the keyboard, creating an unnatural layout that hinders </w:t>
            </w:r>
            <w:r>
              <w:rPr>
                <w:b/>
                <w:bCs/>
                <w:color w:val="273540"/>
                <w:sz w:val="20"/>
                <w:szCs w:val="20"/>
              </w:rPr>
              <w:t>efficiency</w:t>
            </w:r>
            <w:r>
              <w:rPr>
                <w:color w:val="273540"/>
                <w:sz w:val="20"/>
                <w:szCs w:val="20"/>
              </w:rPr>
              <w:t xml:space="preserve"> and risks confusing users during the messaging process.</w:t>
            </w:r>
          </w:p>
        </w:tc>
        <w:tc>
          <w:tcPr>
            <w:tcW w:w="27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A92CB4C" w14:textId="77777777" w:rsidR="009B515D" w:rsidRDefault="00000000">
            <w:pPr>
              <w:spacing w:after="240"/>
              <w:rPr>
                <w:color w:val="273540"/>
                <w:sz w:val="20"/>
                <w:szCs w:val="20"/>
              </w:rPr>
            </w:pPr>
            <w:r>
              <w:rPr>
                <w:color w:val="273540"/>
                <w:sz w:val="20"/>
                <w:szCs w:val="20"/>
              </w:rPr>
              <w:t>The chatroom interface was updated to position the input field directly above the keyboard, adhering to established mobile messaging patterns. This adjustment enhances efficiency and aligns the layout with user expectations for standard chat interactions.</w:t>
            </w:r>
          </w:p>
        </w:tc>
      </w:tr>
      <w:tr w:rsidR="009B515D" w14:paraId="3E7339C0" w14:textId="77777777">
        <w:trPr>
          <w:trHeight w:val="75"/>
        </w:trPr>
        <w:tc>
          <w:tcPr>
            <w:tcW w:w="16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0707EA0" w14:textId="77777777" w:rsidR="009B515D" w:rsidRDefault="00000000">
            <w:pPr>
              <w:rPr>
                <w:sz w:val="20"/>
                <w:szCs w:val="20"/>
              </w:rPr>
            </w:pPr>
            <w:r>
              <w:rPr>
                <w:color w:val="273540"/>
                <w:sz w:val="20"/>
                <w:szCs w:val="20"/>
              </w:rPr>
              <w:t>Newly established chatroom with no participants besides the creator (edge case scenario for the chat component interface)</w:t>
            </w:r>
          </w:p>
          <w:p w14:paraId="16B69360" w14:textId="77777777" w:rsidR="009B515D" w:rsidRDefault="00000000">
            <w:pPr>
              <w:rPr>
                <w:color w:val="273540"/>
                <w:sz w:val="20"/>
                <w:szCs w:val="20"/>
              </w:rPr>
            </w:pPr>
            <w:r>
              <w:rPr>
                <w:color w:val="273540"/>
                <w:sz w:val="20"/>
                <w:szCs w:val="20"/>
              </w:rPr>
              <w:t>.</w:t>
            </w:r>
          </w:p>
        </w:tc>
        <w:tc>
          <w:tcPr>
            <w:tcW w:w="27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54075C8" w14:textId="77777777" w:rsidR="009B515D" w:rsidRDefault="00000000">
            <w:pPr>
              <w:spacing w:after="240"/>
              <w:jc w:val="both"/>
              <w:rPr>
                <w:color w:val="273540"/>
                <w:sz w:val="20"/>
                <w:szCs w:val="20"/>
              </w:rPr>
            </w:pPr>
            <w:r>
              <w:rPr>
                <w:noProof/>
                <w:color w:val="273540"/>
                <w:sz w:val="20"/>
                <w:szCs w:val="20"/>
              </w:rPr>
              <w:drawing>
                <wp:inline distT="114300" distB="114300" distL="114300" distR="114300" wp14:anchorId="500B1B96" wp14:editId="552E3AC8">
                  <wp:extent cx="1562100" cy="3219450"/>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1562100" cy="3219450"/>
                          </a:xfrm>
                          <a:prstGeom prst="rect">
                            <a:avLst/>
                          </a:prstGeom>
                          <a:ln/>
                        </pic:spPr>
                      </pic:pic>
                    </a:graphicData>
                  </a:graphic>
                </wp:inline>
              </w:drawing>
            </w:r>
          </w:p>
        </w:tc>
        <w:tc>
          <w:tcPr>
            <w:tcW w:w="24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4F3646E" w14:textId="77777777" w:rsidR="009B515D" w:rsidRDefault="00000000">
            <w:pPr>
              <w:spacing w:after="240"/>
              <w:rPr>
                <w:color w:val="273540"/>
                <w:sz w:val="20"/>
                <w:szCs w:val="20"/>
              </w:rPr>
            </w:pPr>
            <w:r>
              <w:rPr>
                <w:color w:val="273540"/>
                <w:sz w:val="20"/>
                <w:szCs w:val="20"/>
              </w:rPr>
              <w:t>The design did not consider the empty state of a newly created chatroom, where no participants or messages are present. This could make the interface feel incomplete or unclear to users.</w:t>
            </w:r>
          </w:p>
        </w:tc>
        <w:tc>
          <w:tcPr>
            <w:tcW w:w="27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860A3A8" w14:textId="77777777" w:rsidR="009B515D" w:rsidRDefault="00000000">
            <w:pPr>
              <w:spacing w:after="240"/>
              <w:rPr>
                <w:color w:val="273540"/>
                <w:sz w:val="20"/>
                <w:szCs w:val="20"/>
              </w:rPr>
            </w:pPr>
            <w:r>
              <w:rPr>
                <w:color w:val="273540"/>
                <w:sz w:val="20"/>
                <w:szCs w:val="20"/>
              </w:rPr>
              <w:t>Added an empty chatroom state (e.g., a newly created “Ding Tai Feng” chatroom with no messages) to better represent real user scenarios and improve the completeness of the interaction flow.</w:t>
            </w:r>
          </w:p>
        </w:tc>
      </w:tr>
      <w:tr w:rsidR="009B515D" w14:paraId="384A76CA" w14:textId="77777777">
        <w:trPr>
          <w:trHeight w:val="603"/>
        </w:trPr>
        <w:tc>
          <w:tcPr>
            <w:tcW w:w="16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57B4CCB" w14:textId="77777777" w:rsidR="009B515D" w:rsidRDefault="00000000">
            <w:pPr>
              <w:rPr>
                <w:color w:val="273540"/>
                <w:sz w:val="20"/>
                <w:szCs w:val="20"/>
              </w:rPr>
            </w:pPr>
            <w:r>
              <w:rPr>
                <w:color w:val="273540"/>
                <w:sz w:val="20"/>
                <w:szCs w:val="20"/>
              </w:rPr>
              <w:lastRenderedPageBreak/>
              <w:t>Login and Manage Profile</w:t>
            </w:r>
          </w:p>
          <w:p w14:paraId="463E03FA" w14:textId="77777777" w:rsidR="009B515D" w:rsidRDefault="009B515D">
            <w:pPr>
              <w:rPr>
                <w:color w:val="273540"/>
                <w:sz w:val="20"/>
                <w:szCs w:val="20"/>
              </w:rPr>
            </w:pPr>
          </w:p>
        </w:tc>
        <w:tc>
          <w:tcPr>
            <w:tcW w:w="27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42B6DCD" w14:textId="77777777" w:rsidR="009B515D" w:rsidRDefault="00000000">
            <w:pPr>
              <w:spacing w:after="240"/>
              <w:jc w:val="both"/>
              <w:rPr>
                <w:color w:val="273540"/>
                <w:sz w:val="20"/>
                <w:szCs w:val="20"/>
              </w:rPr>
            </w:pPr>
            <w:r>
              <w:rPr>
                <w:noProof/>
                <w:color w:val="273540"/>
                <w:sz w:val="20"/>
                <w:szCs w:val="20"/>
              </w:rPr>
              <w:drawing>
                <wp:inline distT="114300" distB="114300" distL="114300" distR="114300" wp14:anchorId="6991FD12" wp14:editId="20A68364">
                  <wp:extent cx="1676400" cy="29337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1676400" cy="2933700"/>
                          </a:xfrm>
                          <a:prstGeom prst="rect">
                            <a:avLst/>
                          </a:prstGeom>
                          <a:ln/>
                        </pic:spPr>
                      </pic:pic>
                    </a:graphicData>
                  </a:graphic>
                </wp:inline>
              </w:drawing>
            </w:r>
          </w:p>
        </w:tc>
        <w:tc>
          <w:tcPr>
            <w:tcW w:w="24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1204577" w14:textId="77777777" w:rsidR="009B515D" w:rsidRDefault="00000000">
            <w:pPr>
              <w:spacing w:after="240"/>
              <w:rPr>
                <w:color w:val="273540"/>
                <w:sz w:val="20"/>
                <w:szCs w:val="20"/>
              </w:rPr>
            </w:pPr>
            <w:r>
              <w:rPr>
                <w:color w:val="273540"/>
                <w:sz w:val="20"/>
                <w:szCs w:val="20"/>
              </w:rPr>
              <w:t>The Login &amp; Security screen did not include a clear entry point for help and support related to account/security tasks, making it harder for users to know where to go when something goes wrong.</w:t>
            </w:r>
          </w:p>
        </w:tc>
        <w:tc>
          <w:tcPr>
            <w:tcW w:w="27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E15A099" w14:textId="77777777" w:rsidR="009B515D" w:rsidRDefault="00000000">
            <w:pPr>
              <w:spacing w:after="240"/>
              <w:rPr>
                <w:color w:val="273540"/>
                <w:sz w:val="20"/>
                <w:szCs w:val="20"/>
              </w:rPr>
            </w:pPr>
            <w:r>
              <w:rPr>
                <w:color w:val="273540"/>
                <w:sz w:val="20"/>
                <w:szCs w:val="20"/>
              </w:rPr>
              <w:t xml:space="preserve">Add a Help &amp; Support button to provide assistance directly from Login &amp; Security </w:t>
            </w:r>
            <w:proofErr w:type="gramStart"/>
            <w:r>
              <w:rPr>
                <w:color w:val="273540"/>
                <w:sz w:val="20"/>
                <w:szCs w:val="20"/>
              </w:rPr>
              <w:t>page</w:t>
            </w:r>
            <w:proofErr w:type="gramEnd"/>
          </w:p>
          <w:p w14:paraId="4EBEFA87" w14:textId="77777777" w:rsidR="009B515D" w:rsidRDefault="009B515D">
            <w:pPr>
              <w:spacing w:after="240"/>
              <w:rPr>
                <w:color w:val="273540"/>
                <w:sz w:val="20"/>
                <w:szCs w:val="20"/>
              </w:rPr>
            </w:pPr>
          </w:p>
          <w:p w14:paraId="0F9DEAEE" w14:textId="77777777" w:rsidR="009B515D" w:rsidRDefault="009B515D">
            <w:pPr>
              <w:spacing w:after="240"/>
              <w:rPr>
                <w:color w:val="273540"/>
                <w:sz w:val="20"/>
                <w:szCs w:val="20"/>
              </w:rPr>
            </w:pPr>
          </w:p>
        </w:tc>
      </w:tr>
    </w:tbl>
    <w:p w14:paraId="170F7795" w14:textId="77777777" w:rsidR="009B515D" w:rsidRDefault="009B515D">
      <w:pPr>
        <w:rPr>
          <w:b/>
          <w:bCs/>
          <w:sz w:val="20"/>
          <w:szCs w:val="20"/>
        </w:rPr>
      </w:pPr>
    </w:p>
    <w:sectPr w:rsidR="009B515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fontKey="{ADF83B5D-3F30-2448-B239-8500FEB2DD22}"/>
  </w:font>
  <w:font w:name="Arial">
    <w:panose1 w:val="020B0604020202020204"/>
    <w:charset w:val="00"/>
    <w:family w:val="swiss"/>
    <w:pitch w:val="variable"/>
    <w:sig w:usb0="E0002AFF" w:usb1="C0007843" w:usb2="00000009" w:usb3="00000000" w:csb0="000001FF" w:csb1="00000000"/>
    <w:embedRegular r:id="rId2" w:fontKey="{B4A5B79F-EC2D-DC43-9299-410976826065}"/>
    <w:embedBold r:id="rId3" w:fontKey="{C4F238E7-EE97-6549-BD55-15FE482E89E8}"/>
    <w:embedItalic r:id="rId4" w:fontKey="{898A4B6C-1149-8544-B18D-3C0878B4ECDF}"/>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embedRegular r:id="rId5" w:fontKey="{A8F03AA9-54F3-CC47-B435-F74B35DB46A9}"/>
  </w:font>
  <w:font w:name="Cambria">
    <w:panose1 w:val="02040503050406030204"/>
    <w:charset w:val="00"/>
    <w:family w:val="roman"/>
    <w:pitch w:val="variable"/>
    <w:sig w:usb0="E00002FF" w:usb1="400004FF" w:usb2="00000000" w:usb3="00000000" w:csb0="0000019F" w:csb1="00000000"/>
    <w:embedRegular r:id="rId6" w:fontKey="{3BA22A66-F295-5B46-AC40-5BAF5F04CE9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56435"/>
    <w:multiLevelType w:val="multilevel"/>
    <w:tmpl w:val="340C39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6049CA"/>
    <w:multiLevelType w:val="multilevel"/>
    <w:tmpl w:val="277627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0425E4"/>
    <w:multiLevelType w:val="multilevel"/>
    <w:tmpl w:val="CAD4AF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1A63686"/>
    <w:multiLevelType w:val="multilevel"/>
    <w:tmpl w:val="04AC9B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2810296"/>
    <w:multiLevelType w:val="multilevel"/>
    <w:tmpl w:val="D19A98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75E240C"/>
    <w:multiLevelType w:val="multilevel"/>
    <w:tmpl w:val="4B7E7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36F198B"/>
    <w:multiLevelType w:val="multilevel"/>
    <w:tmpl w:val="470E53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44B0202"/>
    <w:multiLevelType w:val="multilevel"/>
    <w:tmpl w:val="5EB83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5A27B18"/>
    <w:multiLevelType w:val="multilevel"/>
    <w:tmpl w:val="5BBEEB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6944033"/>
    <w:multiLevelType w:val="multilevel"/>
    <w:tmpl w:val="58A883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94C1185"/>
    <w:multiLevelType w:val="multilevel"/>
    <w:tmpl w:val="BA3C3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6BC0640"/>
    <w:multiLevelType w:val="multilevel"/>
    <w:tmpl w:val="F7229F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24065A8"/>
    <w:multiLevelType w:val="multilevel"/>
    <w:tmpl w:val="56F0BC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5516EAE"/>
    <w:multiLevelType w:val="multilevel"/>
    <w:tmpl w:val="B9127A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B985920"/>
    <w:multiLevelType w:val="multilevel"/>
    <w:tmpl w:val="ECC03B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D7A77FC"/>
    <w:multiLevelType w:val="multilevel"/>
    <w:tmpl w:val="8DBAB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16F48F0"/>
    <w:multiLevelType w:val="multilevel"/>
    <w:tmpl w:val="E50EEB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3D67345"/>
    <w:multiLevelType w:val="multilevel"/>
    <w:tmpl w:val="CA0839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47F47EB"/>
    <w:multiLevelType w:val="multilevel"/>
    <w:tmpl w:val="940033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5ED1A98"/>
    <w:multiLevelType w:val="multilevel"/>
    <w:tmpl w:val="C87E2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94D187D"/>
    <w:multiLevelType w:val="multilevel"/>
    <w:tmpl w:val="370C2C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D596A6A"/>
    <w:multiLevelType w:val="multilevel"/>
    <w:tmpl w:val="464078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3B436E0"/>
    <w:multiLevelType w:val="multilevel"/>
    <w:tmpl w:val="E1E6E4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80E1E49"/>
    <w:multiLevelType w:val="multilevel"/>
    <w:tmpl w:val="15781B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A1A3D75"/>
    <w:multiLevelType w:val="multilevel"/>
    <w:tmpl w:val="C5A845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F1E0FF0"/>
    <w:multiLevelType w:val="multilevel"/>
    <w:tmpl w:val="429E3C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2A03CF7"/>
    <w:multiLevelType w:val="multilevel"/>
    <w:tmpl w:val="43EC04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64B67C0"/>
    <w:multiLevelType w:val="multilevel"/>
    <w:tmpl w:val="EFC893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B827E38"/>
    <w:multiLevelType w:val="multilevel"/>
    <w:tmpl w:val="09A2D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79186570">
    <w:abstractNumId w:val="27"/>
  </w:num>
  <w:num w:numId="2" w16cid:durableId="1943994927">
    <w:abstractNumId w:val="25"/>
  </w:num>
  <w:num w:numId="3" w16cid:durableId="503663144">
    <w:abstractNumId w:val="10"/>
  </w:num>
  <w:num w:numId="4" w16cid:durableId="338704216">
    <w:abstractNumId w:val="8"/>
  </w:num>
  <w:num w:numId="5" w16cid:durableId="1407916730">
    <w:abstractNumId w:val="18"/>
  </w:num>
  <w:num w:numId="6" w16cid:durableId="1313488160">
    <w:abstractNumId w:val="4"/>
  </w:num>
  <w:num w:numId="7" w16cid:durableId="811405453">
    <w:abstractNumId w:val="17"/>
  </w:num>
  <w:num w:numId="8" w16cid:durableId="1497500231">
    <w:abstractNumId w:val="22"/>
  </w:num>
  <w:num w:numId="9" w16cid:durableId="445541284">
    <w:abstractNumId w:val="16"/>
  </w:num>
  <w:num w:numId="10" w16cid:durableId="114839300">
    <w:abstractNumId w:val="26"/>
  </w:num>
  <w:num w:numId="11" w16cid:durableId="570234231">
    <w:abstractNumId w:val="1"/>
  </w:num>
  <w:num w:numId="12" w16cid:durableId="329529773">
    <w:abstractNumId w:val="20"/>
  </w:num>
  <w:num w:numId="13" w16cid:durableId="231811980">
    <w:abstractNumId w:val="5"/>
  </w:num>
  <w:num w:numId="14" w16cid:durableId="1458178253">
    <w:abstractNumId w:val="9"/>
  </w:num>
  <w:num w:numId="15" w16cid:durableId="1264454727">
    <w:abstractNumId w:val="19"/>
  </w:num>
  <w:num w:numId="16" w16cid:durableId="896626603">
    <w:abstractNumId w:val="24"/>
  </w:num>
  <w:num w:numId="17" w16cid:durableId="16781580">
    <w:abstractNumId w:val="0"/>
  </w:num>
  <w:num w:numId="18" w16cid:durableId="1467970487">
    <w:abstractNumId w:val="23"/>
  </w:num>
  <w:num w:numId="19" w16cid:durableId="1604651060">
    <w:abstractNumId w:val="28"/>
  </w:num>
  <w:num w:numId="20" w16cid:durableId="697898727">
    <w:abstractNumId w:val="12"/>
  </w:num>
  <w:num w:numId="21" w16cid:durableId="349141670">
    <w:abstractNumId w:val="14"/>
  </w:num>
  <w:num w:numId="22" w16cid:durableId="1811899212">
    <w:abstractNumId w:val="2"/>
  </w:num>
  <w:num w:numId="23" w16cid:durableId="360939247">
    <w:abstractNumId w:val="11"/>
  </w:num>
  <w:num w:numId="24" w16cid:durableId="1896114588">
    <w:abstractNumId w:val="15"/>
  </w:num>
  <w:num w:numId="25" w16cid:durableId="991642801">
    <w:abstractNumId w:val="7"/>
  </w:num>
  <w:num w:numId="26" w16cid:durableId="513302371">
    <w:abstractNumId w:val="13"/>
  </w:num>
  <w:num w:numId="27" w16cid:durableId="932204237">
    <w:abstractNumId w:val="3"/>
  </w:num>
  <w:num w:numId="28" w16cid:durableId="1895696399">
    <w:abstractNumId w:val="6"/>
  </w:num>
  <w:num w:numId="29" w16cid:durableId="89320335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515D"/>
    <w:rsid w:val="007D0A46"/>
    <w:rsid w:val="009B51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2FDAC96"/>
  <w15:docId w15:val="{69A4A269-04DC-8342-AF65-F2E0C649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tcPr>
      <w:shd w:val="clear" w:color="auto" w:fill="FFFFFF"/>
    </w:tcPr>
  </w:style>
  <w:style w:type="table" w:customStyle="1" w:styleId="a0">
    <w:basedOn w:val="TableNormal0"/>
    <w:tblPr>
      <w:tblStyleRowBandSize w:val="1"/>
      <w:tblStyleColBandSize w:val="1"/>
    </w:tblPr>
    <w:tcPr>
      <w:shd w:val="clear" w:color="auto" w:fill="FFFF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354</Words>
  <Characters>2024</Characters>
  <Application>Microsoft Office Word</Application>
  <DocSecurity>0</DocSecurity>
  <Lines>16</Lines>
  <Paragraphs>4</Paragraphs>
  <ScaleCrop>false</ScaleCrop>
  <Company/>
  <LinksUpToDate>false</LinksUpToDate>
  <CharactersWithSpaces>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Zoey Ai</cp:lastModifiedBy>
  <cp:revision>2</cp:revision>
  <dcterms:created xsi:type="dcterms:W3CDTF">2026-04-22T00:46:00Z</dcterms:created>
  <dcterms:modified xsi:type="dcterms:W3CDTF">2026-04-22T00:47:00Z</dcterms:modified>
</cp:coreProperties>
</file>