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EnergyInvest</w:t>
      </w:r>
    </w:p>
    <w:p>
      <w:pPr>
        <w:jc w:val="center"/>
      </w:pPr>
      <w:r>
        <w:rPr>
          <w:b/>
          <w:sz w:val="28"/>
        </w:rPr>
        <w:t>Business &amp; Technical Trade-off Analysis</w:t>
      </w:r>
    </w:p>
    <w:p>
      <w:pPr>
        <w:jc w:val="center"/>
      </w:pPr>
      <w:r>
        <w:rPr>
          <w:color w:val="595959"/>
          <w:sz w:val="21"/>
        </w:rPr>
        <w:t>PE6201 · Emerging AI Technologies · Final Project</w:t>
      </w:r>
    </w:p>
    <w:p>
      <w:pPr>
        <w:jc w:val="center"/>
      </w:pPr>
      <w:r>
        <w:rPr>
          <w:sz w:val="21"/>
        </w:rPr>
        <w:t>Zhou Yihan</w:t>
      </w:r>
    </w:p>
    <w:p/>
    <w:p>
      <w:r>
        <w:rPr>
          <w:b/>
          <w:color w:val="1F4E79"/>
          <w:sz w:val="23"/>
        </w:rPr>
        <w:t>Key Evaluation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1F4E79"/>
          </w:tcPr>
          <w:p>
            <w:pPr>
              <w:jc w:val="center"/>
            </w:pPr>
            <w:r>
              <w:rPr>
                <w:b/>
                <w:color w:val="FFFFFF"/>
                <w:sz w:val="17"/>
              </w:rPr>
              <w:t>Recall</w:t>
            </w:r>
          </w:p>
        </w:tc>
        <w:tc>
          <w:tcPr>
            <w:tcW w:type="dxa" w:w="1987"/>
            <w:shd w:fill="1F4E79"/>
          </w:tcPr>
          <w:p>
            <w:pPr>
              <w:jc w:val="center"/>
            </w:pPr>
            <w:r>
              <w:rPr>
                <w:b/>
                <w:color w:val="FFFFFF"/>
                <w:sz w:val="17"/>
              </w:rPr>
              <w:t>Flag Rate</w:t>
            </w:r>
          </w:p>
        </w:tc>
        <w:tc>
          <w:tcPr>
            <w:tcW w:type="dxa" w:w="1987"/>
            <w:shd w:fill="1F4E79"/>
          </w:tcPr>
          <w:p>
            <w:pPr>
              <w:jc w:val="center"/>
            </w:pPr>
            <w:r>
              <w:rPr>
                <w:b/>
                <w:color w:val="FFFFFF"/>
                <w:sz w:val="17"/>
              </w:rPr>
              <w:t>Workload Reduction</w:t>
            </w:r>
          </w:p>
        </w:tc>
        <w:tc>
          <w:tcPr>
            <w:tcW w:type="dxa" w:w="1987"/>
            <w:shd w:fill="1F4E79"/>
          </w:tcPr>
          <w:p>
            <w:pPr>
              <w:jc w:val="center"/>
            </w:pPr>
            <w:r>
              <w:rPr>
                <w:b/>
                <w:color w:val="FFFFFF"/>
                <w:sz w:val="17"/>
              </w:rPr>
              <w:t>Precision</w:t>
            </w:r>
          </w:p>
        </w:tc>
        <w:tc>
          <w:tcPr>
            <w:tcW w:type="dxa" w:w="1987"/>
            <w:shd w:fill="1F4E79"/>
          </w:tcPr>
          <w:p>
            <w:pPr>
              <w:jc w:val="center"/>
            </w:pPr>
            <w:r>
              <w:rPr>
                <w:b/>
                <w:color w:val="FFFFFF"/>
                <w:sz w:val="17"/>
              </w:rPr>
              <w:t>Abstention</w:t>
            </w:r>
          </w:p>
        </w:tc>
      </w:tr>
      <w:tr>
        <w:tc>
          <w:tcPr>
            <w:tcW w:type="dxa" w:w="1987"/>
          </w:tcPr>
          <w:p>
            <w:pPr>
              <w:jc w:val="center"/>
            </w:pPr>
            <w:r>
              <w:rPr>
                <w:b/>
                <w:sz w:val="19"/>
              </w:rPr>
              <w:t>91.58%</w:t>
            </w:r>
          </w:p>
        </w:tc>
        <w:tc>
          <w:tcPr>
            <w:tcW w:type="dxa" w:w="1987"/>
          </w:tcPr>
          <w:p>
            <w:pPr>
              <w:jc w:val="center"/>
            </w:pPr>
            <w:r>
              <w:rPr>
                <w:b/>
                <w:sz w:val="19"/>
              </w:rPr>
              <w:t>25.17%</w:t>
            </w:r>
          </w:p>
        </w:tc>
        <w:tc>
          <w:tcPr>
            <w:tcW w:type="dxa" w:w="1987"/>
          </w:tcPr>
          <w:p>
            <w:pPr>
              <w:jc w:val="center"/>
            </w:pPr>
            <w:r>
              <w:rPr>
                <w:b/>
                <w:sz w:val="19"/>
              </w:rPr>
              <w:t>74.83%</w:t>
            </w:r>
          </w:p>
        </w:tc>
        <w:tc>
          <w:tcPr>
            <w:tcW w:type="dxa" w:w="1987"/>
          </w:tcPr>
          <w:p>
            <w:pPr>
              <w:jc w:val="center"/>
            </w:pPr>
            <w:r>
              <w:rPr>
                <w:b/>
                <w:sz w:val="19"/>
              </w:rPr>
              <w:t>35.83%</w:t>
            </w:r>
          </w:p>
        </w:tc>
        <w:tc>
          <w:tcPr>
            <w:tcW w:type="dxa" w:w="1987"/>
          </w:tcPr>
          <w:p>
            <w:pPr>
              <w:jc w:val="center"/>
            </w:pPr>
            <w:r>
              <w:rPr>
                <w:b/>
                <w:sz w:val="19"/>
              </w:rPr>
              <w:t>11.03%</w:t>
            </w:r>
          </w:p>
        </w:tc>
      </w:tr>
    </w:tbl>
    <w:p>
      <w:pPr>
        <w:pStyle w:val="Heading1"/>
      </w:pPr>
      <w:r>
        <w:t>1. Problem, User Value and Difference Made</w:t>
      </w:r>
    </w:p>
    <w:p>
      <w:pPr>
        <w:spacing w:after="100" w:line="252" w:lineRule="auto"/>
      </w:pPr>
      <w:r>
        <w:t>Energy investment analysts must screen large pipelines of prospective power projects before deciding which deserve deeper due diligence. The Global Integrated Power Tracker (GIPT) September 2026 release contains more than 183,000 facility records, making manual comparison with historical development outcomes impractical at portfolio scale. EnergyInvest is designed as a first-pass screening assistant that identifies projects showing patterns associated with cancellation or shelving and routes uncertain cases to manual review.</w:t>
      </w:r>
    </w:p>
    <w:p>
      <w:pPr>
        <w:spacing w:after="100" w:line="252" w:lineRule="auto"/>
      </w:pPr>
      <w:r>
        <w:t>The intended change is not to automate investment decisions, but to change the analyst’s starting point from exhaustive screening to risk-prioritised screening. On the real GIPT holdout set, EnergyInvest captured 91.58% of historical high-risk cases while flagging 25.17% of projects for analyst attention. This corresponds to a 74.83% reduction in first-pass screening workload. In practical terms, for a pipeline of 50 projects, the analyst would focus on roughly 13 rather than manually opening all 50.</w:t>
      </w:r>
    </w:p>
    <w:p>
      <w:r>
        <w:rPr>
          <w:b/>
          <w:sz w:val="19"/>
        </w:rPr>
        <w:t>Table 1. Workflow impact: before vs after EnergyInvest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center"/>
            </w:pPr>
            <w:r>
              <w:rPr>
                <w:b/>
                <w:sz w:val="17"/>
              </w:rPr>
              <w:t>Workflow</w:t>
            </w:r>
          </w:p>
        </w:tc>
        <w:tc>
          <w:tcPr>
            <w:tcW w:type="dxa" w:w="3312"/>
            <w:shd w:fill="D9EAF7"/>
          </w:tcPr>
          <w:p>
            <w:pPr>
              <w:jc w:val="center"/>
            </w:pPr>
            <w:r>
              <w:rPr>
                <w:b/>
                <w:sz w:val="17"/>
              </w:rPr>
              <w:t>Analyst review load</w:t>
            </w:r>
          </w:p>
        </w:tc>
        <w:tc>
          <w:tcPr>
            <w:tcW w:type="dxa" w:w="3312"/>
            <w:shd w:fill="D9EAF7"/>
          </w:tcPr>
          <w:p>
            <w:pPr>
              <w:jc w:val="center"/>
            </w:pPr>
            <w:r>
              <w:rPr>
                <w:b/>
                <w:sz w:val="17"/>
              </w:rPr>
              <w:t>Risk coverage</w:t>
            </w:r>
          </w:p>
        </w:tc>
      </w:tr>
      <w:tr>
        <w:tc>
          <w:tcPr>
            <w:tcW w:type="dxa" w:w="3312"/>
            <w:vAlign w:val="center"/>
          </w:tcPr>
          <w:p>
            <w:pPr>
              <w:spacing w:after="0"/>
            </w:pPr>
            <w:r>
              <w:rPr>
                <w:sz w:val="16"/>
              </w:rPr>
              <w:t>Manual screening</w:t>
            </w:r>
          </w:p>
        </w:tc>
        <w:tc>
          <w:tcPr>
            <w:tcW w:type="dxa" w:w="3312"/>
            <w:vAlign w:val="center"/>
          </w:tcPr>
          <w:p>
            <w:pPr>
              <w:spacing w:after="0"/>
            </w:pPr>
            <w:r>
              <w:rPr>
                <w:sz w:val="16"/>
              </w:rPr>
              <w:t>50 / 50 projects</w:t>
            </w:r>
          </w:p>
        </w:tc>
        <w:tc>
          <w:tcPr>
            <w:tcW w:type="dxa" w:w="3312"/>
            <w:vAlign w:val="center"/>
          </w:tcPr>
          <w:p>
            <w:pPr>
              <w:spacing w:after="0"/>
            </w:pPr>
            <w:r>
              <w:rPr>
                <w:sz w:val="16"/>
              </w:rPr>
              <w:t>Depends entirely on analyst review</w:t>
            </w:r>
          </w:p>
        </w:tc>
      </w:tr>
      <w:tr>
        <w:tc>
          <w:tcPr>
            <w:tcW w:type="dxa" w:w="3312"/>
            <w:vAlign w:val="center"/>
          </w:tcPr>
          <w:p>
            <w:pPr>
              <w:spacing w:after="0"/>
            </w:pPr>
            <w:r>
              <w:rPr>
                <w:sz w:val="16"/>
              </w:rPr>
              <w:t>EnergyInvest</w:t>
            </w:r>
          </w:p>
        </w:tc>
        <w:tc>
          <w:tcPr>
            <w:tcW w:type="dxa" w:w="3312"/>
            <w:vAlign w:val="center"/>
          </w:tcPr>
          <w:p>
            <w:pPr>
              <w:spacing w:after="0"/>
            </w:pPr>
            <w:r>
              <w:rPr>
                <w:sz w:val="16"/>
              </w:rPr>
              <w:t>~13 / 50 projects</w:t>
            </w:r>
          </w:p>
        </w:tc>
        <w:tc>
          <w:tcPr>
            <w:tcW w:type="dxa" w:w="3312"/>
            <w:vAlign w:val="center"/>
          </w:tcPr>
          <w:p>
            <w:pPr>
              <w:spacing w:after="0"/>
            </w:pPr>
            <w:r>
              <w:rPr>
                <w:sz w:val="16"/>
              </w:rPr>
              <w:t>91.58% historical high-risk recall</w:t>
            </w:r>
          </w:p>
        </w:tc>
      </w:tr>
    </w:tbl>
    <w:p>
      <w:pPr>
        <w:pStyle w:val="Heading1"/>
      </w:pPr>
      <w:r>
        <w:t>2. Why Narrow Machine Learning</w:t>
      </w:r>
    </w:p>
    <w:p>
      <w:pPr>
        <w:spacing w:after="100" w:line="252" w:lineRule="auto"/>
      </w:pPr>
      <w:r>
        <w:t>The core task is a bounded supervised-classification problem using structured tabular data and historical outcome labels. XGBoost is therefore more appropriate than a foundation model as the primary scorer. It can capture nonlinear relationships and interactions across project characteristics while remaining inexpensive to run, reproducible, and easier to audit than per-project LLM prompting.</w:t>
      </w:r>
    </w:p>
    <w:p>
      <w:pPr>
        <w:spacing w:after="100" w:line="252" w:lineRule="auto"/>
      </w:pPr>
      <w:r>
        <w:t>The model uses project-level fields such as capacity, type, geography, technology, fuel, storage, CHP, CCS, captive-industry type and location accuracy. I deliberately did not add an agent, RAG pipeline or complex workflow engine because these would increase operational complexity without improving the core prediction task. An LLM remains optional and is restricted to translating model evidence into human-readable explanations; it does not determine or override the risk label.</w:t>
      </w:r>
    </w:p>
    <w:p>
      <w:pPr>
        <w:spacing w:after="100" w:line="252" w:lineRule="auto"/>
      </w:pPr>
      <w:r>
        <w:t>This is also a build-versus-buy decision. A managed AutoML solution could reduce implementation effort, but the project requires direct control over preprocessing, grouped evaluation, class weighting, decision thresholds and abstention logic. Implementing the model in Python therefore provides greater transparency and makes the critical business rules inspectable.</w:t>
      </w:r>
    </w:p>
    <w:p>
      <w:pPr>
        <w:pStyle w:val="Heading1"/>
      </w:pPr>
      <w:r>
        <w:t>3. Data and Label Design</w:t>
      </w:r>
    </w:p>
    <w:p>
      <w:pPr>
        <w:spacing w:after="100" w:line="252" w:lineRule="auto"/>
      </w:pPr>
      <w:r>
        <w:t xml:space="preserve">Historical GIPT status is used to construct the target. High-risk outcomes are </w:t>
      </w:r>
      <w:r>
        <w:rPr>
          <w:rFonts w:ascii="Consolas" w:hAnsi="Consolas"/>
          <w:sz w:val="18"/>
        </w:rPr>
        <w:t>cancelled</w:t>
      </w:r>
      <w:r>
        <w:t xml:space="preserve">, </w:t>
      </w:r>
      <w:r>
        <w:rPr>
          <w:rFonts w:ascii="Consolas" w:hAnsi="Consolas"/>
          <w:sz w:val="18"/>
        </w:rPr>
        <w:t>cancelled - inferred 4 y</w:t>
      </w:r>
      <w:r>
        <w:t xml:space="preserve">, </w:t>
      </w:r>
      <w:r>
        <w:rPr>
          <w:rFonts w:ascii="Consolas" w:hAnsi="Consolas"/>
          <w:sz w:val="18"/>
        </w:rPr>
        <w:t>shelved</w:t>
      </w:r>
      <w:r>
        <w:t xml:space="preserve">, and </w:t>
      </w:r>
      <w:r>
        <w:rPr>
          <w:rFonts w:ascii="Consolas" w:hAnsi="Consolas"/>
          <w:sz w:val="18"/>
        </w:rPr>
        <w:t>shelved - inferred 2 y</w:t>
      </w:r>
      <w:r>
        <w:t xml:space="preserve">. </w:t>
      </w:r>
      <w:r>
        <w:rPr>
          <w:rFonts w:ascii="Consolas" w:hAnsi="Consolas"/>
          <w:sz w:val="18"/>
        </w:rPr>
        <w:t>operating</w:t>
      </w:r>
      <w:r>
        <w:t xml:space="preserve"> forms the low-risk comparison group. </w:t>
      </w:r>
      <w:r>
        <w:rPr>
          <w:rFonts w:ascii="Consolas" w:hAnsi="Consolas"/>
          <w:sz w:val="18"/>
        </w:rPr>
        <w:t>retired</w:t>
      </w:r>
      <w:r>
        <w:t xml:space="preserve"> is excluded because it represents a post-operation lifecycle state rather than development-stage success or failure. Projects that remain </w:t>
      </w:r>
      <w:r>
        <w:rPr>
          <w:rFonts w:ascii="Consolas" w:hAnsi="Consolas"/>
          <w:sz w:val="18"/>
        </w:rPr>
        <w:t>announced</w:t>
      </w:r>
      <w:r>
        <w:t xml:space="preserve">, </w:t>
      </w:r>
      <w:r>
        <w:rPr>
          <w:rFonts w:ascii="Consolas" w:hAnsi="Consolas"/>
          <w:sz w:val="18"/>
        </w:rPr>
        <w:t>pre-construction</w:t>
      </w:r>
      <w:r>
        <w:t xml:space="preserve"> or </w:t>
      </w:r>
      <w:r>
        <w:rPr>
          <w:rFonts w:ascii="Consolas" w:hAnsi="Consolas"/>
          <w:sz w:val="18"/>
        </w:rPr>
        <w:t>construction</w:t>
      </w:r>
      <w:r>
        <w:t xml:space="preserve"> are treated as unresolved and are scored after training rather than used as labelled outcomes.</w:t>
      </w:r>
    </w:p>
    <w:p>
      <w:pPr>
        <w:spacing w:after="100" w:line="252" w:lineRule="auto"/>
      </w:pPr>
      <w:r>
        <w:t>The main label-quality concern is that the two inferred statuses are partly rule-derived outcomes. Training on them risks reproducing GEM’s inactivity heuristics rather than learning broader failure patterns. I therefore report subgroup recall separately. Recall is 91.46% for confirmed cancelled projects and 91.25% for cancelled-inferred projects; shelved and shelved-inferred recall are 91.21% and 92.45%, respectively. Their similarity reduces, but does not eliminate, concern that the result is driven mainly by inferred labels.</w:t>
      </w:r>
    </w:p>
    <w:p>
      <w:pPr>
        <w:spacing w:after="100" w:line="252" w:lineRule="auto"/>
      </w:pPr>
      <w:r>
        <w:t xml:space="preserve">Leakage is another important risk. Status, project names, identifiers and Wiki URLs are excluded from predictive features. </w:t>
      </w:r>
      <w:r>
        <w:rPr>
          <w:rFonts w:ascii="Consolas" w:hAnsi="Consolas"/>
          <w:sz w:val="18"/>
        </w:rPr>
        <w:t>Start year</w:t>
      </w:r>
      <w:r>
        <w:t xml:space="preserve"> is also excluded because the September 2026 workbook is a current snapshot and the field can represent actual, planned or missing dates across different project states.</w:t>
      </w:r>
    </w:p>
    <w:p>
      <w:pPr>
        <w:pStyle w:val="Heading1"/>
      </w:pPr>
      <w:r>
        <w:t>4. Evaluation Design and Technical Trade-offs</w:t>
      </w:r>
    </w:p>
    <w:p>
      <w:pPr>
        <w:spacing w:after="100" w:line="252" w:lineRule="auto"/>
      </w:pPr>
      <w:r>
        <w:t xml:space="preserve">A random row split could place different units or phases of the same facility in both training and test data, making the holdout artificially easy. EnergyInvest therefore uses a grouped holdout based on </w:t>
      </w:r>
      <w:r>
        <w:rPr>
          <w:rFonts w:ascii="Consolas" w:hAnsi="Consolas"/>
          <w:sz w:val="18"/>
        </w:rPr>
        <w:t>GEM location ID</w:t>
      </w:r>
      <w:r>
        <w:t>, keeping records from the same facility together. The resolved modelling dataset contains 142,575 records, with 113,991 used for training and 28,584 for holdout evaluation.</w:t>
      </w:r>
    </w:p>
    <w:p>
      <w:pPr>
        <w:spacing w:after="100" w:line="252" w:lineRule="auto"/>
      </w:pPr>
      <w:r>
        <w:t xml:space="preserve">A time-aware split was originally planned, but I changed this after examining the real workbook. GIPT is a current snapshot rather than a historical panel, and </w:t>
      </w:r>
      <w:r>
        <w:rPr>
          <w:rFonts w:ascii="Consolas" w:hAnsi="Consolas"/>
          <w:sz w:val="18"/>
        </w:rPr>
        <w:t>Start year</w:t>
      </w:r>
      <w:r>
        <w:t xml:space="preserve"> is not a consistent observation timestamp. Using it as though it were a universal time variable would have looked more sophisticated while making the evaluation less defensible. The grouped facility split is therefore a deliberate compromise: it reduces near-duplicate leakage, although it cannot test genuine forward prediction.</w:t>
      </w:r>
    </w:p>
    <w:p>
      <w:pPr>
        <w:spacing w:after="100" w:line="252" w:lineRule="auto"/>
      </w:pPr>
      <w:r>
        <w:t xml:space="preserve">The model also uses an abstention band. Scores from 0.40 to 0.60 become </w:t>
      </w:r>
      <w:r>
        <w:rPr>
          <w:rFonts w:ascii="Consolas" w:hAnsi="Consolas"/>
          <w:sz w:val="18"/>
        </w:rPr>
        <w:t>Needs Manual Review</w:t>
      </w:r>
      <w:r>
        <w:t xml:space="preserve"> instead of being forced into High or Low Risk. Importantly, abstained cases count toward the flag rate, so the workload metric reflects the cases a human genuinely still needs to inspect.</w:t>
      </w:r>
    </w:p>
    <w:p>
      <w:pPr>
        <w:pStyle w:val="Heading1"/>
      </w:pPr>
      <w:r>
        <w:t>5. Results, Metrics Critique and Tuning</w:t>
      </w:r>
    </w:p>
    <w:p>
      <w:pPr>
        <w:spacing w:after="100" w:line="252" w:lineRule="auto"/>
      </w:pPr>
      <w:r>
        <w:t xml:space="preserve">High-risk recall reached 91.58%, exceeding the original 80% target. However, recall alone is not a sufficient success metric. An </w:t>
      </w:r>
      <w:r>
        <w:rPr>
          <w:rFonts w:ascii="Consolas" w:hAnsi="Consolas"/>
          <w:sz w:val="18"/>
        </w:rPr>
        <w:t>Always High</w:t>
      </w:r>
      <w:r>
        <w:t xml:space="preserve"> strategy achieves 100% recall simply by flagging every project, but its 100% flag rate provides no analyst-time saving. Conversely, an </w:t>
      </w:r>
      <w:r>
        <w:rPr>
          <w:rFonts w:ascii="Consolas" w:hAnsi="Consolas"/>
          <w:sz w:val="18"/>
        </w:rPr>
        <w:t>Always Low</w:t>
      </w:r>
      <w:r>
        <w:t xml:space="preserve"> strategy maximises workload reduction but misses every risky project.</w:t>
      </w:r>
    </w:p>
    <w:p>
      <w:pPr>
        <w:spacing w:after="100" w:line="252" w:lineRule="auto"/>
      </w:pPr>
      <w:r>
        <w:t>EnergyInvest reaches a 25.17% flag rate and 74.83% workload reduction, so the evaluation explicitly measures the trade-off between risk capture and analyst effort. This metric design was added after instructor feedback and materially improved the project: the question changed from “How high is recall?” to “How much risk can be captured while still reducing manual review?”</w:t>
      </w:r>
    </w:p>
    <w:p>
      <w:pPr>
        <w:spacing w:after="100" w:line="252" w:lineRule="auto"/>
      </w:pPr>
      <w:r>
        <w:t>The result also has important weaknesses. 8.42% of historical high-risk holdout cases are still missed. Precision among flagged projects is only 35.83%, meaning many projects sent to the analyst are false positives. This is acceptable only for a triage setting where additional review is cheaper than overlooking a genuinely risky project. It would be inappropriate for automated capital allocation. The 11.03% abstention rate also shows that uncertainty remains material rather than negligible.</w:t>
      </w:r>
    </w:p>
    <w:p>
      <w:r>
        <w:rPr>
          <w:b/>
          <w:sz w:val="19"/>
        </w:rPr>
        <w:t>Table 2. Recall–workload trade-off</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pPr>
              <w:jc w:val="center"/>
            </w:pPr>
            <w:r>
              <w:rPr>
                <w:b/>
                <w:sz w:val="17"/>
              </w:rPr>
              <w:t>Approach</w:t>
            </w:r>
          </w:p>
        </w:tc>
        <w:tc>
          <w:tcPr>
            <w:tcW w:type="dxa" w:w="2484"/>
            <w:shd w:fill="D9EAF7"/>
          </w:tcPr>
          <w:p>
            <w:pPr>
              <w:jc w:val="center"/>
            </w:pPr>
            <w:r>
              <w:rPr>
                <w:b/>
                <w:sz w:val="17"/>
              </w:rPr>
              <w:t>Recall</w:t>
            </w:r>
          </w:p>
        </w:tc>
        <w:tc>
          <w:tcPr>
            <w:tcW w:type="dxa" w:w="2484"/>
            <w:shd w:fill="D9EAF7"/>
          </w:tcPr>
          <w:p>
            <w:pPr>
              <w:jc w:val="center"/>
            </w:pPr>
            <w:r>
              <w:rPr>
                <w:b/>
                <w:sz w:val="17"/>
              </w:rPr>
              <w:t>Flag Rate</w:t>
            </w:r>
          </w:p>
        </w:tc>
        <w:tc>
          <w:tcPr>
            <w:tcW w:type="dxa" w:w="2484"/>
            <w:shd w:fill="D9EAF7"/>
          </w:tcPr>
          <w:p>
            <w:pPr>
              <w:jc w:val="center"/>
            </w:pPr>
            <w:r>
              <w:rPr>
                <w:b/>
                <w:sz w:val="17"/>
              </w:rPr>
              <w:t>Workload Reduction</w:t>
            </w:r>
          </w:p>
        </w:tc>
      </w:tr>
      <w:tr>
        <w:tc>
          <w:tcPr>
            <w:tcW w:type="dxa" w:w="2484"/>
            <w:vAlign w:val="center"/>
          </w:tcPr>
          <w:p>
            <w:pPr>
              <w:spacing w:after="0"/>
            </w:pPr>
            <w:r>
              <w:rPr>
                <w:sz w:val="16"/>
              </w:rPr>
              <w:t>Always Low</w:t>
            </w:r>
          </w:p>
        </w:tc>
        <w:tc>
          <w:tcPr>
            <w:tcW w:type="dxa" w:w="2484"/>
            <w:vAlign w:val="center"/>
          </w:tcPr>
          <w:p>
            <w:pPr>
              <w:spacing w:after="0"/>
            </w:pPr>
            <w:r>
              <w:rPr>
                <w:sz w:val="16"/>
              </w:rPr>
              <w:t>0%</w:t>
            </w:r>
          </w:p>
        </w:tc>
        <w:tc>
          <w:tcPr>
            <w:tcW w:type="dxa" w:w="2484"/>
            <w:vAlign w:val="center"/>
          </w:tcPr>
          <w:p>
            <w:pPr>
              <w:spacing w:after="0"/>
            </w:pPr>
            <w:r>
              <w:rPr>
                <w:sz w:val="16"/>
              </w:rPr>
              <w:t>0%</w:t>
            </w:r>
          </w:p>
        </w:tc>
        <w:tc>
          <w:tcPr>
            <w:tcW w:type="dxa" w:w="2484"/>
            <w:vAlign w:val="center"/>
          </w:tcPr>
          <w:p>
            <w:pPr>
              <w:spacing w:after="0"/>
            </w:pPr>
            <w:r>
              <w:rPr>
                <w:sz w:val="16"/>
              </w:rPr>
              <w:t>100%</w:t>
            </w:r>
          </w:p>
        </w:tc>
      </w:tr>
      <w:tr>
        <w:tc>
          <w:tcPr>
            <w:tcW w:type="dxa" w:w="2484"/>
            <w:vAlign w:val="center"/>
          </w:tcPr>
          <w:p>
            <w:pPr>
              <w:spacing w:after="0"/>
            </w:pPr>
            <w:r>
              <w:rPr>
                <w:sz w:val="16"/>
              </w:rPr>
              <w:t>Always High</w:t>
            </w:r>
          </w:p>
        </w:tc>
        <w:tc>
          <w:tcPr>
            <w:tcW w:type="dxa" w:w="2484"/>
            <w:vAlign w:val="center"/>
          </w:tcPr>
          <w:p>
            <w:pPr>
              <w:spacing w:after="0"/>
            </w:pPr>
            <w:r>
              <w:rPr>
                <w:sz w:val="16"/>
              </w:rPr>
              <w:t>100%</w:t>
            </w:r>
          </w:p>
        </w:tc>
        <w:tc>
          <w:tcPr>
            <w:tcW w:type="dxa" w:w="2484"/>
            <w:vAlign w:val="center"/>
          </w:tcPr>
          <w:p>
            <w:pPr>
              <w:spacing w:after="0"/>
            </w:pPr>
            <w:r>
              <w:rPr>
                <w:sz w:val="16"/>
              </w:rPr>
              <w:t>100%</w:t>
            </w:r>
          </w:p>
        </w:tc>
        <w:tc>
          <w:tcPr>
            <w:tcW w:type="dxa" w:w="2484"/>
            <w:vAlign w:val="center"/>
          </w:tcPr>
          <w:p>
            <w:pPr>
              <w:spacing w:after="0"/>
            </w:pPr>
            <w:r>
              <w:rPr>
                <w:sz w:val="16"/>
              </w:rPr>
              <w:t>0%</w:t>
            </w:r>
          </w:p>
        </w:tc>
      </w:tr>
      <w:tr>
        <w:tc>
          <w:tcPr>
            <w:tcW w:type="dxa" w:w="2484"/>
            <w:vAlign w:val="center"/>
          </w:tcPr>
          <w:p>
            <w:pPr>
              <w:spacing w:after="0"/>
            </w:pPr>
            <w:r>
              <w:rPr>
                <w:sz w:val="16"/>
              </w:rPr>
              <w:t>EnergyInvest</w:t>
            </w:r>
          </w:p>
        </w:tc>
        <w:tc>
          <w:tcPr>
            <w:tcW w:type="dxa" w:w="2484"/>
            <w:vAlign w:val="center"/>
          </w:tcPr>
          <w:p>
            <w:pPr>
              <w:spacing w:after="0"/>
            </w:pPr>
            <w:r>
              <w:rPr>
                <w:sz w:val="16"/>
              </w:rPr>
              <w:t>91.58%</w:t>
            </w:r>
          </w:p>
        </w:tc>
        <w:tc>
          <w:tcPr>
            <w:tcW w:type="dxa" w:w="2484"/>
            <w:vAlign w:val="center"/>
          </w:tcPr>
          <w:p>
            <w:pPr>
              <w:spacing w:after="0"/>
            </w:pPr>
            <w:r>
              <w:rPr>
                <w:sz w:val="16"/>
              </w:rPr>
              <w:t>25.17%</w:t>
            </w:r>
          </w:p>
        </w:tc>
        <w:tc>
          <w:tcPr>
            <w:tcW w:type="dxa" w:w="2484"/>
            <w:vAlign w:val="center"/>
          </w:tcPr>
          <w:p>
            <w:pPr>
              <w:spacing w:after="0"/>
            </w:pPr>
            <w:r>
              <w:rPr>
                <w:sz w:val="16"/>
              </w:rPr>
              <w:t>74.83%</w:t>
            </w:r>
          </w:p>
        </w:tc>
      </w:tr>
    </w:tbl>
    <w:p>
      <w:pPr>
        <w:pStyle w:val="Heading1"/>
      </w:pPr>
      <w:r>
        <w:t>6. Difficulties Surpassed and Tuning</w:t>
      </w:r>
    </w:p>
    <w:p>
      <w:pPr>
        <w:spacing w:after="100" w:line="252" w:lineRule="auto"/>
      </w:pPr>
      <w:r>
        <w:t>Three design changes were especially important. First, I added flag rate and workload reduction because recall can be gamed by flagging everything. Second, I separated confirmed and inferred labels to test sensitivity to GEM’s own heuristics. Third, I replaced the planned time-aware split with a grouped facility holdout after inspecting the actual data. These changes improved reasoning quality more than simply increasing model complexity.</w:t>
      </w:r>
    </w:p>
    <w:p>
      <w:r>
        <w:rPr>
          <w:b/>
          <w:sz w:val="19"/>
        </w:rPr>
        <w:t>Table 3. Key development and tuning decisions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pPr>
              <w:jc w:val="center"/>
            </w:pPr>
            <w:r>
              <w:rPr>
                <w:b/>
                <w:sz w:val="17"/>
              </w:rPr>
              <w:t>Initial design</w:t>
            </w:r>
          </w:p>
        </w:tc>
        <w:tc>
          <w:tcPr>
            <w:tcW w:type="dxa" w:w="3312"/>
            <w:shd w:fill="D9EAF7"/>
          </w:tcPr>
          <w:p>
            <w:pPr>
              <w:jc w:val="center"/>
            </w:pPr>
            <w:r>
              <w:rPr>
                <w:b/>
                <w:sz w:val="17"/>
              </w:rPr>
              <w:t>Issue identified</w:t>
            </w:r>
          </w:p>
        </w:tc>
        <w:tc>
          <w:tcPr>
            <w:tcW w:type="dxa" w:w="3312"/>
            <w:shd w:fill="D9EAF7"/>
          </w:tcPr>
          <w:p>
            <w:pPr>
              <w:jc w:val="center"/>
            </w:pPr>
            <w:r>
              <w:rPr>
                <w:b/>
                <w:sz w:val="17"/>
              </w:rPr>
              <w:t>Final change</w:t>
            </w:r>
          </w:p>
        </w:tc>
      </w:tr>
      <w:tr>
        <w:tc>
          <w:tcPr>
            <w:tcW w:type="dxa" w:w="3312"/>
            <w:vAlign w:val="center"/>
          </w:tcPr>
          <w:p>
            <w:pPr>
              <w:spacing w:after="0"/>
            </w:pPr>
            <w:r>
              <w:rPr>
                <w:sz w:val="16"/>
              </w:rPr>
              <w:t>Recall as primary metric</w:t>
            </w:r>
          </w:p>
        </w:tc>
        <w:tc>
          <w:tcPr>
            <w:tcW w:type="dxa" w:w="3312"/>
            <w:vAlign w:val="center"/>
          </w:tcPr>
          <w:p>
            <w:pPr>
              <w:spacing w:after="0"/>
            </w:pPr>
            <w:r>
              <w:rPr>
                <w:sz w:val="16"/>
              </w:rPr>
              <w:t>Always-High can achieve 100% recall</w:t>
            </w:r>
          </w:p>
        </w:tc>
        <w:tc>
          <w:tcPr>
            <w:tcW w:type="dxa" w:w="3312"/>
            <w:vAlign w:val="center"/>
          </w:tcPr>
          <w:p>
            <w:pPr>
              <w:spacing w:after="0"/>
            </w:pPr>
            <w:r>
              <w:rPr>
                <w:sz w:val="16"/>
              </w:rPr>
              <w:t>Added flag rate and workload reduction</w:t>
            </w:r>
          </w:p>
        </w:tc>
      </w:tr>
      <w:tr>
        <w:tc>
          <w:tcPr>
            <w:tcW w:type="dxa" w:w="3312"/>
            <w:vAlign w:val="center"/>
          </w:tcPr>
          <w:p>
            <w:pPr>
              <w:spacing w:after="0"/>
            </w:pPr>
            <w:r>
              <w:rPr>
                <w:sz w:val="16"/>
              </w:rPr>
              <w:t>Combined inferred labels</w:t>
            </w:r>
          </w:p>
        </w:tc>
        <w:tc>
          <w:tcPr>
            <w:tcW w:type="dxa" w:w="3312"/>
            <w:vAlign w:val="center"/>
          </w:tcPr>
          <w:p>
            <w:pPr>
              <w:spacing w:after="0"/>
            </w:pPr>
            <w:r>
              <w:rPr>
                <w:sz w:val="16"/>
              </w:rPr>
              <w:t>Could reproduce GEM heuristics</w:t>
            </w:r>
          </w:p>
        </w:tc>
        <w:tc>
          <w:tcPr>
            <w:tcW w:type="dxa" w:w="3312"/>
            <w:vAlign w:val="center"/>
          </w:tcPr>
          <w:p>
            <w:pPr>
              <w:spacing w:after="0"/>
            </w:pPr>
            <w:r>
              <w:rPr>
                <w:sz w:val="16"/>
              </w:rPr>
              <w:t>Reported confirmed and inferred recall separately</w:t>
            </w:r>
          </w:p>
        </w:tc>
      </w:tr>
      <w:tr>
        <w:tc>
          <w:tcPr>
            <w:tcW w:type="dxa" w:w="3312"/>
            <w:vAlign w:val="center"/>
          </w:tcPr>
          <w:p>
            <w:pPr>
              <w:spacing w:after="0"/>
            </w:pPr>
            <w:r>
              <w:rPr>
                <w:sz w:val="16"/>
              </w:rPr>
              <w:t>Time-aware split</w:t>
            </w:r>
          </w:p>
        </w:tc>
        <w:tc>
          <w:tcPr>
            <w:tcW w:type="dxa" w:w="3312"/>
            <w:vAlign w:val="center"/>
          </w:tcPr>
          <w:p>
            <w:pPr>
              <w:spacing w:after="0"/>
            </w:pPr>
            <w:r>
              <w:rPr>
                <w:sz w:val="16"/>
              </w:rPr>
              <w:t>Start year is not a consistent timestamp</w:t>
            </w:r>
          </w:p>
        </w:tc>
        <w:tc>
          <w:tcPr>
            <w:tcW w:type="dxa" w:w="3312"/>
            <w:vAlign w:val="center"/>
          </w:tcPr>
          <w:p>
            <w:pPr>
              <w:spacing w:after="0"/>
            </w:pPr>
            <w:r>
              <w:rPr>
                <w:sz w:val="16"/>
              </w:rPr>
              <w:t>Used grouped holdout by GEM location ID</w:t>
            </w:r>
          </w:p>
        </w:tc>
      </w:tr>
      <w:tr>
        <w:tc>
          <w:tcPr>
            <w:tcW w:type="dxa" w:w="3312"/>
            <w:vAlign w:val="center"/>
          </w:tcPr>
          <w:p>
            <w:pPr>
              <w:spacing w:after="0"/>
            </w:pPr>
            <w:r>
              <w:rPr>
                <w:sz w:val="16"/>
              </w:rPr>
              <w:t>Operating + retired as Low Risk</w:t>
            </w:r>
          </w:p>
        </w:tc>
        <w:tc>
          <w:tcPr>
            <w:tcW w:type="dxa" w:w="3312"/>
            <w:vAlign w:val="center"/>
          </w:tcPr>
          <w:p>
            <w:pPr>
              <w:spacing w:after="0"/>
            </w:pPr>
            <w:r>
              <w:rPr>
                <w:sz w:val="16"/>
              </w:rPr>
              <w:t>Retired is a later lifecycle state</w:t>
            </w:r>
          </w:p>
        </w:tc>
        <w:tc>
          <w:tcPr>
            <w:tcW w:type="dxa" w:w="3312"/>
            <w:vAlign w:val="center"/>
          </w:tcPr>
          <w:p>
            <w:pPr>
              <w:spacing w:after="0"/>
            </w:pPr>
            <w:r>
              <w:rPr>
                <w:sz w:val="16"/>
              </w:rPr>
              <w:t>Used operating only</w:t>
            </w:r>
          </w:p>
        </w:tc>
      </w:tr>
    </w:tbl>
    <w:p>
      <w:pPr>
        <w:pStyle w:val="Heading1"/>
      </w:pPr>
      <w:r>
        <w:t>7. Rough Edges, Responsible Use and Future Path</w:t>
      </w:r>
    </w:p>
    <w:p>
      <w:pPr>
        <w:spacing w:after="100" w:line="252" w:lineRule="auto"/>
      </w:pPr>
      <w:r>
        <w:t>The largest limitation is that the September 2026 GIPT file is a snapshot rather than a true longitudinal dataset. The current holdout therefore tests generalisation across facilities, not genuine prediction from an earlier point in time to a later one. Future work should evaluate multiple dated GIPT releases to measure forward performance and concept drift.</w:t>
      </w:r>
    </w:p>
    <w:p>
      <w:pPr>
        <w:spacing w:after="100" w:line="252" w:lineRule="auto"/>
      </w:pPr>
      <w:r>
        <w:t>A second limitation is feature coverage. GIPT provides useful project characteristics, but real development risk also depends on permitting, financing, grid constraints, policy changes, electricity prices and country risk. Adding external evidence could improve precision, but it would also increase data-maintenance and integration costs.</w:t>
      </w:r>
    </w:p>
    <w:p>
      <w:pPr>
        <w:spacing w:after="100" w:line="252" w:lineRule="auto"/>
      </w:pPr>
      <w:r>
        <w:t>Future work should prioritise stronger temporal validation, probability calibration, systematic threshold tuning and richer external evidence rather than automatically moving to a more complex model. EnergyInvest uses no personal data and should remain a first-pass decision-support tool: the analyst retains responsibility for due diligence and final investment decisions.</w:t>
      </w:r>
    </w:p>
    <w:p/>
    <w:p>
      <w:pPr>
        <w:spacing w:before="80"/>
      </w:pPr>
      <w:r>
        <w:rPr>
          <w:b/>
        </w:rPr>
        <w:t xml:space="preserve">Data source: </w:t>
      </w:r>
      <w:r>
        <w:t>Global Energy Monitor, Global Integrated Power Tracker (GIPT), September 2026 release.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 xml:space="preserve">EnergyInvest · Zhou Yihan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EnergyInvest — Business &amp; Technical Trade-off Analysis</dc:title>
  <dc:subject/>
  <dc:creator>Zhou Yihan</dc:creator>
  <cp:keywords/>
  <dc:description>generated by python-docx</dc:description>
  <cp:lastModifiedBy/>
  <cp:revision>1</cp:revision>
  <dcterms:created xsi:type="dcterms:W3CDTF">2013-12-23T23:15:00Z</dcterms:created>
  <dcterms:modified xsi:type="dcterms:W3CDTF">2013-12-23T23:15:00Z</dcterms:modified>
  <cp:category/>
</cp:coreProperties>
</file>