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API中转平台（M2）产品需求文档 V2.1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52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文档版本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修改日期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修改人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修改内容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2026-05-09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孙楠迪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初版创建，定义核心模块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2026-05-10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孙楠迪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简化角色与组织架构，重构Key管理与客户库，移除审批/有效期/倍率/黑白名单，新增Key检索与批量操作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2026-05-11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孙楠迪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调整测试Key默认额度为2元，支持批量生成10-100个Key</w:t>
            </w:r>
          </w:p>
        </w:tc>
      </w:tr>
    </w:tbl>
    <w:p>
      <w:pPr>
        <w:pBdr>
          <w:bottom w:val="single" w:color="CCCCCC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1. 产品概述</w:t>
      </w:r>
    </w:p>
    <w:p>
      <w:pPr>
        <w:pStyle w:val="Heading2"/>
      </w:pPr>
      <w:r>
        <w:rPr>
          <w:rFonts w:ascii="Arial" w:cs="Arial" w:eastAsia="Arial" w:hAnsi="Arial"/>
        </w:rPr>
        <w:t xml:space="preserve">1.1 产品定位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M2是一个面向企业内部的API中转与分发平台，核心目标是为外部组织（客户）提供稳定、可度量、快速发放的DeepSeek V4 Flash模型API访问服务。平台聚焦于Key的高效发放与精准计费，弱化复杂权限层级，以轻量化客户库代替绑定关系。</w:t>
      </w:r>
    </w:p>
    <w:p>
      <w:pPr>
        <w:pStyle w:val="Heading2"/>
      </w:pPr>
      <w:r>
        <w:rPr>
          <w:rFonts w:ascii="Arial" w:cs="Arial" w:eastAsia="Arial" w:hAnsi="Arial"/>
        </w:rPr>
        <w:t xml:space="preserve">1.2 核心目标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极简管控</w:t>
      </w:r>
      <w:r>
        <w:rPr>
          <w:rFonts w:ascii="Arial" w:cs="Arial" w:eastAsia="Arial" w:hAnsi="Arial"/>
          <w:sz w:val="24"/>
          <w:szCs w:val="24"/>
        </w:rPr>
        <w:t xml:space="preserve">：仅保留管理员、授权实施/研发人员两类内部角色，任何授权人员均可直接为客户组织生成、管理Key。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精准计费</w:t>
      </w:r>
      <w:r>
        <w:rPr>
          <w:rFonts w:ascii="Arial" w:cs="Arial" w:eastAsia="Arial" w:hAnsi="Arial"/>
          <w:sz w:val="24"/>
          <w:szCs w:val="24"/>
        </w:rPr>
        <w:t xml:space="preserve">：以上游API（DeepSeek）返回的实际Token消耗为唯一计费依据，不加价，直接扣除Key的额度。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高效Key管理</w:t>
      </w:r>
      <w:r>
        <w:rPr>
          <w:rFonts w:ascii="Arial" w:cs="Arial" w:eastAsia="Arial" w:hAnsi="Arial"/>
          <w:sz w:val="24"/>
          <w:szCs w:val="24"/>
        </w:rPr>
        <w:t xml:space="preserve">：以Key为中心，支持按客户名称筛选、批量停用/启用，且Key可二次查看，完整展示创建者与归属客户。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试用与正式区分</w:t>
      </w:r>
      <w:r>
        <w:rPr>
          <w:rFonts w:ascii="Arial" w:cs="Arial" w:eastAsia="Arial" w:hAnsi="Arial"/>
          <w:sz w:val="24"/>
          <w:szCs w:val="24"/>
        </w:rPr>
        <w:t xml:space="preserve">：明确划分永久Key与测试Key，满足长期合作与临时试用场景。</w:t>
      </w:r>
    </w:p>
    <w:p>
      <w:pPr>
        <w:pStyle w:val="Heading2"/>
      </w:pPr>
      <w:r>
        <w:rPr>
          <w:rFonts w:ascii="Arial" w:cs="Arial" w:eastAsia="Arial" w:hAnsi="Arial"/>
        </w:rPr>
        <w:t xml:space="preserve">1.3 核心术语定义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术语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定义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内部员工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平台的操作者，分为管理员和授权实施/研发人员，具有登录后台的权限。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客户(组织)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需要调用API的外部企业或团队，仅作为Key的归属标签，记录在客户库中。客户不可登录后台。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下发给客户组织的API调用凭证，每个Key拥有独立的额度、类型（永久/测试）和状态，是计费与控制的唯一单元。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永久Key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无过期时间、无预设额度上限的Key，适用于正式商业使用。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测试Key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创建时需设定额度（元），额度耗尽或主动停用后不可调用，适用于产品试用。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Token消耗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上游API（DeepSeek）在Response中返回的usage对象，含prompt_tokens和completion_tokens。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创建者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生成该Key的内部员工，用于追溯Key的来源。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2. 模块一：角色与权限</w:t>
      </w:r>
    </w:p>
    <w:p>
      <w:pPr>
        <w:pStyle w:val="Heading2"/>
      </w:pPr>
      <w:r>
        <w:rPr>
          <w:rFonts w:ascii="Arial" w:cs="Arial" w:eastAsia="Arial" w:hAnsi="Arial"/>
        </w:rPr>
        <w:t xml:space="preserve">2.1 角色定义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平台仅保留以下三类角色，其中客户不具有登录后台权限：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管理员</w:t>
      </w:r>
      <w:r>
        <w:rPr>
          <w:rFonts w:ascii="Arial" w:cs="Arial" w:eastAsia="Arial" w:hAnsi="Arial"/>
          <w:sz w:val="24"/>
          <w:szCs w:val="24"/>
        </w:rPr>
        <w:t xml:space="preserve">：拥有平台全部管理权限。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授权实施/研发人员</w:t>
      </w:r>
      <w:r>
        <w:rPr>
          <w:rFonts w:ascii="Arial" w:cs="Arial" w:eastAsia="Arial" w:hAnsi="Arial"/>
          <w:sz w:val="24"/>
          <w:szCs w:val="24"/>
        </w:rPr>
        <w:t xml:space="preserve">：可进行Key生成、客户库维护、用量查看等操作。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客户</w:t>
      </w:r>
      <w:r>
        <w:rPr>
          <w:rFonts w:ascii="Arial" w:cs="Arial" w:eastAsia="Arial" w:hAnsi="Arial"/>
          <w:sz w:val="24"/>
          <w:szCs w:val="24"/>
        </w:rPr>
        <w:t xml:space="preserve">：仅通过Key调用API，无后台账号。</w:t>
      </w:r>
    </w:p>
    <w:p>
      <w:pPr>
        <w:pStyle w:val="Heading2"/>
      </w:pPr>
      <w:r>
        <w:rPr>
          <w:rFonts w:ascii="Arial" w:cs="Arial" w:eastAsia="Arial" w:hAnsi="Arial"/>
        </w:rPr>
        <w:t xml:space="preserve">2.2 权限矩阵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600"/>
        <w:gridCol w:w="2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关键操作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管理员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授权实施/研发人员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客户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管理内部员工账号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维护客户库（增/查）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生成Key（含永久/测试）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查看、搜索所有Key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Y（可查看所有Key）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批量停用/启用Key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Y（仅可操作自己生成的Key）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查看Key详情、复制Key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查看全局用量报表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查看个人生成Key的用量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使用Key调用API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3. 模块二：内部员工管理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功能目标：</w:t>
      </w:r>
      <w:r>
        <w:rPr>
          <w:rFonts w:ascii="Arial" w:cs="Arial" w:eastAsia="Arial" w:hAnsi="Arial"/>
          <w:sz w:val="24"/>
          <w:szCs w:val="24"/>
        </w:rPr>
        <w:t xml:space="preserve">统一管理授权登录后台的操作账号，不再强制归属部门。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详细需求：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员工账号创建</w:t>
      </w:r>
      <w:r>
        <w:rPr>
          <w:rFonts w:ascii="Arial" w:cs="Arial" w:eastAsia="Arial" w:hAnsi="Arial"/>
          <w:sz w:val="24"/>
          <w:szCs w:val="24"/>
        </w:rPr>
        <w:t xml:space="preserve">：仅管理员可在员工管理页面创建账号。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必填字段：姓名、登录邮箱、初始密码、角色（管理员 / 授权实施/研发人员）。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列表管理</w:t>
      </w:r>
      <w:r>
        <w:rPr>
          <w:rFonts w:ascii="Arial" w:cs="Arial" w:eastAsia="Arial" w:hAnsi="Arial"/>
          <w:sz w:val="24"/>
          <w:szCs w:val="24"/>
        </w:rPr>
        <w:t xml:space="preserve">：支持按姓名、邮箱搜索；管理员可编辑、停用/启用员工账号。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客户关联</w:t>
      </w:r>
      <w:r>
        <w:rPr>
          <w:rFonts w:ascii="Arial" w:cs="Arial" w:eastAsia="Arial" w:hAnsi="Arial"/>
          <w:sz w:val="24"/>
          <w:szCs w:val="24"/>
        </w:rPr>
        <w:t xml:space="preserve">：员工与客户解耦，不再展示“名下客户”。任何授权实施/研发人员均可为任意客户生成Key。</w:t>
      </w:r>
    </w:p>
    <w:p>
      <w:pPr>
        <w:pStyle w:val="Heading1"/>
      </w:pPr>
      <w:r>
        <w:rPr>
          <w:rFonts w:ascii="Arial" w:cs="Arial" w:eastAsia="Arial" w:hAnsi="Arial"/>
        </w:rPr>
        <w:t xml:space="preserve">4. 模块三：客户库管理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功能目标：</w:t>
      </w:r>
      <w:r>
        <w:rPr>
          <w:rFonts w:ascii="Arial" w:cs="Arial" w:eastAsia="Arial" w:hAnsi="Arial"/>
          <w:sz w:val="24"/>
          <w:szCs w:val="24"/>
        </w:rPr>
        <w:t xml:space="preserve">建立一个可复用的客户组织名称库，生成Key时直接选用。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详细需求：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客户库入口</w:t>
      </w:r>
      <w:r>
        <w:rPr>
          <w:rFonts w:ascii="Arial" w:cs="Arial" w:eastAsia="Arial" w:hAnsi="Arial"/>
          <w:sz w:val="24"/>
          <w:szCs w:val="24"/>
        </w:rPr>
        <w:t xml:space="preserve">：管理员和授权实施/研发人员可见“客户库”菜单。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新增客户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功能：手动添加客户名称（公司名），唯一。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操作：在客户库页面点击【新增客户】，填写名称保存。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智能联想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在生成Key界面，输入客户名称时，系统实时匹配库中已有客户，输入2个字后弹出联想列表。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若库中无匹配项，可直接回车将新名称写入客户库并关联到当前Key（一步完成客户新增与Key生成）。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客户列表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展示客户名称、关联Key数量、最近更新时间。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支持按名称搜索。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客户详情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点击客户名称可进入详情，列出该客户下所有Key的摘要（Key值部分脱敏显示，状态、额度、创建者、创建时间），并支持跳转至Key管理页面进一步筛选。</w:t>
      </w:r>
    </w:p>
    <w:p>
      <w:pPr>
        <w:pStyle w:val="Heading1"/>
      </w:pPr>
      <w:r>
        <w:rPr>
          <w:rFonts w:ascii="Arial" w:cs="Arial" w:eastAsia="Arial" w:hAnsi="Arial"/>
        </w:rPr>
        <w:t xml:space="preserve">5. 模块四：Key生命周期管理</w:t>
      </w:r>
    </w:p>
    <w:p>
      <w:pPr>
        <w:pStyle w:val="Heading2"/>
      </w:pPr>
      <w:r>
        <w:rPr>
          <w:rFonts w:ascii="Arial" w:cs="Arial" w:eastAsia="Arial" w:hAnsi="Arial"/>
        </w:rPr>
        <w:t xml:space="preserve">5.1 生成Key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生成方式</w:t>
      </w:r>
      <w:r>
        <w:rPr>
          <w:rFonts w:ascii="Arial" w:cs="Arial" w:eastAsia="Arial" w:hAnsi="Arial"/>
          <w:sz w:val="24"/>
          <w:szCs w:val="24"/>
        </w:rPr>
        <w:t xml:space="preserve">：支持“单个生成”和“批量生成”。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入口</w:t>
      </w:r>
      <w:r>
        <w:rPr>
          <w:rFonts w:ascii="Arial" w:cs="Arial" w:eastAsia="Arial" w:hAnsi="Arial"/>
          <w:sz w:val="24"/>
          <w:szCs w:val="24"/>
        </w:rPr>
        <w:t xml:space="preserve">：Key管理页面 &gt; 【生成Key】/【批量生成Key】按钮，或从客户详情页快捷进入。</w:t>
      </w:r>
    </w:p>
    <w:p>
      <w:pPr>
        <w:pStyle w:val="Heading3"/>
      </w:pPr>
      <w:r>
        <w:rPr>
          <w:rFonts w:ascii="Arial" w:cs="Arial" w:eastAsia="Arial" w:hAnsi="Arial"/>
        </w:rPr>
        <w:t xml:space="preserve">5.1.1 单个生成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生成表单：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客户名称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必填，输入框带智能联想。若库中无此名称，回车后自动入库。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Key类型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必选：永久Key / 测试Key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额度（元）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仅测试Key需填写，默认值为2.00元（由系统参数“测试Key默认额度”动态获取），可手动修改，数值&gt;0。永久Key不显示该字段。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备注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选填，用于内部标识。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5.1.2 批量生成（10-100个）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操作流程：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Key管理页面点击【批量生成Key】，弹出配置窗口。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填写以下配置项：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客户名称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必填，联想输入，同单个生成规则。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Key类型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必选：永久Key / 测试Key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生成数量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必填，输入框，限制范围为10-100个。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单个额度（元）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仅测试Key需填写，默认值2.00元（系统参数动态获取），所有批量生成的Key统一使用此额度。永久Key不显示该字段。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备注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选填，所有批量Key共用此备注。</w:t>
            </w:r>
          </w:p>
        </w:tc>
      </w:tr>
    </w:tbl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点击【确认生成】，系统一次性创建指定数量的Key，所有Key状态默认为“已启用”。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无审批流程，无有效期，无单日生成限额。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生成结果展示（全屏结果页）：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结果摘要</w:t>
      </w:r>
      <w:r>
        <w:rPr>
          <w:rFonts w:ascii="Arial" w:cs="Arial" w:eastAsia="Arial" w:hAnsi="Arial"/>
          <w:sz w:val="24"/>
          <w:szCs w:val="24"/>
        </w:rPr>
        <w:t xml:space="preserve">：顶部提示“已成功生成 N 个Key，总额度 X 元。”（永久Key不显示总额度）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Key清单</w:t>
      </w:r>
      <w:r>
        <w:rPr>
          <w:rFonts w:ascii="Arial" w:cs="Arial" w:eastAsia="Arial" w:hAnsi="Arial"/>
          <w:sz w:val="24"/>
          <w:szCs w:val="24"/>
        </w:rPr>
        <w:t xml:space="preserve">：以表格展示，列包含：</w:t>
      </w:r>
    </w:p>
    <w:p>
      <w:pPr>
        <w:pStyle w:val="ListParagraph"/>
        <w:numPr>
          <w:ilvl w:val="1"/>
          <w:numId w:val="9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Key（完整明文显示，提供【复制】按钮）</w:t>
      </w:r>
    </w:p>
    <w:p>
      <w:pPr>
        <w:pStyle w:val="ListParagraph"/>
        <w:numPr>
          <w:ilvl w:val="1"/>
          <w:numId w:val="9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客户名称</w:t>
      </w:r>
    </w:p>
    <w:p>
      <w:pPr>
        <w:pStyle w:val="ListParagraph"/>
        <w:numPr>
          <w:ilvl w:val="1"/>
          <w:numId w:val="9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Key类型</w:t>
      </w:r>
    </w:p>
    <w:p>
      <w:pPr>
        <w:pStyle w:val="ListParagraph"/>
        <w:numPr>
          <w:ilvl w:val="1"/>
          <w:numId w:val="9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额度（测试Key显示金额，永久Key显示“无限”）</w:t>
      </w:r>
    </w:p>
    <w:p>
      <w:pPr>
        <w:pStyle w:val="ListParagraph"/>
        <w:numPr>
          <w:ilvl w:val="1"/>
          <w:numId w:val="9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状态（默认“已启用”）</w:t>
      </w:r>
    </w:p>
    <w:p>
      <w:pPr>
        <w:pStyle w:val="ListParagraph"/>
        <w:numPr>
          <w:ilvl w:val="1"/>
          <w:numId w:val="9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创建时间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一键导出</w:t>
      </w:r>
      <w:r>
        <w:rPr>
          <w:rFonts w:ascii="Arial" w:cs="Arial" w:eastAsia="Arial" w:hAnsi="Arial"/>
          <w:sz w:val="24"/>
          <w:szCs w:val="24"/>
        </w:rPr>
        <w:t xml:space="preserve">：</w:t>
      </w:r>
    </w:p>
    <w:p>
      <w:pPr>
        <w:pStyle w:val="ListParagraph"/>
        <w:numPr>
          <w:ilvl w:val="1"/>
          <w:numId w:val="9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提供【一键导出全部Key信息（CSV）】按钮。</w:t>
      </w:r>
    </w:p>
    <w:p>
      <w:pPr>
        <w:pStyle w:val="ListParagraph"/>
        <w:numPr>
          <w:ilvl w:val="1"/>
          <w:numId w:val="9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导出文件名：[客户名称]-Key批量-[生成日期].csv</w:t>
      </w:r>
    </w:p>
    <w:p>
      <w:pPr>
        <w:pStyle w:val="ListParagraph"/>
        <w:numPr>
          <w:ilvl w:val="1"/>
          <w:numId w:val="9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文件内容包含完整Key、客户名称、类型、额度、状态、创建时间，无掩码。</w:t>
      </w:r>
    </w:p>
    <w:p>
      <w:pPr>
        <w:pStyle w:val="ListParagraph"/>
        <w:numPr>
          <w:ilvl w:val="1"/>
          <w:numId w:val="9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Key可随时在后台二次查看，不再弹出“无法二次查看”警告。</w:t>
      </w:r>
    </w:p>
    <w:p>
      <w:pPr>
        <w:pStyle w:val="Heading2"/>
      </w:pPr>
      <w:r>
        <w:rPr>
          <w:rFonts w:ascii="Arial" w:cs="Arial" w:eastAsia="Arial" w:hAnsi="Arial"/>
        </w:rPr>
        <w:t xml:space="preserve">5.2 Key管理列表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功能目标：</w:t>
      </w:r>
      <w:r>
        <w:rPr>
          <w:rFonts w:ascii="Arial" w:cs="Arial" w:eastAsia="Arial" w:hAnsi="Arial"/>
          <w:sz w:val="24"/>
          <w:szCs w:val="24"/>
        </w:rPr>
        <w:t xml:space="preserve">提供全局维度的Key检索、筛选与批量操作。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入口：</w:t>
      </w:r>
      <w:r>
        <w:rPr>
          <w:rFonts w:ascii="Arial" w:cs="Arial" w:eastAsia="Arial" w:hAnsi="Arial"/>
          <w:sz w:val="24"/>
          <w:szCs w:val="24"/>
        </w:rPr>
        <w:t xml:space="preserve">Key管理菜单（管理员及授权实施人员可见）。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列表字段：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Key（完整明文展示，提供复制按钮）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客户名称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Key类型（永久/测试）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额度（测试Key显示具体金额；永久Key显示“无限”）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剩余额度（实时计算）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状态（已启用 / 已停用）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创建者（内部员工姓名）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创建时间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操作按钮：【复制】【停用/启用】【删除】（删除仅管理员可见）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检索与筛选：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支持按Key精确搜索（输入完整Key直接定位所属客户及详情）。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支持按客户名称模糊搜索。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支持按Key类型、状态、创建者筛选。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筛选结果支持批量勾选，可批量执行“停用”或“启用”（授权实施人员仅可批量操作自己创建的Key，管理员可操作所有）。</w:t>
      </w:r>
    </w:p>
    <w:p>
      <w:pPr>
        <w:pStyle w:val="Heading2"/>
      </w:pPr>
      <w:r>
        <w:rPr>
          <w:rFonts w:ascii="Arial" w:cs="Arial" w:eastAsia="Arial" w:hAnsi="Arial"/>
        </w:rPr>
        <w:t xml:space="preserve">5.3 Key停用/启用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单个操作：在列表行点击【停用】或【启用】即时生效。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批量操作：勾选多个Key后点击【批量停用】或【批量启用】。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停用后，该Key发起的API请求将被拒绝，但不删除计费记录。</w:t>
      </w:r>
    </w:p>
    <w:p>
      <w:pPr>
        <w:pStyle w:val="Heading2"/>
      </w:pPr>
      <w:r>
        <w:rPr>
          <w:rFonts w:ascii="Arial" w:cs="Arial" w:eastAsia="Arial" w:hAnsi="Arial"/>
        </w:rPr>
        <w:t xml:space="preserve">5.4 Key详情与二次查看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点击列表中的Key可进入详情页。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详情展示：完整Key、客户名称、类型、总额度、已消耗、剩余额度、创建者、状态、创建时间。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完整Key始终可见</w:t>
      </w:r>
      <w:r>
        <w:rPr>
          <w:rFonts w:ascii="Arial" w:cs="Arial" w:eastAsia="Arial" w:hAnsi="Arial"/>
          <w:sz w:val="24"/>
          <w:szCs w:val="24"/>
        </w:rPr>
        <w:t xml:space="preserve">，不再掩码隐藏，页面提供【复制Key】按钮。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可随时查看，不再弹出“无法二次查看”警告。</w:t>
      </w:r>
    </w:p>
    <w:p>
      <w:pPr>
        <w:pStyle w:val="Heading1"/>
      </w:pPr>
      <w:r>
        <w:rPr>
          <w:rFonts w:ascii="Arial" w:cs="Arial" w:eastAsia="Arial" w:hAnsi="Arial"/>
        </w:rPr>
        <w:t xml:space="preserve">6. 模块五：计费引擎</w:t>
      </w:r>
    </w:p>
    <w:p>
      <w:pPr>
        <w:pStyle w:val="Heading2"/>
      </w:pPr>
      <w:r>
        <w:rPr>
          <w:rFonts w:ascii="Arial" w:cs="Arial" w:eastAsia="Arial" w:hAnsi="Arial"/>
        </w:rPr>
        <w:t xml:space="preserve">6.1 核心计费逻辑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原则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：以DeepSeek API返回的usage对象为唯一结算依据，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不加价</w:t>
      </w:r>
      <w:r>
        <w:rPr>
          <w:rFonts w:ascii="Arial" w:cs="Arial" w:eastAsia="Arial" w:hAnsi="Arial"/>
          <w:sz w:val="24"/>
          <w:szCs w:val="24"/>
        </w:rPr>
        <w:t xml:space="preserve">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计费公式：</w:t>
      </w:r>
    </w:p>
    <w:p>
      <w:pPr>
        <w:shd w:fill="F5F5F5" w:val="clear"/>
        <w:spacing w:after="120" w:before="120"/>
        <w:ind w:left="7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扣费金额 = (prompt_tokens × 输入Token单价) + (completion_tokens × 输出Token单价)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DeepSeek V4 Flash 成本单价（元/百万Tokens）：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输入（缓存命中）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输入（缓存未命中）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输出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扣费流程：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系统转发请求至DeepSeek。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解析Response中的usage.prompt_tokens与usage.completion_tokens。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查询系统配置的模型成本单价。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计算金额并从该次调用使用的Key剩余额度中实时扣除。若为永久Key，则仅记录消耗金额，不设额度限制。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额度耗尽处理：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测试Key剩余额度不足时，API返回错误提示“额度不足”，并拒绝转发。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永久Key无额度校验，正常转发并记录消耗。</w:t>
      </w:r>
    </w:p>
    <w:p>
      <w:pPr>
        <w:pStyle w:val="Heading2"/>
      </w:pPr>
      <w:r>
        <w:rPr>
          <w:rFonts w:ascii="Arial" w:cs="Arial" w:eastAsia="Arial" w:hAnsi="Arial"/>
        </w:rPr>
        <w:t xml:space="preserve">6.2 模型成本配置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入口：</w:t>
      </w:r>
      <w:r>
        <w:rPr>
          <w:rFonts w:ascii="Arial" w:cs="Arial" w:eastAsia="Arial" w:hAnsi="Arial"/>
          <w:sz w:val="24"/>
          <w:szCs w:val="24"/>
        </w:rPr>
        <w:t xml:space="preserve">系统设置 &gt; 模型管理（仅管理员可见）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可配置项：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模型名称：DeepSeek V4 Flash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模型标识：deepseek-v4-flash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输入Token单价（缓存命中 / 未命中）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输出Token单价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售价倍率项已废除</w:t>
      </w:r>
      <w:r>
        <w:rPr>
          <w:rFonts w:ascii="Arial" w:cs="Arial" w:eastAsia="Arial" w:hAnsi="Arial"/>
          <w:sz w:val="24"/>
          <w:szCs w:val="24"/>
        </w:rPr>
        <w:t xml:space="preserve">，界面不显示。</w:t>
      </w:r>
    </w:p>
    <w:p>
      <w:pPr>
        <w:pStyle w:val="Heading1"/>
      </w:pPr>
      <w:r>
        <w:rPr>
          <w:rFonts w:ascii="Arial" w:cs="Arial" w:eastAsia="Arial" w:hAnsi="Arial"/>
        </w:rPr>
        <w:t xml:space="preserve">7. 模块六：安全策略与访问控制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简化说明</w:t>
      </w:r>
      <w:r>
        <w:rPr>
          <w:rFonts w:ascii="Arial" w:cs="Arial" w:eastAsia="Arial" w:hAnsi="Arial"/>
          <w:sz w:val="24"/>
          <w:szCs w:val="24"/>
        </w:rPr>
        <w:t xml:space="preserve">：不再需要复杂的IP黑白名单、域名控制等。仅通过Key状态控制访问。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实现方式：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Key状态为“已启用”时，允许携带该Key的请求正常转发。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Key状态为“已停用”时，直接拒绝请求，返回“Key已被停用”错误。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管理员和授权实施人员可通过管理后台即时停用/启用Key，达到访问控制目的。</w:t>
      </w:r>
    </w:p>
    <w:p>
      <w:pPr>
        <w:pStyle w:val="Heading1"/>
      </w:pPr>
      <w:r>
        <w:rPr>
          <w:rFonts w:ascii="Arial" w:cs="Arial" w:eastAsia="Arial" w:hAnsi="Arial"/>
        </w:rPr>
        <w:t xml:space="preserve">8. 模块七：数据看板与统计</w:t>
      </w:r>
    </w:p>
    <w:p>
      <w:pPr>
        <w:pStyle w:val="Heading2"/>
      </w:pPr>
      <w:r>
        <w:rPr>
          <w:rFonts w:ascii="Arial" w:cs="Arial" w:eastAsia="Arial" w:hAnsi="Arial"/>
        </w:rPr>
        <w:t xml:space="preserve">8.1 全局统计看板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可见权限：</w:t>
      </w:r>
      <w:r>
        <w:rPr>
          <w:rFonts w:ascii="Arial" w:cs="Arial" w:eastAsia="Arial" w:hAnsi="Arial"/>
          <w:sz w:val="24"/>
          <w:szCs w:val="24"/>
        </w:rPr>
        <w:t xml:space="preserve">管理员可见全平台数据，授权实施人员仅可见自己生成的Key的汇总数据。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核心指标卡片：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今日/本周/本月总API调用次数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今日/本周/本月总Token消耗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今日/本周/本月总金额消耗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活跃Key数量（当日有过调用的Key）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消耗趋势图：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以折线图展示选定时间段内的每日“金额消耗”与“Token消耗”变化。</w:t>
      </w:r>
    </w:p>
    <w:p>
      <w:pPr>
        <w:pStyle w:val="Heading2"/>
      </w:pPr>
      <w:r>
        <w:rPr>
          <w:rFonts w:ascii="Arial" w:cs="Arial" w:eastAsia="Arial" w:hAnsi="Arial"/>
        </w:rPr>
        <w:t xml:space="preserve">8.2 客户与Key维度报表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客户用量报表：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以客户为维度，统计各客户的Key数量、活跃Key数、总调用次数、总Token消耗、总金额消耗。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支持按金额降序排列。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授权实施人员可见全量客户报表（无部门隔离）。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Key用量明细：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列表展示每个Key的累计调用次数、总Token、总金额，支持按条件筛选。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授权实施人员默认仅展示自己创建的Key，管理员展示全部。</w:t>
      </w:r>
    </w:p>
    <w:p>
      <w:pPr>
        <w:pStyle w:val="Heading1"/>
      </w:pPr>
      <w:r>
        <w:rPr>
          <w:rFonts w:ascii="Arial" w:cs="Arial" w:eastAsia="Arial" w:hAnsi="Arial"/>
        </w:rPr>
        <w:t xml:space="preserve">9. 模块八：运维配置与系统设置</w:t>
      </w:r>
    </w:p>
    <w:p>
      <w:pPr>
        <w:pStyle w:val="Heading2"/>
      </w:pPr>
      <w:r>
        <w:rPr>
          <w:rFonts w:ascii="Arial" w:cs="Arial" w:eastAsia="Arial" w:hAnsi="Arial"/>
        </w:rPr>
        <w:t xml:space="preserve">9.1 系统参数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入口：</w:t>
      </w:r>
      <w:r>
        <w:rPr>
          <w:rFonts w:ascii="Arial" w:cs="Arial" w:eastAsia="Arial" w:hAnsi="Arial"/>
          <w:sz w:val="24"/>
          <w:szCs w:val="24"/>
        </w:rPr>
        <w:t xml:space="preserve">系统设置 &gt; 参数配置（仅管理员可见）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可配置项：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测试Key默认额度</w:t>
      </w:r>
      <w:r>
        <w:rPr>
          <w:rFonts w:ascii="Arial" w:cs="Arial" w:eastAsia="Arial" w:hAnsi="Arial"/>
          <w:sz w:val="24"/>
          <w:szCs w:val="24"/>
        </w:rPr>
        <w:t xml:space="preserve">：数值型，单位“元”。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默认值：2.00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影响范围：单个生成和批量生成测试Key时，额度字段的初始默认值。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Key备注模板</w:t>
      </w:r>
      <w:r>
        <w:rPr>
          <w:rFonts w:ascii="Arial" w:cs="Arial" w:eastAsia="Arial" w:hAnsi="Arial"/>
          <w:sz w:val="24"/>
          <w:szCs w:val="24"/>
        </w:rPr>
        <w:t xml:space="preserve">（可选）：无实际业务影响。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已移除的参数</w:t>
      </w:r>
      <w:r>
        <w:rPr>
          <w:rFonts w:ascii="Arial" w:cs="Arial" w:eastAsia="Arial" w:hAnsi="Arial"/>
          <w:sz w:val="24"/>
          <w:szCs w:val="24"/>
        </w:rPr>
        <w:t xml:space="preserve">：试用Key默认有效期、授权员工单日生成额度上限、售价倍率、Key前缀。</w:t>
      </w:r>
    </w:p>
    <w:p>
      <w:pPr>
        <w:pStyle w:val="Heading2"/>
      </w:pPr>
      <w:r>
        <w:rPr>
          <w:rFonts w:ascii="Arial" w:cs="Arial" w:eastAsia="Arial" w:hAnsi="Arial"/>
        </w:rPr>
        <w:t xml:space="preserve">9.2 操作日志（可选保留）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记录Key的生成、停用/启用、删除（管理员）等关键操作，包含操作人、时间、具体Key及客户名称，用于审计。</w:t>
      </w:r>
    </w:p>
    <w:p>
      <w:pPr>
        <w:pStyle w:val="Heading1"/>
      </w:pPr>
      <w:r>
        <w:rPr>
          <w:rFonts w:ascii="Arial" w:cs="Arial" w:eastAsia="Arial" w:hAnsi="Arial"/>
        </w:rPr>
        <w:t xml:space="preserve">10. 附录：变更对照说明（V1.0 → V2.1）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变更点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V2.1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超级管理员、部门管理员、授权实施/研发、普通员工、外部客户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管理员、授权实施/研发人员、客户（后台不可登录）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组织架构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公司-部门-员工三级树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取消部门；员工扁平化管理，不绑定部门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客户管理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归属员工强绑定，需在部门下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客户库独立，任何人均可选用，联想输入，无归属员工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Key生成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批量生成试用Key，需选择额度策略、有效期、前缀，受审批和单日限额管控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支持单个/批量(10-100个)生成，区分永久/测试Key，测试Key默认额度2元，无限额、无有效期、无前缀，无需审批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Key可见性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初次展示后可复制，但平台无法二次查看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Key全程明文可见，随时复制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Key检索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支持按Key反查客户、按客户名筛选，批量停用/启用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计费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成本×售价倍率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成本价直接扣费，无倍率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安全策略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IP黑白名单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仅通过Key停用/启用控制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报表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按部门、员工汇聚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按客户、Key汇聚；授权人员可见全部数据，不再隔离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文档结束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—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API中转平台（M2）PRD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13"/>
    <w:lvlOverride w:ilvl="0">
      <w:startOverride w:val="1"/>
    </w:lvlOverride>
  </w:num>
  <w:num w:numId="10">
    <w:abstractNumId w:val="14"/>
    <w:lvlOverride w:ilvl="0">
      <w:startOverride w:val="1"/>
    </w:lvlOverride>
  </w:num>
  <w:num w:numId="11">
    <w:abstractNumId w:val="15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2026-05-11T05:47:39.084Z</dcterms:created>
  <dcterms:modified xsi:type="dcterms:W3CDTF">2026-05-11T05:47:39.085Z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