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Microsoft YaHei" w:hAnsi="Microsoft YaHei" w:eastAsia="微软雅黑"/>
          <w:b/>
          <w:color w:val="C00000"/>
          <w:sz w:val="20"/>
        </w:rPr>
        <w:t>【模拟单证 · SIMULATED DOCUMENTS · 仅供流程测试，不具任何法律效力】</w:t>
      </w:r>
    </w:p>
    <w:p>
      <w:pPr>
        <w:spacing w:after="80" w:before="0" w:line="240" w:lineRule="auto"/>
        <w:jc w:val="center"/>
      </w:pPr>
      <w:r>
        <w:rPr>
          <w:rFonts w:ascii="Microsoft YaHei" w:hAnsi="Microsoft YaHei" w:eastAsia="微软雅黑"/>
          <w:b w:val="0"/>
          <w:color w:val="C00000"/>
          <w:sz w:val="15"/>
        </w:rPr>
        <w:t>SIMULATED / NOT A REAL SHIPPING DOCUMENT - FOR PROCESS TESTING ONLY</w:t>
      </w:r>
    </w:p>
    <w:p>
      <w:pPr>
        <w:spacing w:after="0" w:before="0" w:line="240" w:lineRule="auto"/>
        <w:jc w:val="center"/>
      </w:pPr>
      <w:r>
        <w:rPr>
          <w:rFonts w:ascii="Microsoft YaHei" w:hAnsi="Microsoft YaHei" w:eastAsia="微软雅黑"/>
          <w:b/>
          <w:color w:val="1F3864"/>
          <w:sz w:val="26"/>
        </w:rPr>
        <w:t>PROFORMA INVOICE</w:t>
      </w:r>
    </w:p>
    <w:p>
      <w:pPr>
        <w:spacing w:after="60" w:before="0" w:line="240" w:lineRule="auto"/>
        <w:jc w:val="center"/>
      </w:pPr>
      <w:r>
        <w:rPr>
          <w:rFonts w:ascii="Microsoft YaHei" w:hAnsi="Microsoft YaHei" w:eastAsia="微软雅黑"/>
          <w:b/>
          <w:color w:val="1F3864"/>
          <w:sz w:val="23"/>
        </w:rPr>
        <w:t>形式发票</w:t>
      </w:r>
    </w:p>
    <w:p>
      <w:pPr>
        <w:spacing w:after="120" w:before="0" w:line="240" w:lineRule="auto"/>
        <w:jc w:val="center"/>
      </w:pPr>
      <w:r>
        <w:rPr>
          <w:rFonts w:ascii="Microsoft YaHei" w:hAnsi="Microsoft YaHei" w:eastAsia="微软雅黑"/>
          <w:b w:val="0"/>
          <w:color w:val="808080"/>
          <w:sz w:val="17"/>
        </w:rPr>
        <w:t>No. PI-ALN-26-0312          Date 2026-03-12          Validity: 30 days from date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40" w:type="dxa"/>
          <w:right w:w="40" w:type="dxa"/>
        </w:tblCellMar>
      </w:tblPr>
      <w:tblGrid>
        <w:gridCol w:w="2268"/>
        <w:gridCol w:w="7711"/>
      </w:tblGrid>
      <w:tr>
        <w:trPr>
          <w:trHeight w:val="283" w:hRule="atLeast"/>
        </w:trPr>
        <w:tc>
          <w:tcPr>
            <w:tcW w:type="dxa" w:w="226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SELLER / EXPORTER 卖方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AL-NOOR PETROCHEMICAL TRADING COMPANY</w:t>
            </w:r>
          </w:p>
        </w:tc>
      </w:tr>
      <w:tr>
        <w:trPr>
          <w:trHeight w:val="283" w:hRule="atLeast"/>
        </w:trPr>
        <w:tc>
          <w:tcPr>
            <w:tcW w:type="dxa" w:w="226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Address 地址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P.O. Box 7431, Prince Sultan Road, Al Jubail 31951, Eastern Province, Kingdom of Saudi Arabia</w:t>
            </w:r>
          </w:p>
        </w:tc>
      </w:tr>
      <w:tr>
        <w:trPr>
          <w:trHeight w:val="283" w:hRule="atLeast"/>
        </w:trPr>
        <w:tc>
          <w:tcPr>
            <w:tcW w:type="dxa" w:w="226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Consignee 收货人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NINGBO HAIYUAN NEW MATERIAL TRADING CO., LTD.</w:t>
            </w:r>
          </w:p>
        </w:tc>
      </w:tr>
      <w:tr>
        <w:trPr>
          <w:trHeight w:val="283" w:hRule="atLeast"/>
        </w:trPr>
        <w:tc>
          <w:tcPr>
            <w:tcW w:type="dxa" w:w="226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Notify Party 通知方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NINGBO DONGHAI INTERNATIONAL LOGISTICS CO., LTD.</w:t>
            </w:r>
          </w:p>
        </w:tc>
      </w:tr>
      <w:tr>
        <w:trPr>
          <w:trHeight w:val="283" w:hRule="atLeast"/>
        </w:trPr>
        <w:tc>
          <w:tcPr>
            <w:tcW w:type="dxa" w:w="226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Country of Origin 原产国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SAUDI ARABIA</w:t>
            </w:r>
          </w:p>
        </w:tc>
      </w:tr>
      <w:tr>
        <w:trPr>
          <w:trHeight w:val="283" w:hRule="atLeast"/>
        </w:trPr>
        <w:tc>
          <w:tcPr>
            <w:tcW w:type="dxa" w:w="226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Reference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Buyer PO PO-HYNM-2603-011 / Contract Ref. HYNM-2026-0518-MEG</w:t>
            </w:r>
          </w:p>
        </w:tc>
      </w:tr>
    </w:tbl>
    <w:p>
      <w:pPr>
        <w:spacing w:after="40" w:before="80" w:line="240" w:lineRule="auto"/>
      </w:pPr>
      <w:r>
        <w:rPr>
          <w:rFonts w:ascii="Microsoft YaHei" w:hAnsi="Microsoft YaHei" w:eastAsia="微软雅黑"/>
          <w:b/>
          <w:sz w:val="19"/>
        </w:rPr>
        <w:t>TRADE TERMS / 交易条件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40" w:type="dxa"/>
          <w:right w:w="40" w:type="dxa"/>
        </w:tblCellMar>
      </w:tblPr>
      <w:tblGrid>
        <w:gridCol w:w="1927"/>
        <w:gridCol w:w="2268"/>
        <w:gridCol w:w="1927"/>
        <w:gridCol w:w="2721"/>
        <w:gridCol w:w="1134"/>
      </w:tblGrid>
      <w:tr>
        <w:trPr>
          <w:trHeight w:val="283" w:hRule="atLeast"/>
        </w:trPr>
        <w:tc>
          <w:tcPr>
            <w:tcW w:type="dxa" w:w="1928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Incoterm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Port of Loading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Port of Destination</w:t>
            </w:r>
          </w:p>
        </w:tc>
        <w:tc>
          <w:tcPr>
            <w:tcW w:type="dxa" w:w="2721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Payment Terms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Currency</w:t>
            </w:r>
          </w:p>
        </w:tc>
      </w:tr>
      <w:tr>
        <w:trPr>
          <w:trHeight w:val="283" w:hRule="atLeast"/>
        </w:trPr>
        <w:tc>
          <w:tcPr>
            <w:tcW w:type="dxa" w:w="192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CFR NINGBO (Incoterms 2020)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KING ABDULLAH PORT, JUBAIL (SAJUB)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NINGBO PORT, CHINA (CNNGB)</w:t>
            </w:r>
          </w:p>
        </w:tc>
        <w:tc>
          <w:tcPr>
            <w:tcW w:type="dxa" w:w="272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L/C at sight (to be advised)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USD</w:t>
            </w:r>
          </w:p>
        </w:tc>
      </w:tr>
    </w:tbl>
    <w:p>
      <w:pPr>
        <w:spacing w:after="40" w:before="80" w:line="240" w:lineRule="auto"/>
      </w:pPr>
      <w:r>
        <w:rPr>
          <w:rFonts w:ascii="Microsoft YaHei" w:hAnsi="Microsoft YaHei" w:eastAsia="微软雅黑"/>
          <w:b/>
          <w:sz w:val="19"/>
        </w:rPr>
        <w:t>GOODS DESCRIPTION / 货物描述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40" w:type="dxa"/>
          <w:right w:w="40" w:type="dxa"/>
        </w:tblCellMar>
      </w:tblPr>
      <w:tblGrid>
        <w:gridCol w:w="567"/>
        <w:gridCol w:w="2721"/>
        <w:gridCol w:w="1077"/>
        <w:gridCol w:w="1077"/>
        <w:gridCol w:w="1644"/>
        <w:gridCol w:w="1134"/>
        <w:gridCol w:w="1077"/>
        <w:gridCol w:w="1077"/>
      </w:tblGrid>
      <w:tr>
        <w:trPr>
          <w:trHeight w:val="283" w:hRule="atLeast"/>
        </w:trPr>
        <w:tc>
          <w:tcPr>
            <w:tcW w:type="dxa" w:w="567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2721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Commodity / 品名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CAS No.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HS Code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Qty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Unit Price USD/MT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Amount USD</w:t>
            </w:r>
          </w:p>
        </w:tc>
      </w:tr>
      <w:tr>
        <w:trPr>
          <w:trHeight w:val="283" w:hRule="atLeast"/>
        </w:trPr>
        <w:tc>
          <w:tcPr>
            <w:tcW w:type="dxa" w:w="56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</w:t>
            </w:r>
          </w:p>
        </w:tc>
        <w:tc>
          <w:tcPr>
            <w:tcW w:type="dxa" w:w="272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ETHYLENE GLYCOL (MEG), INDUSTRIAL GRADE</w:t>
              <w:br/>
              <w:t>乙二醇（工业级）</w:t>
            </w:r>
          </w:p>
        </w:tc>
        <w:tc>
          <w:tcPr>
            <w:tcW w:type="dxa" w:w="107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107-21-1</w:t>
            </w:r>
          </w:p>
        </w:tc>
        <w:tc>
          <w:tcPr>
            <w:tcW w:type="dxa" w:w="107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2905310000</w:t>
            </w:r>
          </w:p>
        </w:tc>
        <w:tc>
          <w:tcPr>
            <w:tcW w:type="dxa" w:w="164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≥99.9% wt (Purity)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200.000 MT</w:t>
            </w:r>
          </w:p>
        </w:tc>
        <w:tc>
          <w:tcPr>
            <w:tcW w:type="dxa" w:w="107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612.00</w:t>
            </w:r>
          </w:p>
        </w:tc>
        <w:tc>
          <w:tcPr>
            <w:tcW w:type="dxa" w:w="1077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122,400.00</w:t>
            </w:r>
          </w:p>
        </w:tc>
      </w:tr>
      <w:tr>
        <w:trPr>
          <w:trHeight w:val="283" w:hRule="atLeast"/>
        </w:trPr>
        <w:tc>
          <w:tcPr>
            <w:tcW w:type="dxa" w:w="567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TOTAL</w:t>
            </w:r>
          </w:p>
        </w:tc>
        <w:tc>
          <w:tcPr>
            <w:tcW w:type="dxa" w:w="1077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</w:r>
          </w:p>
        </w:tc>
        <w:tc>
          <w:tcPr>
            <w:tcW w:type="dxa" w:w="1077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200.000 MT</w:t>
            </w:r>
          </w:p>
        </w:tc>
        <w:tc>
          <w:tcPr>
            <w:tcW w:type="dxa" w:w="1077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</w:r>
          </w:p>
        </w:tc>
        <w:tc>
          <w:tcPr>
            <w:tcW w:type="dxa" w:w="1077"/>
            <w:shd w:val="clear" w:color="auto" w:fill="F2F5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USD 122,400.00</w:t>
            </w:r>
          </w:p>
        </w:tc>
      </w:tr>
    </w:tbl>
    <w:p>
      <w:pPr>
        <w:spacing w:after="40" w:before="80" w:line="240" w:lineRule="auto"/>
      </w:pPr>
      <w:r>
        <w:rPr>
          <w:rFonts w:ascii="Microsoft YaHei" w:hAnsi="Microsoft YaHei" w:eastAsia="微软雅黑"/>
          <w:b/>
          <w:sz w:val="19"/>
        </w:rPr>
        <w:t>PACKING / 包装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40" w:type="dxa"/>
          <w:right w:w="40" w:type="dxa"/>
        </w:tblCellMar>
      </w:tblPr>
      <w:tblGrid>
        <w:gridCol w:w="3969"/>
        <w:gridCol w:w="2041"/>
        <w:gridCol w:w="2041"/>
        <w:gridCol w:w="1927"/>
      </w:tblGrid>
      <w:tr>
        <w:trPr>
          <w:trHeight w:val="283" w:hRule="atLeast"/>
        </w:trPr>
        <w:tc>
          <w:tcPr>
            <w:tcW w:type="dxa" w:w="3969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Packing 包装方式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Net Weight 净重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Gross Weight 毛重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Packages 件数</w:t>
            </w:r>
          </w:p>
        </w:tc>
      </w:tr>
      <w:tr>
        <w:trPr>
          <w:trHeight w:val="283" w:hRule="atLeast"/>
        </w:trPr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Bulk in ISO tank containers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180,000 KGS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180,180 KGS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9</w:t>
            </w:r>
          </w:p>
        </w:tc>
      </w:tr>
    </w:tbl>
    <w:p>
      <w:pPr>
        <w:spacing w:after="40" w:before="80" w:line="240" w:lineRule="auto"/>
      </w:pPr>
      <w:r>
        <w:rPr>
          <w:rFonts w:ascii="Microsoft YaHei" w:hAnsi="Microsoft YaHei" w:eastAsia="微软雅黑"/>
          <w:b/>
          <w:sz w:val="19"/>
        </w:rPr>
        <w:t>BANKING DETAILS / 银行信息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40" w:type="dxa"/>
          <w:right w:w="40" w:type="dxa"/>
        </w:tblCellMar>
      </w:tblPr>
      <w:tblGrid>
        <w:gridCol w:w="2268"/>
        <w:gridCol w:w="7711"/>
      </w:tblGrid>
      <w:tr>
        <w:trPr>
          <w:trHeight w:val="283" w:hRule="atLeast"/>
        </w:trPr>
        <w:tc>
          <w:tcPr>
            <w:tcW w:type="dxa" w:w="226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Beneficiary 受益人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AL-NOOR PETROCHEMICAL TRADING COMPANY</w:t>
            </w:r>
          </w:p>
        </w:tc>
      </w:tr>
      <w:tr>
        <w:trPr>
          <w:trHeight w:val="283" w:hRule="atLeast"/>
        </w:trPr>
        <w:tc>
          <w:tcPr>
            <w:tcW w:type="dxa" w:w="226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Beneficiary Bank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RIYAD BANK – CRYSTAL DELTA BRANCH, KINGDOM OF SAUDI ARABIA</w:t>
            </w:r>
          </w:p>
        </w:tc>
      </w:tr>
      <w:tr>
        <w:trPr>
          <w:trHeight w:val="283" w:hRule="atLeast"/>
        </w:trPr>
        <w:tc>
          <w:tcPr>
            <w:tcW w:type="dxa" w:w="226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Account No.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GB19 RYDB 4500 0000 2138 4461</w:t>
            </w:r>
          </w:p>
        </w:tc>
      </w:tr>
      <w:tr>
        <w:trPr>
          <w:trHeight w:val="283" w:hRule="atLeast"/>
        </w:trPr>
        <w:tc>
          <w:tcPr>
            <w:tcW w:type="dxa" w:w="2268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SWIFT</w:t>
            </w:r>
          </w:p>
        </w:tc>
        <w:tc>
          <w:tcPr>
            <w:tcW w:type="dxa" w:w="7710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RYDBSARI (SIMULATED)</w:t>
            </w:r>
          </w:p>
        </w:tc>
      </w:tr>
    </w:tbl>
    <w:p>
      <w:pPr>
        <w:spacing w:after="40" w:before="80" w:line="240" w:lineRule="auto"/>
      </w:pPr>
      <w:r>
        <w:rPr>
          <w:rFonts w:ascii="Microsoft YaHei" w:hAnsi="Microsoft YaHei" w:eastAsia="微软雅黑"/>
          <w:b/>
          <w:sz w:val="19"/>
        </w:rPr>
        <w:t>REMARKS / 备注</w:t>
      </w:r>
    </w:p>
    <w:p>
      <w:pPr>
        <w:spacing w:after="40" w:before="0" w:line="240" w:lineRule="auto"/>
      </w:pPr>
      <w:r>
        <w:rPr>
          <w:rFonts w:ascii="Microsoft YaHei" w:hAnsi="Microsoft YaHei" w:eastAsia="微软雅黑"/>
          <w:b w:val="0"/>
          <w:sz w:val="16"/>
        </w:rPr>
        <w:t>1. Shipment during May 2026. Partial shipment NOT allowed. Transhipment allowed.</w:t>
        <w:br/>
        <w:t>2. Documents required: signed Commercial Invoice, Packing List, full set clean on board B/L marked "FREIGHT PREPAID", Certificate of Origin, Certificate of Analysis.</w:t>
        <w:br/>
        <w:t>3. Seller's bank charges are for the beneficiary's account. This PI is issued for quotation purposes; binding terms are those of the Purchase Contract.</w:t>
      </w:r>
    </w:p>
    <w:p>
      <w:pPr>
        <w:spacing w:after="40" w:before="0" w:line="240" w:lineRule="auto"/>
      </w:pPr>
      <w:r>
        <w:rPr>
          <w:rFonts w:ascii="Microsoft YaHei" w:hAnsi="Microsoft YaHei" w:eastAsia="微软雅黑"/>
          <w:b w:val="0"/>
          <w:sz w:val="8"/>
        </w:rPr>
      </w:r>
    </w:p>
    <w:p>
      <w:pPr>
        <w:spacing w:after="0" w:before="0" w:line="240" w:lineRule="auto"/>
        <w:jc w:val="center"/>
      </w:pPr>
      <w:r>
        <w:rPr>
          <w:rFonts w:ascii="Microsoft YaHei" w:hAnsi="Microsoft YaHei" w:eastAsia="微软雅黑"/>
          <w:b w:val="0"/>
          <w:color w:val="808080"/>
          <w:sz w:val="14"/>
        </w:rPr>
        <w:t>PI No. PI-ALN-26-0312  |  本形式发票仅用于报价与流程测试，不构成信用证下提款单据</w:t>
      </w:r>
    </w:p>
    <w:sectPr w:rsidR="00FC693F" w:rsidRPr="0006063C" w:rsidSect="00034616">
      <w:pgSz w:w="12240" w:h="15840"/>
      <w:pgMar w:top="567" w:right="794" w:bottom="51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Microsoft YaHei" w:hAnsi="Microsoft YaHei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