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QT-SIM-2610-005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Rheinland Food Ingredients GmbH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Industriestrasse 12, 47059 Duisburg, Germany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Germany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Einkauf / Purchasing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+49 000 000000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einkauf@example-demo.invalid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USt-IdNr. SIMULATEDDE000000000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CIP Carriage and Insurance Paid To Duesseldorf / Duisburg logistics hub, Germany,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EUR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2026-11-09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50% T/T as advance and 50% before shipment against packing list and pre-shipment inspection report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(EUR)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(EUR)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Citric Acid Monohydrate, food grade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5949-29-1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291814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Assay (dry basis) 99.5-100.5%; water 7.5-9.0%; heavy metals 5 ppm max.; meets E330 / FCC grade; GMO-free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1180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23,600.00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(EUR)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23,600.00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(EUR)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23,600.00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Euro Twenty Three Thousand Six Hundred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CIP Carriage and Insurance Paid To Duesseldorf / Duisburg logistics hub, Germany,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800 bags x 25 kg net in food-grade PE-lined paper bags, palletised on EUR pallets, shrink-wrapped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800   |   GROSS WEIGHT: 20,120 kg (20.12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35-45 calendar days after receipt of the confirmed purchase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50% T/T as advance and 50% before shipment against packing list and pre-shipment inspection report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Shekou, Shenzhen   |   DESTINATION: Hamburg; rail to Duisburg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2026-11-09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QT-SIM-2610-005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