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4E79"/>
          <w:sz w:val="52"/>
        </w:rPr>
        <w:t>生成品种周报</w:t>
      </w:r>
    </w:p>
    <w:p>
      <w:pPr>
        <w:jc w:val="center"/>
      </w:pPr>
      <w:r>
        <w:rPr>
          <w:color w:val="606060"/>
          <w:sz w:val="24"/>
        </w:rPr>
        <w:t>chem-product-weekly　｜　期现·产业基本面　16</w:t>
      </w:r>
    </w:p>
    <w:p>
      <w:pPr>
        <w:jc w:val="center"/>
      </w:pPr>
      <w:r>
        <w:rPr>
          <w:color w:val="404040"/>
          <w:sz w:val="22"/>
        </w:rPr>
        <w:t>面向任意化工/大宗品种的周度基本面研究工作流：</w:t>
        <w:br/>
        <w:t>事实台账 → 周度指标 → 交互 HTML 周报 + 多表 Excel 底稿</w:t>
      </w:r>
    </w:p>
    <w:p/>
    <w:p>
      <w:pPr>
        <w:pStyle w:val="Heading1"/>
      </w:pPr>
      <w:r>
        <w:rPr>
          <w:rFonts w:ascii="黑体" w:hAnsi="黑体" w:eastAsia="黑体"/>
          <w:color w:val="1F4E79"/>
        </w:rPr>
        <w:t>0　这个技能解决什么问题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把一个自然交易周内散落在期货行情、资讯网站、机构日评里的信息，整理成一份能直接开会用的品种周报。它不是"一周新闻合集"，而是四件事：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变了什么——价格、基差、月差、区域价差、库存、开工、成本，逐项给出本周 vs 上周的可核验数字；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被证实了什么——哪些说法本周拿到了数据支持（带日期与来源）；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还有什么没定——哪些是计划、预期、传闻，明确标注"非已发生"；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下周看什么——已知将披露/落地的事件 + 3~6 个待验证变量与观测口径。</w:t>
      </w:r>
    </w:p>
    <w:p>
      <w:pPr>
        <w:spacing w:after="80"/>
      </w:pPr>
      <w:r>
        <w:rPr>
          <w:rFonts w:ascii="宋体" w:hAnsi="宋体" w:eastAsia="宋体"/>
          <w:b/>
          <w:color w:val="C00000"/>
          <w:sz w:val="21"/>
        </w:rPr>
        <w:t>硬边界：不罗列新闻、不做无数据依据的涨跌预测、不把机构观点当自己的结论、不认定因果、缺数就写缺口。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1　输入参数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参数</w:t>
            </w:r>
          </w:p>
        </w:tc>
        <w:tc>
          <w:tcPr>
            <w:tcW w:type="dxa" w:w="2835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默认值</w:t>
            </w:r>
          </w:p>
        </w:tc>
        <w:tc>
          <w:tcPr>
            <w:tcW w:type="dxa" w:w="4649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品种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必填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中文通用名 + 期货代码（如：甲醇 MA、纯碱 SA）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报告周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上一完整自然周（周一~周五）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若首末为节假日，顺延到该周首末交易日并注明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合约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近月 / 次近月 / 主力 / 远月（≥4 个）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周变动一律同合约相减，禁用主力连续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现货口径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品种基准价 + 2~3 个地区价 + 外盘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每项须带规格、地区、含税否、交货方式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同期比较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去年同月同周序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按合约月份一一对齐（2611↔2511）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输出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HTML 周报 + XLSX 底稿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单文件离线可用；Excel 15 张表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4E79"/>
        </w:rPr>
        <w:t>2　七步工作流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步骤</w:t>
            </w:r>
          </w:p>
        </w:tc>
        <w:tc>
          <w:tcPr>
            <w:tcW w:type="dxa" w:w="5102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动作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产出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 建目录与探测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建立 raw/_src、data、build；逐个探测数据源可达性，记录 blocked 清单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data/sources.json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2 采集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期货日线、现货基准价与地区价、外盘、库存开工产量进出口、装置与政策事件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raw/_src/*.json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3 事实台账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每条事实一行：date/time/what/entity/impact/src/url/bg；价格单列 anchors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data/facts.json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4 算指标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周变动、月差矩阵、基差、外盘、去年同期、主力切换检测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data/metrics.json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5 写结论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核心变化 3~5 条（带数字）、已确认、待验证；事件与价格时间并列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facts.changes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6 出交付物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HTML 注入 __DATA__；Excel 按 15 表生成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build/*.html｜*.xlsx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7 自检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跑 qa_check.py + references/05 清单逐项打勾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质检记录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4E79"/>
        </w:rPr>
        <w:t>3　八段式报告结构（对应用户规范的 8 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510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#</w:t>
            </w:r>
          </w:p>
        </w:tc>
        <w:tc>
          <w:tcPr>
            <w:tcW w:type="dxa" w:w="2041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板块</w:t>
            </w:r>
          </w:p>
        </w:tc>
        <w:tc>
          <w:tcPr>
            <w:tcW w:type="dxa" w:w="4309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必须包含</w:t>
            </w:r>
          </w:p>
        </w:tc>
        <w:tc>
          <w:tcPr>
            <w:tcW w:type="dxa" w:w="2324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禁止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现货与期货价格变化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规格、地区、合约、数据口径、含税否、单位；周初/周末/均价/涨跌幅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sz w:val="19"/>
              </w:rPr>
              <w:t>混用主力连续；把区间报价写成成交价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基差、月差、区域价差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基差=现货−合约收盘；月差近−远；区域价差仅同口径才做差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sz w:val="19"/>
              </w:rPr>
              <w:t>不同机构口径相减；把基差当可交易价差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库存/开工/产量/进出口/下游需求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机构口径并列；数据日期与发布日分开写；环比同比分列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sz w:val="19"/>
              </w:rPr>
              <w:t>合并两套库存口径；用开工率代替产量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装置检修、停车、复产、投产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日期、企业、产能、吨数、已发生 or 计划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sz w:val="19"/>
              </w:rPr>
              <w:t>把计划当事实；漏标装置规模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上游原料与加工价差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煤/气/油等原料价；价差可算才算，不可算只报方向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sz w:val="19"/>
              </w:rPr>
              <w:t>缺成本项仍硬算价差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价格异动与产业事件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按日并列事实；机构评述单独标注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sz w:val="19"/>
              </w:rPr>
              <w:t>写"因为A所以B"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与上周及历史同期比较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去年同周均价/收盘/同比；趋势指标（如M10−M20）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sz w:val="19"/>
              </w:rPr>
              <w:t>用今年不同月序的周做对比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下周披露事件 + 待验证变量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sz w:val="19"/>
              </w:rPr>
              <w:t>3~6 个变量：已确认 / 仍未证伪 / 观测口径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sz w:val="19"/>
              </w:rPr>
              <w:t>写成涨跌预测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E79"/>
        </w:rPr>
        <w:t>4　首屏布局（打开就能看懂的 3 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区块</w:t>
            </w:r>
          </w:p>
        </w:tc>
        <w:tc>
          <w:tcPr>
            <w:tcW w:type="dxa" w:w="5329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内容</w:t>
            </w:r>
          </w:p>
        </w:tc>
        <w:tc>
          <w:tcPr>
            <w:tcW w:type="dxa" w:w="1587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数量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本周核心变化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每条一个卡：标题 + 带数字的一句话 + 依据表号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9"/>
              </w:rPr>
              <w:t>3~5 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价格指标卡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近月/主力/远月收盘与周变动、现货基准价、基差、外盘、成本、库存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9"/>
              </w:rPr>
              <w:t>6~8 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9"/>
              </w:rPr>
              <w:t>重点事件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日期 + 原文口径 + 主体 + 机构评述 + 来源链接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9"/>
              </w:rPr>
              <w:t>10~16 条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 w:val="0"/>
          <w:sz w:val="21"/>
        </w:rPr>
        <w:t>下方章节顺序固定：价格与期现结构（含 4 张交互图）→ 供需库存 → 上游原料与加工价差 → 事件时间线（窗口内 / 窗口外背景 / 盘面节奏）→ 同期比较 → 下周事件与待验证变量 → 缺口清单 → 底稿。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5　交互与模板槽位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HTML 为单文件离线页，模板 assets/weekly_report.html 只有 12 个槽位，内容全部由数据派生：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082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槽位</w:t>
            </w:r>
          </w:p>
        </w:tc>
        <w:tc>
          <w:tcPr>
            <w:tcW w:type="dxa" w:w="5102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含义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宋体" w:hAnsi="宋体" w:eastAsia="宋体"/>
                <w:sz w:val="19"/>
              </w:rPr>
              <w:t>{{PRODUCT}} {{W0}} {{W1}}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品种名、报告周首末交易日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宋体" w:hAnsi="宋体" w:eastAsia="宋体"/>
                <w:sz w:val="19"/>
              </w:rPr>
              <w:t>{{WINDOW_NOTE}} {{PREAMBLE}}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首屏口径串、报告原则声明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宋体" w:hAnsi="宋体" w:eastAsia="宋体"/>
                <w:sz w:val="19"/>
              </w:rPr>
              <w:t>{{CONTENT_HTML}} / {{CONTENT_AFTER_CHARTS}}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图表前 / 图表后的正文表格与卡片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宋体" w:hAnsi="宋体" w:eastAsia="宋体"/>
                <w:sz w:val="19"/>
              </w:rPr>
              <w:t>{{NOTE_C1}}~{{NOTE_C4}}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四个图表的口径脚注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宋体" w:hAnsi="宋体" w:eastAsia="宋体"/>
                <w:sz w:val="19"/>
              </w:rPr>
              <w:t>{{DATA_JSON}}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唯一数据源（契约见 assets/data_schema.json）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 w:val="0"/>
          <w:sz w:val="21"/>
        </w:rPr>
        <w:t>图表能力：hover 逐日数值与环比、窗口内高亮、历史区间切换（10/20/45/全部）、事件点击跳原文、底稿折叠展开。图表序列由 D.meta.chart 指定，模板内不含任何品种常量。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6　Excel 底稿（15 张表）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表</w:t>
            </w:r>
          </w:p>
        </w:tc>
        <w:tc>
          <w:tcPr>
            <w:tcW w:type="dxa" w:w="4649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内容</w:t>
            </w:r>
          </w:p>
        </w:tc>
        <w:tc>
          <w:tcPr>
            <w:tcW w:type="dxa" w:w="2494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要点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00_说明与口径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报告周、基期、算法、各价格口径、缺口原则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整份底稿的口径总纲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01_本周vs上周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逐合约周初/均价/最高/最低/周末/涨跌/持仓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同合约相减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02_历史价格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逐日收盘与持仓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不插值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03_基差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基准价与各合约基差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现货口径单列一列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04_月差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四组月差逐日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正值=Back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05_供需指标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库存/开工/产量/进出口/下游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机构并列不合并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06_上游原料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煤/气/油/运费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注明现货参考价 or 平仓价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07_价格锚点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全部现货价格点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区间取中值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08_事件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窗口内 + 窗口外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bg 标记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09_重要变化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结论与数据依据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禁因果认定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10_趋势指标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均差类技术指标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只描述不预测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11_外盘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CFR/FOB 区间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交易日 vs 见报日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12_历史同期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去年同周对齐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同合约月份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13_缺口清单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所有未取得数值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不允许为空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14_来源记录</w:t>
            </w:r>
          </w:p>
        </w:tc>
        <w:tc>
          <w:tcPr>
            <w:tcW w:type="dxa" w:w="4649"/>
          </w:tcPr>
          <w:p>
            <w:r/>
            <w:r>
              <w:rPr>
                <w:rFonts w:ascii="宋体" w:hAnsi="宋体" w:eastAsia="宋体"/>
                <w:sz w:val="19"/>
              </w:rPr>
              <w:t>全部 URL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sz w:val="19"/>
              </w:rPr>
              <w:t>一条一行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E79"/>
        </w:rPr>
        <w:t>7　质检清单（交付前逐项打勾）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☐　每个数字都能在"来源记录"里找到 URL（抽 10 个随机核对）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☐　周变动全部是同合约相减，未使用主力连续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☐　主力切换已检测；若窗口内切换已明确披露且不给主力周涨跌幅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☐　区间报价已取中值并注明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☐　数据日期与发布日期都已写明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☐　不同机构口径并列、未相减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☐　窗口外数据全部标"背景/窗口外"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☐　计划/预期类全部标"非已发生"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☐　缺口清单非空且与正文缺口声明一致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☐　结论中无"预计涨/跌""目标价""建议买卖"等措辞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☐　结论中无"因为…所以…"的因果认定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☐　HTML 单文件离线可开、无 CDN 依赖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☐　图表 hover/区间切换/事件跳转/底稿折叠均可用</w:t>
      </w:r>
    </w:p>
    <w:p>
      <w:pPr>
        <w:pStyle w:val="Heading1"/>
      </w:pPr>
      <w:r>
        <w:rPr>
          <w:rFonts w:ascii="黑体" w:hAnsi="黑体" w:eastAsia="黑体"/>
          <w:color w:val="1F4E79"/>
        </w:rPr>
        <w:t>8　换品种时只改这四处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5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位置</w:t>
            </w:r>
          </w:p>
        </w:tc>
        <w:tc>
          <w:tcPr>
            <w:tcW w:type="dxa" w:w="3061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改什么</w:t>
            </w:r>
          </w:p>
        </w:tc>
        <w:tc>
          <w:tcPr>
            <w:tcW w:type="dxa" w:w="2948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不改什么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scripts/metrics.py 的 CONTRACTS / PAIRS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合约列表与标准月差对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计算逻辑、口径规则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facts.json 的 anchors / fund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价格锚点与供需指标清单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字段结构（date/value/unit/basis/src/url）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facts.json 的 upstream / chain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上游原料与下游产品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价差可算才算的判定规则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宋体" w:hAnsi="宋体" w:eastAsia="宋体"/>
                <w:sz w:val="19"/>
              </w:rPr>
              <w:t>采集脚本的 KEYWORDS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装置名、企业名、政策关键词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sz w:val="19"/>
              </w:rPr>
              <w:t>采集与解析纪律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 w:val="0"/>
          <w:color w:val="C00000"/>
          <w:sz w:val="21"/>
        </w:rPr>
        <w:t>示例目录中的甲醇指标、结论与数值仅用于展示格式，不得写进模板或技能正文。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9　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195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文件</w:t>
            </w:r>
          </w:p>
        </w:tc>
        <w:tc>
          <w:tcPr>
            <w:tcW w:type="dxa" w:w="4989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SKILL.md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技能主体：工作流、八段结构、硬规则、换品种指南、常见坑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README.md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目录说明与快速开始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references/01~06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周度统计口径、数据源与解析、指标字典、事件与因果边界、质检清单、模板变量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assets/weekly_report.html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HTML 模板（12 个槽位，无品种专有内容）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assets/weekly_workbook.xlsx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Excel 15 表模板（含填写指引）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assets/data_schema.json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__DATA__ 数据契约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examples/example_methanol_2026W42.html / .xlsx / .json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甲醇完整示例（示例数据，仅展示格式）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宋体" w:hAnsi="宋体" w:eastAsia="宋体"/>
                <w:sz w:val="19"/>
              </w:rPr>
              <w:t>scripts/collect_template.py｜metrics.py｜build_xlsx.py｜qa_check.py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sz w:val="19"/>
              </w:rPr>
              <w:t>可直接运行的采集、计算、出表、质检脚本</w:t>
            </w:r>
          </w:p>
        </w:tc>
      </w:tr>
    </w:tbl>
    <w:p/>
    <w:p/>
    <w:p>
      <w:r>
        <w:rPr>
          <w:i/>
          <w:color w:val="707070"/>
          <w:sz w:val="18"/>
        </w:rPr>
        <w:t>注：本技能只描述已发生的事实与变化。凡是"下周会怎样"，一律写成"待验证变量 + 观测口径"，不作为结论，也不构成任何投资建议。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