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243B53"/>
          <w:sz w:val="26"/>
        </w:rPr>
        <w:t>BMAD</w:t>
      </w:r>
    </w:p>
    <w:p>
      <w:pPr>
        <w:pStyle w:val="Title"/>
        <w:jc w:val="center"/>
      </w:pPr>
      <w:r>
        <w:t>Mermaid Architecture Pack</w:t>
      </w:r>
    </w:p>
    <w:p>
      <w:pPr>
        <w:jc w:val="center"/>
      </w:pPr>
      <w:r>
        <w:rPr>
          <w:color w:val="486581"/>
          <w:sz w:val="26"/>
        </w:rPr>
        <w:t>Référence de conception avant code pour BMAD + agents de développement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10166"/>
            <w:shd w:fill="EEF2F6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jc w:val="center"/>
            </w:pPr>
            <w:r>
              <w:rPr>
                <w:b/>
              </w:rPr>
              <w:t>Objectif : produire le minimum de diagrammes utiles pour rendre une architecture, une feature ou un flux suffisamment explicite pour qu’un humain, BMAD, Codex, Claude Code ou OpenCode puisse implémenter sans deviner.</w:t>
            </w:r>
          </w:p>
        </w:tc>
      </w:tr>
    </w:tbl>
    <w:p>
      <w:pPr>
        <w:pStyle w:val="SmallMuted"/>
        <w:jc w:val="center"/>
      </w:pPr>
      <w:r>
        <w:t>Version de référence • 2026-09</w:t>
      </w:r>
    </w:p>
    <w:p>
      <w:r>
        <w:br w:type="page"/>
      </w:r>
    </w:p>
    <w:p>
      <w:pPr>
        <w:pStyle w:val="Heading1"/>
      </w:pPr>
      <w:r>
        <w:t>1. Contrat du pack</w:t>
      </w:r>
    </w:p>
    <w:p>
      <w:pPr>
        <w:spacing w:before="40" w:after="120"/>
        <w:pBdr>
          <w:bottom w:val="single" w:sz="8" w:space="1" w:color="D9E2EC"/>
        </w:pBdr>
      </w:pPr>
    </w:p>
    <w:p>
      <w:r>
        <w:t>Ce template sert à créer une documentation Mermaid orientée implémentation. Il ne demande pas de produire tous les diagrammes systématiquement : chaque diagramme doit réduire une ambiguïté concrète pour le développement.</w:t>
      </w:r>
    </w:p>
    <w:p>
      <w:pPr>
        <w:pStyle w:val="Heading2"/>
      </w:pPr>
      <w:r>
        <w:t>Règles obligatoires</w:t>
      </w:r>
    </w:p>
    <w:p>
      <w:pPr>
        <w:pStyle w:val="ListBullet"/>
        <w:spacing w:after="30"/>
      </w:pPr>
      <w:r>
        <w:t>Lire d’abord les sources du projet disponibles : PRD, brief, user stories, architecture existante, ADR, schéma de données et code si présent.</w:t>
      </w:r>
    </w:p>
    <w:p>
      <w:pPr>
        <w:pStyle w:val="ListBullet"/>
        <w:spacing w:after="30"/>
      </w:pPr>
      <w:r>
        <w:t>Ne jamais inventer un service, une base, une file, un rôle ou une dépendance. Toute information non confirmée doit être marquée TBD / À confirmer.</w:t>
      </w:r>
    </w:p>
    <w:p>
      <w:pPr>
        <w:pStyle w:val="ListBullet"/>
        <w:spacing w:after="30"/>
      </w:pPr>
      <w:r>
        <w:t>Choisir uniquement les diagrammes qui répondent à une question d’implémentation réelle.</w:t>
      </w:r>
    </w:p>
    <w:p>
      <w:pPr>
        <w:pStyle w:val="ListBullet"/>
        <w:spacing w:after="30"/>
      </w:pPr>
      <w:r>
        <w:t>Utiliser des noms identiques au domaine et au code : modules, entités, endpoints, événements et états doivent rester cohérents entre les diagrammes.</w:t>
      </w:r>
    </w:p>
    <w:p>
      <w:pPr>
        <w:pStyle w:val="ListBullet"/>
        <w:spacing w:after="30"/>
      </w:pPr>
      <w:r>
        <w:t>Préférer des diagrammes lisibles de 5 à 20 nœuds. Découper plutôt que créer un monstre illisible.</w:t>
      </w:r>
    </w:p>
    <w:p>
      <w:pPr>
        <w:pStyle w:val="ListBullet"/>
        <w:spacing w:after="30"/>
      </w:pPr>
      <w:r>
        <w:t>Chaque diagramme doit être livré en Mermaid valide, avec un titre, son objectif, sa portée et les hypothèses éventuelles.</w:t>
      </w:r>
    </w:p>
    <w:p>
      <w:pPr>
        <w:pStyle w:val="ListBullet"/>
        <w:spacing w:after="30"/>
      </w:pPr>
      <w:r>
        <w:t>Lorsqu’une feature change l’architecture, mettre à jour les diagrammes concernés au même titre que le code.</w:t>
      </w:r>
    </w:p>
    <w:p>
      <w:pPr>
        <w:pStyle w:val="Heading2"/>
      </w:pPr>
      <w:r>
        <w:t>Ordre de réflexion recommandé</w:t>
      </w:r>
    </w:p>
    <w:p>
      <w:pPr>
        <w:pStyle w:val="CodeBlock"/>
        <w:shd w:fill="F6F8FA"/>
      </w:pPr>
      <w:r>
        <w:rPr>
          <w:rFonts w:ascii="Consolas" w:hAnsi="Consolas"/>
          <w:sz w:val="16"/>
        </w:rPr>
        <w:t>Besoin métier → Contexte système → Architecture → Workflow → Séquence → Données → États → Flux de données → Composants</w:t>
      </w:r>
    </w:p>
    <w:p>
      <w:pPr>
        <w:pStyle w:val="Heading2"/>
      </w:pPr>
      <w:r>
        <w:t>Arborescence recommandée dans un repo</w:t>
      </w:r>
    </w:p>
    <w:p>
      <w:pPr>
        <w:pStyle w:val="CodeBlock"/>
        <w:shd w:fill="F6F8FA"/>
      </w:pPr>
      <w:r>
        <w:rPr>
          <w:rFonts w:ascii="Consolas" w:hAnsi="Consolas"/>
          <w:sz w:val="16"/>
        </w:rPr>
        <w:t>docs/architecture/</w:t>
        <w:br/>
        <w:t>├── README.md</w:t>
        <w:br/>
        <w:t>├── 01-system-context.mmd</w:t>
        <w:br/>
        <w:t>├── 02-container-architecture.mmd</w:t>
        <w:br/>
        <w:t>├── 03-data-model.mmd</w:t>
        <w:br/>
        <w:t>├── workflows/</w:t>
        <w:br/>
        <w:t>│   └── &lt;feature&gt;.mmd</w:t>
        <w:br/>
        <w:t>├── sequences/</w:t>
        <w:br/>
        <w:t>│   └── &lt;feature&gt;.mmd</w:t>
        <w:br/>
        <w:t>├── states/</w:t>
        <w:br/>
        <w:t>│   └── &lt;entity&gt;.mmd</w:t>
        <w:br/>
        <w:t>├── data-flows/</w:t>
        <w:br/>
        <w:t>│   └── &lt;pipeline&gt;.mmd</w:t>
        <w:br/>
        <w:t>└── components/</w:t>
        <w:br/>
        <w:t xml:space="preserve">    └── &lt;bounded-context&gt;.mmd</w:t>
      </w:r>
    </w:p>
    <w:p>
      <w:pPr>
        <w:pStyle w:val="Heading1"/>
      </w:pPr>
      <w:r>
        <w:t>2. Quel diagramme choisir ?</w:t>
      </w:r>
    </w:p>
    <w:p>
      <w:pPr>
        <w:spacing w:before="40" w:after="120"/>
        <w:pBdr>
          <w:bottom w:val="single" w:sz="8" w:space="1" w:color="D9E2E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Question à clarifier</w:t>
            </w:r>
          </w:p>
        </w:tc>
        <w:tc>
          <w:tcPr>
            <w:tcW w:type="dxa" w:w="3389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Diagramme recommandé</w:t>
            </w:r>
          </w:p>
        </w:tc>
        <w:tc>
          <w:tcPr>
            <w:tcW w:type="dxa" w:w="3389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Obligatoire ?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Qui utilise le système et avec quels systèmes externes interagit-il ?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System Context / C4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Projet / gros changement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Quels blocs exécutables composent la solution ?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Container / Architecture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Projet / gros changement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Comment se déroule un processus métier ou une feature ?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Workflow / Activity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Feature complexe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Qui appelle quoi, dans quel ordre ?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Sequence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Intégration / API / async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Quelles données persistent et comment sont-elles reliées ?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ERD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Données persistées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Quels états et transitions possède une entité ?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State Machine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Cycle de vie non trivial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Comment la donnée entre, se transforme et ressort ?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Data Flow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Pipeline / IA / ETL</w:t>
            </w:r>
          </w:p>
        </w:tc>
      </w:tr>
      <w:tr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Quels modules internes portent les responsabilités ?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Component / Module</w:t>
            </w:r>
          </w:p>
        </w:tc>
        <w:tc>
          <w:tcPr>
            <w:tcW w:type="dxa" w:w="3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Domaine ou service complexe</w:t>
            </w:r>
          </w:p>
        </w:tc>
      </w:tr>
    </w:tbl>
    <w:p>
      <w:pPr>
        <w:pStyle w:val="SmallMuted"/>
      </w:pPr>
      <w:r>
        <w:t>Règle simple : si le diagramme ne permet pas à l’agent de prendre une meilleure décision d’implémentation, ne le générez pas.</w:t>
      </w:r>
    </w:p>
    <w:p>
      <w:pPr>
        <w:pStyle w:val="Heading1"/>
      </w:pPr>
      <w:r>
        <w:t>3. System Context / C4</w:t>
      </w:r>
    </w:p>
    <w:p>
      <w:pPr>
        <w:spacing w:before="40" w:after="120"/>
        <w:pBdr>
          <w:bottom w:val="single" w:sz="8" w:space="1" w:color="D9E2EC"/>
        </w:pBdr>
      </w:pPr>
    </w:p>
    <w:p>
      <w:r>
        <w:t>Vue la plus haute : délimiter le système, ses acteurs et les systèmes externes. Ce diagramme évite de commencer le code avec une frontière produit floue.</w:t>
      </w:r>
    </w:p>
    <w:p>
      <w:pPr>
        <w:pStyle w:val="Heading2"/>
      </w:pPr>
      <w:r>
        <w:t>Quand l’utiliser</w:t>
      </w:r>
    </w:p>
    <w:p>
      <w:pPr>
        <w:pStyle w:val="ListBullet"/>
        <w:spacing w:after="30"/>
      </w:pPr>
      <w:r>
        <w:t>Au démarrage d’un projet.</w:t>
      </w:r>
    </w:p>
    <w:p>
      <w:pPr>
        <w:pStyle w:val="ListBullet"/>
        <w:spacing w:after="30"/>
      </w:pPr>
      <w:r>
        <w:t>Lorsqu’un nouveau système externe, type d’utilisateur ou canal est ajouté.</w:t>
      </w:r>
    </w:p>
    <w:p>
      <w:pPr>
        <w:pStyle w:val="ListBullet"/>
        <w:spacing w:after="30"/>
      </w:pPr>
      <w:r>
        <w:t>Quand plusieurs équipes ne partagent pas la même compréhension du périmètre.</w:t>
      </w:r>
    </w:p>
    <w:p>
      <w:pPr>
        <w:pStyle w:val="Heading2"/>
      </w:pPr>
      <w:r>
        <w:t>Ce qu’on attend dans le diagramme</w:t>
      </w:r>
    </w:p>
    <w:p>
      <w:pPr>
        <w:pStyle w:val="ListBullet"/>
        <w:spacing w:after="30"/>
      </w:pPr>
      <w:r>
        <w:t>Le système étudié au centre.</w:t>
      </w:r>
    </w:p>
    <w:p>
      <w:pPr>
        <w:pStyle w:val="ListBullet"/>
        <w:spacing w:after="30"/>
      </w:pPr>
      <w:r>
        <w:t>Acteurs humains avec leur rôle métier.</w:t>
      </w:r>
    </w:p>
    <w:p>
      <w:pPr>
        <w:pStyle w:val="ListBullet"/>
        <w:spacing w:after="30"/>
      </w:pPr>
      <w:r>
        <w:t>Systèmes externes réellement utilisés.</w:t>
      </w:r>
    </w:p>
    <w:p>
      <w:pPr>
        <w:pStyle w:val="ListBullet"/>
        <w:spacing w:after="30"/>
      </w:pPr>
      <w:r>
        <w:t>Relations libellées par une intention métier, pas juste “API”.</w:t>
      </w:r>
    </w:p>
    <w:p>
      <w:pPr>
        <w:pStyle w:val="ListBullet"/>
        <w:spacing w:after="30"/>
      </w:pPr>
      <w:r>
        <w:t>Aucun détail d’implémentation interne.</w:t>
      </w:r>
    </w:p>
    <w:p>
      <w:pPr>
        <w:pStyle w:val="Heading2"/>
      </w:pPr>
      <w:r>
        <w:t>Ce que l’agent de code doit pouvoir en déduire</w:t>
      </w:r>
    </w:p>
    <w:p>
      <w:pPr>
        <w:pStyle w:val="ListBullet"/>
        <w:spacing w:after="30"/>
      </w:pPr>
      <w:r>
        <w:t>La frontière de responsabilité du produit.</w:t>
      </w:r>
    </w:p>
    <w:p>
      <w:pPr>
        <w:pStyle w:val="ListBullet"/>
        <w:spacing w:after="30"/>
      </w:pPr>
      <w:r>
        <w:t>Les intégrations à prévoir.</w:t>
      </w:r>
    </w:p>
    <w:p>
      <w:pPr>
        <w:pStyle w:val="ListBullet"/>
        <w:spacing w:after="30"/>
      </w:pPr>
      <w:r>
        <w:t>Les dépendances externes et les données échangées à haut niveau.</w:t>
      </w:r>
    </w:p>
    <w:p>
      <w:pPr>
        <w:pStyle w:val="Heading2"/>
      </w:pPr>
      <w:r>
        <w:t>Squelette Mermaid</w:t>
      </w:r>
    </w:p>
    <w:p>
      <w:pPr>
        <w:pStyle w:val="CodeBlock"/>
        <w:shd w:fill="F6F8FA"/>
      </w:pPr>
      <w:r>
        <w:rPr>
          <w:rFonts w:ascii="Consolas" w:hAnsi="Consolas"/>
          <w:sz w:val="16"/>
        </w:rPr>
        <w:t>flowchart LR</w:t>
        <w:br/>
        <w:t xml:space="preserve">  user[Utilisateur]</w:t>
        <w:br/>
        <w:t xml:space="preserve">  system[Produit]</w:t>
        <w:br/>
        <w:t xml:space="preserve">  ext[Système externe]</w:t>
        <w:br/>
        <w:t xml:space="preserve">  user --&gt;|Action métier| system</w:t>
        <w:br/>
        <w:t xml:space="preserve">  system --&gt;|Échange métier| ext</w:t>
      </w:r>
    </w:p>
    <w:p>
      <w:pPr>
        <w:pStyle w:val="Heading1"/>
      </w:pPr>
      <w:r>
        <w:t>4. Container / Architecture</w:t>
      </w:r>
    </w:p>
    <w:p>
      <w:pPr>
        <w:spacing w:before="40" w:after="120"/>
        <w:pBdr>
          <w:bottom w:val="single" w:sz="8" w:space="1" w:color="D9E2EC"/>
        </w:pBdr>
      </w:pPr>
    </w:p>
    <w:p>
      <w:r>
        <w:t>Décrire les grandes briques exécutables et de stockage : front, API, workers, base, stockage, broker, services IA ou tiers.</w:t>
      </w:r>
    </w:p>
    <w:p>
      <w:pPr>
        <w:pStyle w:val="Heading2"/>
      </w:pPr>
      <w:r>
        <w:t>Quand l’utiliser</w:t>
      </w:r>
    </w:p>
    <w:p>
      <w:pPr>
        <w:pStyle w:val="ListBullet"/>
        <w:spacing w:after="30"/>
      </w:pPr>
      <w:r>
        <w:t>Avant l’implémentation d’un nouveau produit.</w:t>
      </w:r>
    </w:p>
    <w:p>
      <w:pPr>
        <w:pStyle w:val="ListBullet"/>
        <w:spacing w:after="30"/>
      </w:pPr>
      <w:r>
        <w:t>Lorsqu’une feature introduit un nouveau runtime, stockage ou service.</w:t>
      </w:r>
    </w:p>
    <w:p>
      <w:pPr>
        <w:pStyle w:val="ListBullet"/>
        <w:spacing w:after="30"/>
      </w:pPr>
      <w:r>
        <w:t>Quand il faut clarifier les frontières de déploiement et de responsabilité.</w:t>
      </w:r>
    </w:p>
    <w:p>
      <w:pPr>
        <w:pStyle w:val="Heading2"/>
      </w:pPr>
      <w:r>
        <w:t>Ce qu’on attend dans le diagramme</w:t>
      </w:r>
    </w:p>
    <w:p>
      <w:pPr>
        <w:pStyle w:val="ListBullet"/>
        <w:spacing w:after="30"/>
      </w:pPr>
      <w:r>
        <w:t>Chaque container/service avec sa responsabilité.</w:t>
      </w:r>
    </w:p>
    <w:p>
      <w:pPr>
        <w:pStyle w:val="ListBullet"/>
        <w:spacing w:after="30"/>
      </w:pPr>
      <w:r>
        <w:t>Technologie si elle est décidée.</w:t>
      </w:r>
    </w:p>
    <w:p>
      <w:pPr>
        <w:pStyle w:val="ListBullet"/>
        <w:spacing w:after="30"/>
      </w:pPr>
      <w:r>
        <w:t>Protocoles ou types d’échange importants.</w:t>
      </w:r>
    </w:p>
    <w:p>
      <w:pPr>
        <w:pStyle w:val="ListBullet"/>
        <w:spacing w:after="30"/>
      </w:pPr>
      <w:r>
        <w:t>Bases et stockages distincts.</w:t>
      </w:r>
    </w:p>
    <w:p>
      <w:pPr>
        <w:pStyle w:val="ListBullet"/>
        <w:spacing w:after="30"/>
      </w:pPr>
      <w:r>
        <w:t>Services externes et frontières réseau utiles.</w:t>
      </w:r>
    </w:p>
    <w:p>
      <w:pPr>
        <w:pStyle w:val="ListBullet"/>
        <w:spacing w:after="30"/>
      </w:pPr>
      <w:r>
        <w:t>Pas de classes ni de fonctions.</w:t>
      </w:r>
    </w:p>
    <w:p>
      <w:pPr>
        <w:pStyle w:val="Heading2"/>
      </w:pPr>
      <w:r>
        <w:t>Ce que l’agent de code doit pouvoir en déduire</w:t>
      </w:r>
    </w:p>
    <w:p>
      <w:pPr>
        <w:pStyle w:val="ListBullet"/>
        <w:spacing w:after="30"/>
      </w:pPr>
      <w:r>
        <w:t>Où implémenter chaque responsabilité.</w:t>
      </w:r>
    </w:p>
    <w:p>
      <w:pPr>
        <w:pStyle w:val="ListBullet"/>
        <w:spacing w:after="30"/>
      </w:pPr>
      <w:r>
        <w:t>Quels services doivent communiquer.</w:t>
      </w:r>
    </w:p>
    <w:p>
      <w:pPr>
        <w:pStyle w:val="ListBullet"/>
        <w:spacing w:after="30"/>
      </w:pPr>
      <w:r>
        <w:t>Quels contrats/API sont nécessaires.</w:t>
      </w:r>
    </w:p>
    <w:p>
      <w:pPr>
        <w:pStyle w:val="ListBullet"/>
        <w:spacing w:after="30"/>
      </w:pPr>
      <w:r>
        <w:t>Quels composants sont déployés indépendamment.</w:t>
      </w:r>
    </w:p>
    <w:p>
      <w:pPr>
        <w:pStyle w:val="Heading2"/>
      </w:pPr>
      <w:r>
        <w:t>Squelette Mermaid</w:t>
      </w:r>
    </w:p>
    <w:p>
      <w:pPr>
        <w:pStyle w:val="CodeBlock"/>
        <w:shd w:fill="F6F8FA"/>
      </w:pPr>
      <w:r>
        <w:rPr>
          <w:rFonts w:ascii="Consolas" w:hAnsi="Consolas"/>
          <w:sz w:val="16"/>
        </w:rPr>
        <w:t>flowchart LR</w:t>
        <w:br/>
        <w:t xml:space="preserve">  web[Web App</w:t>
        <w:br/>
        <w:t>Nuxt]</w:t>
        <w:br/>
        <w:t xml:space="preserve">  api[API</w:t>
        <w:br/>
        <w:t>NestJS]</w:t>
        <w:br/>
        <w:t xml:space="preserve">  worker[Worker]</w:t>
        <w:br/>
        <w:t xml:space="preserve">  db[(PostgreSQL)]</w:t>
        <w:br/>
        <w:t xml:space="preserve">  ext[Service externe]</w:t>
        <w:br/>
        <w:t xml:space="preserve">  web --&gt;|HTTPS/JSON| api</w:t>
        <w:br/>
        <w:t xml:space="preserve">  api --&gt; db</w:t>
        <w:br/>
        <w:t xml:space="preserve">  api --&gt;|Job| worker</w:t>
        <w:br/>
        <w:t xml:space="preserve">  worker --&gt; ext</w:t>
      </w:r>
    </w:p>
    <w:p>
      <w:pPr>
        <w:pStyle w:val="Heading1"/>
      </w:pPr>
      <w:r>
        <w:t>5. Workflow / Activity</w:t>
      </w:r>
    </w:p>
    <w:p>
      <w:pPr>
        <w:spacing w:before="40" w:after="120"/>
        <w:pBdr>
          <w:bottom w:val="single" w:sz="8" w:space="1" w:color="D9E2EC"/>
        </w:pBdr>
      </w:pPr>
    </w:p>
    <w:p>
      <w:r>
        <w:t>Rendre explicite la logique métier d’un use case : étapes, décisions, boucles, erreurs et intervention humaine.</w:t>
      </w:r>
    </w:p>
    <w:p>
      <w:pPr>
        <w:pStyle w:val="Heading2"/>
      </w:pPr>
      <w:r>
        <w:t>Quand l’utiliser</w:t>
      </w:r>
    </w:p>
    <w:p>
      <w:pPr>
        <w:pStyle w:val="ListBullet"/>
        <w:spacing w:after="30"/>
      </w:pPr>
      <w:r>
        <w:t>Dès qu’une user story comporte plusieurs branches ou validations.</w:t>
      </w:r>
    </w:p>
    <w:p>
      <w:pPr>
        <w:pStyle w:val="ListBullet"/>
        <w:spacing w:after="30"/>
      </w:pPr>
      <w:r>
        <w:t>Pour les imports, onboarding, paiement, modération, validation ou processus métier.</w:t>
      </w:r>
    </w:p>
    <w:p>
      <w:pPr>
        <w:pStyle w:val="ListBullet"/>
        <w:spacing w:after="30"/>
      </w:pPr>
      <w:r>
        <w:t>Avant d’écrire les critères d’acceptation détaillés.</w:t>
      </w:r>
    </w:p>
    <w:p>
      <w:pPr>
        <w:pStyle w:val="Heading2"/>
      </w:pPr>
      <w:r>
        <w:t>Ce qu’on attend dans le diagramme</w:t>
      </w:r>
    </w:p>
    <w:p>
      <w:pPr>
        <w:pStyle w:val="ListBullet"/>
        <w:spacing w:after="30"/>
      </w:pPr>
      <w:r>
        <w:t>Début et fin explicites.</w:t>
      </w:r>
    </w:p>
    <w:p>
      <w:pPr>
        <w:pStyle w:val="ListBullet"/>
        <w:spacing w:after="30"/>
      </w:pPr>
      <w:r>
        <w:t>Étapes métier, pas détails de code.</w:t>
      </w:r>
    </w:p>
    <w:p>
      <w:pPr>
        <w:pStyle w:val="ListBullet"/>
        <w:spacing w:after="30"/>
      </w:pPr>
      <w:r>
        <w:t>Décisions avec conditions compréhensibles.</w:t>
      </w:r>
    </w:p>
    <w:p>
      <w:pPr>
        <w:pStyle w:val="ListBullet"/>
        <w:spacing w:after="30"/>
      </w:pPr>
      <w:r>
        <w:t>Chemins d’erreur pertinents.</w:t>
      </w:r>
    </w:p>
    <w:p>
      <w:pPr>
        <w:pStyle w:val="ListBullet"/>
        <w:spacing w:after="30"/>
      </w:pPr>
      <w:r>
        <w:t>Interventions humaines et systèmes externes.</w:t>
      </w:r>
    </w:p>
    <w:p>
      <w:pPr>
        <w:pStyle w:val="ListBullet"/>
        <w:spacing w:after="30"/>
      </w:pPr>
      <w:r>
        <w:t>Résultat observable du workflow.</w:t>
      </w:r>
    </w:p>
    <w:p>
      <w:pPr>
        <w:pStyle w:val="Heading2"/>
      </w:pPr>
      <w:r>
        <w:t>Ce que l’agent de code doit pouvoir en déduire</w:t>
      </w:r>
    </w:p>
    <w:p>
      <w:pPr>
        <w:pStyle w:val="ListBullet"/>
        <w:spacing w:after="30"/>
      </w:pPr>
      <w:r>
        <w:t>Les cas nominaux et alternatifs à implémenter.</w:t>
      </w:r>
    </w:p>
    <w:p>
      <w:pPr>
        <w:pStyle w:val="ListBullet"/>
        <w:spacing w:after="30"/>
      </w:pPr>
      <w:r>
        <w:t>Les règles métier à tester.</w:t>
      </w:r>
    </w:p>
    <w:p>
      <w:pPr>
        <w:pStyle w:val="ListBullet"/>
        <w:spacing w:after="30"/>
      </w:pPr>
      <w:r>
        <w:t>Les points où une erreur doit être gérée.</w:t>
      </w:r>
    </w:p>
    <w:p>
      <w:pPr>
        <w:pStyle w:val="ListBullet"/>
        <w:spacing w:after="30"/>
      </w:pPr>
      <w:r>
        <w:t>Les événements ou appels nécessaires entre étapes.</w:t>
      </w:r>
    </w:p>
    <w:p>
      <w:pPr>
        <w:pStyle w:val="Heading2"/>
      </w:pPr>
      <w:r>
        <w:t>Squelette Mermaid</w:t>
      </w:r>
    </w:p>
    <w:p>
      <w:pPr>
        <w:pStyle w:val="CodeBlock"/>
        <w:shd w:fill="F6F8FA"/>
      </w:pPr>
      <w:r>
        <w:rPr>
          <w:rFonts w:ascii="Consolas" w:hAnsi="Consolas"/>
          <w:sz w:val="16"/>
        </w:rPr>
        <w:t>flowchart TD</w:t>
        <w:br/>
        <w:t xml:space="preserve">  A([Début]) --&gt; B[Action utilisateur]</w:t>
        <w:br/>
        <w:t xml:space="preserve">  B --&gt; C{Condition métier ?}</w:t>
        <w:br/>
        <w:t xml:space="preserve">  C --&gt;|Oui| D[Traiter]</w:t>
        <w:br/>
        <w:t xml:space="preserve">  C --&gt;|Non| E[Demander correction]</w:t>
        <w:br/>
        <w:t xml:space="preserve">  D --&gt; F([Résultat])</w:t>
        <w:br/>
        <w:t xml:space="preserve">  E --&gt; B</w:t>
      </w:r>
    </w:p>
    <w:p>
      <w:pPr>
        <w:pStyle w:val="Heading1"/>
      </w:pPr>
      <w:r>
        <w:t>6. Sequence Diagram</w:t>
      </w:r>
    </w:p>
    <w:p>
      <w:pPr>
        <w:spacing w:before="40" w:after="120"/>
        <w:pBdr>
          <w:bottom w:val="single" w:sz="8" w:space="1" w:color="D9E2EC"/>
        </w:pBdr>
      </w:pPr>
    </w:p>
    <w:p>
      <w:r>
        <w:t>Montrer la chronologie exacte d’un scénario technique : appels, réponses, validations, traitements asynchrones et persistance.</w:t>
      </w:r>
    </w:p>
    <w:p>
      <w:pPr>
        <w:pStyle w:val="Heading2"/>
      </w:pPr>
      <w:r>
        <w:t>Quand l’utiliser</w:t>
      </w:r>
    </w:p>
    <w:p>
      <w:pPr>
        <w:pStyle w:val="ListBullet"/>
        <w:spacing w:after="30"/>
      </w:pPr>
      <w:r>
        <w:t>Une feature traverse plusieurs composants.</w:t>
      </w:r>
    </w:p>
    <w:p>
      <w:pPr>
        <w:pStyle w:val="ListBullet"/>
        <w:spacing w:after="30"/>
      </w:pPr>
      <w:r>
        <w:t>Une API appelle un service tiers.</w:t>
      </w:r>
    </w:p>
    <w:p>
      <w:pPr>
        <w:pStyle w:val="ListBullet"/>
        <w:spacing w:after="30"/>
      </w:pPr>
      <w:r>
        <w:t>Il existe du cache, des jobs, événements, webhooks ou retries.</w:t>
      </w:r>
    </w:p>
    <w:p>
      <w:pPr>
        <w:pStyle w:val="ListBullet"/>
        <w:spacing w:after="30"/>
      </w:pPr>
      <w:r>
        <w:t>Le workflow métier est clair mais la responsabilité technique ne l’est pas.</w:t>
      </w:r>
    </w:p>
    <w:p>
      <w:pPr>
        <w:pStyle w:val="Heading2"/>
      </w:pPr>
      <w:r>
        <w:t>Ce qu’on attend dans le diagramme</w:t>
      </w:r>
    </w:p>
    <w:p>
      <w:pPr>
        <w:pStyle w:val="ListBullet"/>
        <w:spacing w:after="30"/>
      </w:pPr>
      <w:r>
        <w:t>Un scénario précis par diagramme.</w:t>
      </w:r>
    </w:p>
    <w:p>
      <w:pPr>
        <w:pStyle w:val="ListBullet"/>
        <w:spacing w:after="30"/>
      </w:pPr>
      <w:r>
        <w:t>Participants dans l’ordre logique.</w:t>
      </w:r>
    </w:p>
    <w:p>
      <w:pPr>
        <w:pStyle w:val="ListBullet"/>
        <w:spacing w:after="30"/>
      </w:pPr>
      <w:r>
        <w:t>Appels importants avec intention ou endpoint si connu.</w:t>
      </w:r>
    </w:p>
    <w:p>
      <w:pPr>
        <w:pStyle w:val="ListBullet"/>
        <w:spacing w:after="30"/>
      </w:pPr>
      <w:r>
        <w:t>Réponses utiles.</w:t>
      </w:r>
    </w:p>
    <w:p>
      <w:pPr>
        <w:pStyle w:val="ListBullet"/>
        <w:spacing w:after="30"/>
      </w:pPr>
      <w:r>
        <w:t>Blocs alt/opt/loop pour les branches nécessaires.</w:t>
      </w:r>
    </w:p>
    <w:p>
      <w:pPr>
        <w:pStyle w:val="ListBullet"/>
        <w:spacing w:after="30"/>
      </w:pPr>
      <w:r>
        <w:t>Asynchrone clairement visible.</w:t>
      </w:r>
    </w:p>
    <w:p>
      <w:pPr>
        <w:pStyle w:val="Heading2"/>
      </w:pPr>
      <w:r>
        <w:t>Ce que l’agent de code doit pouvoir en déduire</w:t>
      </w:r>
    </w:p>
    <w:p>
      <w:pPr>
        <w:pStyle w:val="ListBullet"/>
        <w:spacing w:after="30"/>
      </w:pPr>
      <w:r>
        <w:t>Quel composant initie chaque action.</w:t>
      </w:r>
    </w:p>
    <w:p>
      <w:pPr>
        <w:pStyle w:val="ListBullet"/>
        <w:spacing w:after="30"/>
      </w:pPr>
      <w:r>
        <w:t>Les interfaces à créer.</w:t>
      </w:r>
    </w:p>
    <w:p>
      <w:pPr>
        <w:pStyle w:val="ListBullet"/>
        <w:spacing w:after="30"/>
      </w:pPr>
      <w:r>
        <w:t>L’ordre des validations et écritures.</w:t>
      </w:r>
    </w:p>
    <w:p>
      <w:pPr>
        <w:pStyle w:val="ListBullet"/>
        <w:spacing w:after="30"/>
      </w:pPr>
      <w:r>
        <w:t>Où gérer erreurs, retries, idempotence et transactions.</w:t>
      </w:r>
    </w:p>
    <w:p>
      <w:pPr>
        <w:pStyle w:val="Heading2"/>
      </w:pPr>
      <w:r>
        <w:t>Squelette Mermaid</w:t>
      </w:r>
    </w:p>
    <w:p>
      <w:pPr>
        <w:pStyle w:val="CodeBlock"/>
        <w:shd w:fill="F6F8FA"/>
      </w:pPr>
      <w:r>
        <w:rPr>
          <w:rFonts w:ascii="Consolas" w:hAnsi="Consolas"/>
          <w:sz w:val="16"/>
        </w:rPr>
        <w:t>sequenceDiagram</w:t>
        <w:br/>
        <w:t xml:space="preserve">  actor U as Utilisateur</w:t>
        <w:br/>
        <w:t xml:space="preserve">  participant F as Front</w:t>
        <w:br/>
        <w:t xml:space="preserve">  participant A as API</w:t>
        <w:br/>
        <w:t xml:space="preserve">  participant D as Database</w:t>
        <w:br/>
        <w:t xml:space="preserve">  U-&gt;&gt;F: Action</w:t>
        <w:br/>
        <w:t xml:space="preserve">  F-&gt;&gt;A: POST /resource</w:t>
        <w:br/>
        <w:t xml:space="preserve">  A-&gt;&gt;D: INSERT</w:t>
        <w:br/>
        <w:t xml:space="preserve">  D--&gt;&gt;A: OK</w:t>
        <w:br/>
        <w:t xml:space="preserve">  A--&gt;&gt;F: 201 Created</w:t>
        <w:br/>
        <w:t xml:space="preserve">  F--&gt;&gt;U: Confirmation</w:t>
      </w:r>
    </w:p>
    <w:p>
      <w:pPr>
        <w:pStyle w:val="Heading1"/>
      </w:pPr>
      <w:r>
        <w:t>7. ERD / Modèle de données</w:t>
      </w:r>
    </w:p>
    <w:p>
      <w:pPr>
        <w:spacing w:before="40" w:after="120"/>
        <w:pBdr>
          <w:bottom w:val="single" w:sz="8" w:space="1" w:color="D9E2EC"/>
        </w:pBdr>
      </w:pPr>
    </w:p>
    <w:p>
      <w:r>
        <w:t>Décrire le modèle persistant : entités, cardinalités, clés et contraintes essentielles. Il doit être assez précis pour préparer les migrations sans prétendre remplacer le schéma SQL.</w:t>
      </w:r>
    </w:p>
    <w:p>
      <w:pPr>
        <w:pStyle w:val="Heading2"/>
      </w:pPr>
      <w:r>
        <w:t>Quand l’utiliser</w:t>
      </w:r>
    </w:p>
    <w:p>
      <w:pPr>
        <w:pStyle w:val="ListBullet"/>
        <w:spacing w:after="30"/>
      </w:pPr>
      <w:r>
        <w:t>Une feature crée ou modifie des données persistantes.</w:t>
      </w:r>
    </w:p>
    <w:p>
      <w:pPr>
        <w:pStyle w:val="ListBullet"/>
        <w:spacing w:after="30"/>
      </w:pPr>
      <w:r>
        <w:t>Un projet démarre autour d’un domaine relationnel.</w:t>
      </w:r>
    </w:p>
    <w:p>
      <w:pPr>
        <w:pStyle w:val="ListBullet"/>
        <w:spacing w:after="30"/>
      </w:pPr>
      <w:r>
        <w:t>Une relation, ownership ou isolation multi-tenant doit être clarifiée.</w:t>
      </w:r>
    </w:p>
    <w:p>
      <w:pPr>
        <w:pStyle w:val="Heading2"/>
      </w:pPr>
      <w:r>
        <w:t>Ce qu’on attend dans le diagramme</w:t>
      </w:r>
    </w:p>
    <w:p>
      <w:pPr>
        <w:pStyle w:val="ListBullet"/>
        <w:spacing w:after="30"/>
      </w:pPr>
      <w:r>
        <w:t>Entités persistantes uniquement.</w:t>
      </w:r>
    </w:p>
    <w:p>
      <w:pPr>
        <w:pStyle w:val="ListBullet"/>
        <w:spacing w:after="30"/>
      </w:pPr>
      <w:r>
        <w:t>PK/FK principales.</w:t>
      </w:r>
    </w:p>
    <w:p>
      <w:pPr>
        <w:pStyle w:val="ListBullet"/>
        <w:spacing w:after="30"/>
      </w:pPr>
      <w:r>
        <w:t>Cardinalités exactes.</w:t>
      </w:r>
    </w:p>
    <w:p>
      <w:pPr>
        <w:pStyle w:val="ListBullet"/>
        <w:spacing w:after="30"/>
      </w:pPr>
      <w:r>
        <w:t>Champs structurants utiles au raisonnement.</w:t>
      </w:r>
    </w:p>
    <w:p>
      <w:pPr>
        <w:pStyle w:val="ListBullet"/>
        <w:spacing w:after="30"/>
      </w:pPr>
      <w:r>
        <w:t>Contraintes d’unicité ou ownership importantes.</w:t>
      </w:r>
    </w:p>
    <w:p>
      <w:pPr>
        <w:pStyle w:val="ListBullet"/>
        <w:spacing w:after="30"/>
      </w:pPr>
      <w:r>
        <w:t>Tenant/workspace explicitement relié si nécessaire.</w:t>
      </w:r>
    </w:p>
    <w:p>
      <w:pPr>
        <w:pStyle w:val="Heading2"/>
      </w:pPr>
      <w:r>
        <w:t>Ce que l’agent de code doit pouvoir en déduire</w:t>
      </w:r>
    </w:p>
    <w:p>
      <w:pPr>
        <w:pStyle w:val="ListBullet"/>
        <w:spacing w:after="30"/>
      </w:pPr>
      <w:r>
        <w:t>Les tables ou agrégats à créer/modifier.</w:t>
      </w:r>
    </w:p>
    <w:p>
      <w:pPr>
        <w:pStyle w:val="ListBullet"/>
        <w:spacing w:after="30"/>
      </w:pPr>
      <w:r>
        <w:t>Les relations et index probables.</w:t>
      </w:r>
    </w:p>
    <w:p>
      <w:pPr>
        <w:pStyle w:val="ListBullet"/>
        <w:spacing w:after="30"/>
      </w:pPr>
      <w:r>
        <w:t>Les impacts de suppression et de migration.</w:t>
      </w:r>
    </w:p>
    <w:p>
      <w:pPr>
        <w:pStyle w:val="ListBullet"/>
        <w:spacing w:after="30"/>
      </w:pPr>
      <w:r>
        <w:t>Les frontières d’isolation des données.</w:t>
      </w:r>
    </w:p>
    <w:p>
      <w:pPr>
        <w:pStyle w:val="Heading2"/>
      </w:pPr>
      <w:r>
        <w:t>Squelette Mermaid</w:t>
      </w:r>
    </w:p>
    <w:p>
      <w:pPr>
        <w:pStyle w:val="CodeBlock"/>
        <w:shd w:fill="F6F8FA"/>
      </w:pPr>
      <w:r>
        <w:rPr>
          <w:rFonts w:ascii="Consolas" w:hAnsi="Consolas"/>
          <w:sz w:val="16"/>
        </w:rPr>
        <w:t>erDiagram</w:t>
        <w:br/>
        <w:t xml:space="preserve">  WORKSPACE ||--o{ USER : contains</w:t>
        <w:br/>
        <w:t xml:space="preserve">  WORKSPACE ||--o{ PROJECT : owns</w:t>
        <w:br/>
        <w:t xml:space="preserve">  PROJECT ||--o{ ITEM : contains</w:t>
        <w:br/>
        <w:t xml:space="preserve">  WORKSPACE {</w:t>
        <w:br/>
        <w:t xml:space="preserve">    uuid id PK</w:t>
        <w:br/>
        <w:t xml:space="preserve">    string name</w:t>
        <w:br/>
        <w:t xml:space="preserve">  }</w:t>
        <w:br/>
        <w:t xml:space="preserve">  PROJECT {</w:t>
        <w:br/>
        <w:t xml:space="preserve">    uuid id PK</w:t>
        <w:br/>
        <w:t xml:space="preserve">    uuid workspace_id FK</w:t>
        <w:br/>
        <w:t xml:space="preserve">    string status</w:t>
        <w:br/>
        <w:t xml:space="preserve">  }</w:t>
      </w:r>
    </w:p>
    <w:p>
      <w:pPr>
        <w:pStyle w:val="Heading1"/>
      </w:pPr>
      <w:r>
        <w:t>8. State Machine</w:t>
      </w:r>
    </w:p>
    <w:p>
      <w:pPr>
        <w:spacing w:before="40" w:after="120"/>
        <w:pBdr>
          <w:bottom w:val="single" w:sz="8" w:space="1" w:color="D9E2EC"/>
        </w:pBdr>
      </w:pPr>
    </w:p>
    <w:p>
      <w:r>
        <w:t>Modéliser le cycle de vie d’une entité lorsque ses comportements dépendent fortement de son état.</w:t>
      </w:r>
    </w:p>
    <w:p>
      <w:pPr>
        <w:pStyle w:val="Heading2"/>
      </w:pPr>
      <w:r>
        <w:t>Quand l’utiliser</w:t>
      </w:r>
    </w:p>
    <w:p>
      <w:pPr>
        <w:pStyle w:val="ListBullet"/>
        <w:spacing w:after="30"/>
      </w:pPr>
      <w:r>
        <w:t>Commandes, paiements, devis, jobs, documents, tickets ou workflows avec statuts.</w:t>
      </w:r>
    </w:p>
    <w:p>
      <w:pPr>
        <w:pStyle w:val="ListBullet"/>
        <w:spacing w:after="30"/>
      </w:pPr>
      <w:r>
        <w:t>Quand certaines transitions doivent être interdites.</w:t>
      </w:r>
    </w:p>
    <w:p>
      <w:pPr>
        <w:pStyle w:val="ListBullet"/>
        <w:spacing w:after="30"/>
      </w:pPr>
      <w:r>
        <w:t>Quand des événements déclenchent automatiquement un changement d’état.</w:t>
      </w:r>
    </w:p>
    <w:p>
      <w:pPr>
        <w:pStyle w:val="Heading2"/>
      </w:pPr>
      <w:r>
        <w:t>Ce qu’on attend dans le diagramme</w:t>
      </w:r>
    </w:p>
    <w:p>
      <w:pPr>
        <w:pStyle w:val="ListBullet"/>
        <w:spacing w:after="30"/>
      </w:pPr>
      <w:r>
        <w:t>État initial et états terminaux.</w:t>
      </w:r>
    </w:p>
    <w:p>
      <w:pPr>
        <w:pStyle w:val="ListBullet"/>
        <w:spacing w:after="30"/>
      </w:pPr>
      <w:r>
        <w:t>Transitions nommées par un événement/action.</w:t>
      </w:r>
    </w:p>
    <w:p>
      <w:pPr>
        <w:pStyle w:val="ListBullet"/>
        <w:spacing w:after="30"/>
      </w:pPr>
      <w:r>
        <w:t>Guards importantes si elles existent.</w:t>
      </w:r>
    </w:p>
    <w:p>
      <w:pPr>
        <w:pStyle w:val="ListBullet"/>
        <w:spacing w:after="30"/>
      </w:pPr>
      <w:r>
        <w:t>États d’erreur ou d’annulation réellement métier.</w:t>
      </w:r>
    </w:p>
    <w:p>
      <w:pPr>
        <w:pStyle w:val="ListBullet"/>
        <w:spacing w:after="30"/>
      </w:pPr>
      <w:r>
        <w:t>Pas de transition impossible juste pour “compléter” le dessin.</w:t>
      </w:r>
    </w:p>
    <w:p>
      <w:pPr>
        <w:pStyle w:val="Heading2"/>
      </w:pPr>
      <w:r>
        <w:t>Ce que l’agent de code doit pouvoir en déduire</w:t>
      </w:r>
    </w:p>
    <w:p>
      <w:pPr>
        <w:pStyle w:val="ListBullet"/>
        <w:spacing w:after="30"/>
      </w:pPr>
      <w:r>
        <w:t>Les règles de transition à implémenter.</w:t>
      </w:r>
    </w:p>
    <w:p>
      <w:pPr>
        <w:pStyle w:val="ListBullet"/>
        <w:spacing w:after="30"/>
      </w:pPr>
      <w:r>
        <w:t>Les commandes/actions autorisées par état.</w:t>
      </w:r>
    </w:p>
    <w:p>
      <w:pPr>
        <w:pStyle w:val="ListBullet"/>
        <w:spacing w:after="30"/>
      </w:pPr>
      <w:r>
        <w:t>Les tests de garde et de concurrence.</w:t>
      </w:r>
    </w:p>
    <w:p>
      <w:pPr>
        <w:pStyle w:val="ListBullet"/>
        <w:spacing w:after="30"/>
      </w:pPr>
      <w:r>
        <w:t>Les événements émis lors des changements importants.</w:t>
      </w:r>
    </w:p>
    <w:p>
      <w:pPr>
        <w:pStyle w:val="Heading2"/>
      </w:pPr>
      <w:r>
        <w:t>Squelette Mermaid</w:t>
      </w:r>
    </w:p>
    <w:p>
      <w:pPr>
        <w:pStyle w:val="CodeBlock"/>
        <w:shd w:fill="F6F8FA"/>
      </w:pPr>
      <w:r>
        <w:rPr>
          <w:rFonts w:ascii="Consolas" w:hAnsi="Consolas"/>
          <w:sz w:val="16"/>
        </w:rPr>
        <w:t>stateDiagram-v2</w:t>
        <w:br/>
        <w:t xml:space="preserve">  [*] --&gt; Draft</w:t>
        <w:br/>
        <w:t xml:space="preserve">  Draft --&gt; Submitted: submit</w:t>
        <w:br/>
        <w:t xml:space="preserve">  Submitted --&gt; Approved: approve</w:t>
        <w:br/>
        <w:t xml:space="preserve">  Submitted --&gt; Rejected: reject</w:t>
        <w:br/>
        <w:t xml:space="preserve">  Approved --&gt; [*]</w:t>
        <w:br/>
        <w:t xml:space="preserve">  Rejected --&gt; Draft: revise</w:t>
      </w:r>
    </w:p>
    <w:p>
      <w:pPr>
        <w:pStyle w:val="Heading1"/>
      </w:pPr>
      <w:r>
        <w:t>9. Data Flow / Pipeline</w:t>
      </w:r>
    </w:p>
    <w:p>
      <w:pPr>
        <w:spacing w:before="40" w:after="120"/>
        <w:pBdr>
          <w:bottom w:val="single" w:sz="8" w:space="1" w:color="D9E2EC"/>
        </w:pBdr>
      </w:pPr>
    </w:p>
    <w:p>
      <w:r>
        <w:t>Montrer comment une donnée entre dans le système, est transformée, validée, stockée et consommée. Particulièrement utile pour OCR, IA, ingestion, ETL et analytics.</w:t>
      </w:r>
    </w:p>
    <w:p>
      <w:pPr>
        <w:pStyle w:val="Heading2"/>
      </w:pPr>
      <w:r>
        <w:t>Quand l’utiliser</w:t>
      </w:r>
    </w:p>
    <w:p>
      <w:pPr>
        <w:pStyle w:val="ListBullet"/>
        <w:spacing w:after="30"/>
      </w:pPr>
      <w:r>
        <w:t>Pipeline IA / RAG / OCR.</w:t>
      </w:r>
    </w:p>
    <w:p>
      <w:pPr>
        <w:pStyle w:val="ListBullet"/>
        <w:spacing w:after="30"/>
      </w:pPr>
      <w:r>
        <w:t>Import de fichiers.</w:t>
      </w:r>
    </w:p>
    <w:p>
      <w:pPr>
        <w:pStyle w:val="ListBullet"/>
        <w:spacing w:after="30"/>
      </w:pPr>
      <w:r>
        <w:t>Synchronisation ou ETL.</w:t>
      </w:r>
    </w:p>
    <w:p>
      <w:pPr>
        <w:pStyle w:val="ListBullet"/>
        <w:spacing w:after="30"/>
      </w:pPr>
      <w:r>
        <w:t>Données soumises à plusieurs transformations ou validations.</w:t>
      </w:r>
    </w:p>
    <w:p>
      <w:pPr>
        <w:pStyle w:val="Heading2"/>
      </w:pPr>
      <w:r>
        <w:t>Ce qu’on attend dans le diagramme</w:t>
      </w:r>
    </w:p>
    <w:p>
      <w:pPr>
        <w:pStyle w:val="ListBullet"/>
        <w:spacing w:after="30"/>
      </w:pPr>
      <w:r>
        <w:t>Source de la donnée.</w:t>
      </w:r>
    </w:p>
    <w:p>
      <w:pPr>
        <w:pStyle w:val="ListBullet"/>
        <w:spacing w:after="30"/>
      </w:pPr>
      <w:r>
        <w:t>Transformations successives.</w:t>
      </w:r>
    </w:p>
    <w:p>
      <w:pPr>
        <w:pStyle w:val="ListBullet"/>
        <w:spacing w:after="30"/>
      </w:pPr>
      <w:r>
        <w:t>Formats intermédiaires si importants.</w:t>
      </w:r>
    </w:p>
    <w:p>
      <w:pPr>
        <w:pStyle w:val="ListBullet"/>
        <w:spacing w:after="30"/>
      </w:pPr>
      <w:r>
        <w:t>Validation humaine ou automatique.</w:t>
      </w:r>
    </w:p>
    <w:p>
      <w:pPr>
        <w:pStyle w:val="ListBullet"/>
        <w:spacing w:after="30"/>
      </w:pPr>
      <w:r>
        <w:t>Stockages.</w:t>
      </w:r>
    </w:p>
    <w:p>
      <w:pPr>
        <w:pStyle w:val="ListBullet"/>
        <w:spacing w:after="30"/>
      </w:pPr>
      <w:r>
        <w:t>Sorties/consommateurs.</w:t>
      </w:r>
    </w:p>
    <w:p>
      <w:pPr>
        <w:pStyle w:val="ListBullet"/>
        <w:spacing w:after="30"/>
      </w:pPr>
      <w:r>
        <w:t>Éléments sensibles ou limites de confiance si pertinents.</w:t>
      </w:r>
    </w:p>
    <w:p>
      <w:pPr>
        <w:pStyle w:val="Heading2"/>
      </w:pPr>
      <w:r>
        <w:t>Ce que l’agent de code doit pouvoir en déduire</w:t>
      </w:r>
    </w:p>
    <w:p>
      <w:pPr>
        <w:pStyle w:val="ListBullet"/>
        <w:spacing w:after="30"/>
      </w:pPr>
      <w:r>
        <w:t>Les étapes à implémenter et leur contrat.</w:t>
      </w:r>
    </w:p>
    <w:p>
      <w:pPr>
        <w:pStyle w:val="ListBullet"/>
        <w:spacing w:after="30"/>
      </w:pPr>
      <w:r>
        <w:t>Où valider et normaliser.</w:t>
      </w:r>
    </w:p>
    <w:p>
      <w:pPr>
        <w:pStyle w:val="ListBullet"/>
        <w:spacing w:after="30"/>
      </w:pPr>
      <w:r>
        <w:t>Où persister les résultats intermédiaires.</w:t>
      </w:r>
    </w:p>
    <w:p>
      <w:pPr>
        <w:pStyle w:val="ListBullet"/>
        <w:spacing w:after="30"/>
      </w:pPr>
      <w:r>
        <w:t>Où gérer la confiance, les erreurs et la reprise.</w:t>
      </w:r>
    </w:p>
    <w:p>
      <w:pPr>
        <w:pStyle w:val="Heading2"/>
      </w:pPr>
      <w:r>
        <w:t>Squelette Mermaid</w:t>
      </w:r>
    </w:p>
    <w:p>
      <w:pPr>
        <w:pStyle w:val="CodeBlock"/>
        <w:shd w:fill="F6F8FA"/>
      </w:pPr>
      <w:r>
        <w:rPr>
          <w:rFonts w:ascii="Consolas" w:hAnsi="Consolas"/>
          <w:sz w:val="16"/>
        </w:rPr>
        <w:t>flowchart LR</w:t>
        <w:br/>
        <w:t xml:space="preserve">  src[Source] --&gt; ingest[Ingestion]</w:t>
        <w:br/>
        <w:t xml:space="preserve">  ingest --&gt; norm[Normalisation]</w:t>
        <w:br/>
        <w:t xml:space="preserve">  norm --&gt; ai[Enrichissement / IA]</w:t>
        <w:br/>
        <w:t xml:space="preserve">  ai --&gt; check{Confiance suffisante ?}</w:t>
        <w:br/>
        <w:t xml:space="preserve">  check --&gt;|Oui| db[(Stockage)]</w:t>
        <w:br/>
        <w:t xml:space="preserve">  check --&gt;|Non| human[Validation humaine]</w:t>
        <w:br/>
        <w:t xml:space="preserve">  human --&gt; db</w:t>
        <w:br/>
        <w:t xml:space="preserve">  db --&gt; out[Consommateur]</w:t>
      </w:r>
    </w:p>
    <w:p>
      <w:pPr>
        <w:pStyle w:val="Heading1"/>
      </w:pPr>
      <w:r>
        <w:t>10. Component / Module</w:t>
      </w:r>
    </w:p>
    <w:p>
      <w:pPr>
        <w:spacing w:before="40" w:after="120"/>
        <w:pBdr>
          <w:bottom w:val="single" w:sz="8" w:space="1" w:color="D9E2EC"/>
        </w:pBdr>
      </w:pPr>
    </w:p>
    <w:p>
      <w:r>
        <w:t>Découper un container complexe en modules cohérents, responsabilités et dépendances. C’est le diagramme le plus proche de l’organisation future du code, sans descendre au niveau des classes.</w:t>
      </w:r>
    </w:p>
    <w:p>
      <w:pPr>
        <w:pStyle w:val="Heading2"/>
      </w:pPr>
      <w:r>
        <w:t>Quand l’utiliser</w:t>
      </w:r>
    </w:p>
    <w:p>
      <w:pPr>
        <w:pStyle w:val="ListBullet"/>
        <w:spacing w:after="30"/>
      </w:pPr>
      <w:r>
        <w:t>Backend modulaire, monolithe structuré ou bounded contexts.</w:t>
      </w:r>
    </w:p>
    <w:p>
      <w:pPr>
        <w:pStyle w:val="ListBullet"/>
        <w:spacing w:after="30"/>
      </w:pPr>
      <w:r>
        <w:t>Service devenu trop gros.</w:t>
      </w:r>
    </w:p>
    <w:p>
      <w:pPr>
        <w:pStyle w:val="ListBullet"/>
        <w:spacing w:after="30"/>
      </w:pPr>
      <w:r>
        <w:t>Refactor ou feature impliquant plusieurs modules internes.</w:t>
      </w:r>
    </w:p>
    <w:p>
      <w:pPr>
        <w:pStyle w:val="Heading2"/>
      </w:pPr>
      <w:r>
        <w:t>Ce qu’on attend dans le diagramme</w:t>
      </w:r>
    </w:p>
    <w:p>
      <w:pPr>
        <w:pStyle w:val="ListBullet"/>
        <w:spacing w:after="30"/>
      </w:pPr>
      <w:r>
        <w:t>Modules avec responsabilité explicite.</w:t>
      </w:r>
    </w:p>
    <w:p>
      <w:pPr>
        <w:pStyle w:val="ListBullet"/>
        <w:spacing w:after="30"/>
      </w:pPr>
      <w:r>
        <w:t>Dépendances orientées.</w:t>
      </w:r>
    </w:p>
    <w:p>
      <w:pPr>
        <w:pStyle w:val="ListBullet"/>
        <w:spacing w:after="30"/>
      </w:pPr>
      <w:r>
        <w:t>Ports/adapters ou interfaces importantes si elles existent.</w:t>
      </w:r>
    </w:p>
    <w:p>
      <w:pPr>
        <w:pStyle w:val="ListBullet"/>
        <w:spacing w:after="30"/>
      </w:pPr>
      <w:r>
        <w:t>Services transverses uniquement s’ils comptent pour l’implémentation.</w:t>
      </w:r>
    </w:p>
    <w:p>
      <w:pPr>
        <w:pStyle w:val="ListBullet"/>
        <w:spacing w:after="30"/>
      </w:pPr>
      <w:r>
        <w:t>Pas de liste exhaustive de fichiers.</w:t>
      </w:r>
    </w:p>
    <w:p>
      <w:pPr>
        <w:pStyle w:val="Heading2"/>
      </w:pPr>
      <w:r>
        <w:t>Ce que l’agent de code doit pouvoir en déduire</w:t>
      </w:r>
    </w:p>
    <w:p>
      <w:pPr>
        <w:pStyle w:val="ListBullet"/>
        <w:spacing w:after="30"/>
      </w:pPr>
      <w:r>
        <w:t>Dans quel module placer le code.</w:t>
      </w:r>
    </w:p>
    <w:p>
      <w:pPr>
        <w:pStyle w:val="ListBullet"/>
        <w:spacing w:after="30"/>
      </w:pPr>
      <w:r>
        <w:t>Les dépendances autorisées/interdites.</w:t>
      </w:r>
    </w:p>
    <w:p>
      <w:pPr>
        <w:pStyle w:val="ListBullet"/>
        <w:spacing w:after="30"/>
      </w:pPr>
      <w:r>
        <w:t>Les interfaces à exposer.</w:t>
      </w:r>
    </w:p>
    <w:p>
      <w:pPr>
        <w:pStyle w:val="ListBullet"/>
        <w:spacing w:after="30"/>
      </w:pPr>
      <w:r>
        <w:t>Les zones à tester isolément.</w:t>
      </w:r>
    </w:p>
    <w:p>
      <w:pPr>
        <w:pStyle w:val="Heading2"/>
      </w:pPr>
      <w:r>
        <w:t>Squelette Mermaid</w:t>
      </w:r>
    </w:p>
    <w:p>
      <w:pPr>
        <w:pStyle w:val="CodeBlock"/>
        <w:shd w:fill="F6F8FA"/>
      </w:pPr>
      <w:r>
        <w:rPr>
          <w:rFonts w:ascii="Consolas" w:hAnsi="Consolas"/>
          <w:sz w:val="16"/>
        </w:rPr>
        <w:t>flowchart LR</w:t>
        <w:br/>
        <w:t xml:space="preserve">  auth[Auth Module]</w:t>
        <w:br/>
        <w:t xml:space="preserve">  project[Project Module]</w:t>
        <w:br/>
        <w:t xml:space="preserve">  billing[Billing Module]</w:t>
        <w:br/>
        <w:t xml:space="preserve">  events[Event Bus]</w:t>
        <w:br/>
        <w:t xml:space="preserve">  project --&gt; auth</w:t>
        <w:br/>
        <w:t xml:space="preserve">  billing --&gt; project</w:t>
        <w:br/>
        <w:t xml:space="preserve">  project --&gt; events</w:t>
      </w:r>
    </w:p>
    <w:p>
      <w:pPr>
        <w:pStyle w:val="Heading1"/>
      </w:pPr>
      <w:r>
        <w:t>11. Format attendu pour chaque génération</w:t>
      </w:r>
    </w:p>
    <w:p>
      <w:pPr>
        <w:spacing w:before="40" w:after="120"/>
        <w:pBdr>
          <w:bottom w:val="single" w:sz="8" w:space="1" w:color="D9E2EC"/>
        </w:pBdr>
      </w:pPr>
    </w:p>
    <w:p>
      <w:r>
        <w:t>Pour chaque diagramme sélectionné, l’agent doit fournir exactement les éléments suivants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Élément</w:t>
            </w:r>
          </w:p>
        </w:tc>
        <w:tc>
          <w:tcPr>
            <w:tcW w:type="dxa" w:w="5083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Contenu attendu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Nom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Nom stable et explicite, utilisable comme nom de fichier.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Objectif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Une phrase expliquant la question d’architecture résolue.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Portée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Ce qui est inclus et volontairement exclu.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Sources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PRD, story, ADR, code ou autres éléments réellement consultés.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Hypothèses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Uniquement les hypothèses nécessaires, marquées explicitement.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Mermaid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Bloc Mermaid valide et autonome.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Lecture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 à 6 points expliquant ce que le diagramme implique pour l’implémentation.</w:t>
            </w:r>
          </w:p>
        </w:tc>
      </w:tr>
      <w:tr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Questions ouvertes</w:t>
            </w:r>
          </w:p>
        </w:tc>
        <w:tc>
          <w:tcPr>
            <w:tcW w:type="dxa" w:w="50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TBD qui bloquent ou modifient réellement le design.</w:t>
            </w:r>
          </w:p>
        </w:tc>
      </w:tr>
    </w:tbl>
    <w:p>
      <w:pPr>
        <w:pStyle w:val="Heading2"/>
      </w:pPr>
      <w:r>
        <w:t>Convention de fichier</w:t>
      </w:r>
    </w:p>
    <w:p>
      <w:pPr>
        <w:pStyle w:val="CodeBlock"/>
        <w:shd w:fill="F6F8FA"/>
      </w:pPr>
      <w:r>
        <w:rPr>
          <w:rFonts w:ascii="Consolas" w:hAnsi="Consolas"/>
          <w:sz w:val="16"/>
        </w:rPr>
        <w:t># &lt;Nom du diagramme&gt;</w:t>
        <w:br/>
        <w:br/>
        <w:t>## Objectif</w:t>
        <w:br/>
        <w:t>...</w:t>
        <w:br/>
        <w:br/>
        <w:t>## Portée</w:t>
        <w:br/>
        <w:t>...</w:t>
        <w:br/>
        <w:br/>
        <w:t>## Sources</w:t>
        <w:br/>
        <w:t>- ...</w:t>
        <w:br/>
        <w:br/>
        <w:t>## Diagramme</w:t>
        <w:br/>
        <w:t>```mermaid</w:t>
        <w:br/>
        <w:t>...</w:t>
        <w:br/>
        <w:t>```</w:t>
        <w:br/>
        <w:br/>
        <w:t>## Implications pour l’implémentation</w:t>
        <w:br/>
        <w:t>- ...</w:t>
        <w:br/>
        <w:br/>
        <w:t>## Questions ouvertes</w:t>
        <w:br/>
        <w:t>- TBD: ...</w:t>
      </w:r>
    </w:p>
    <w:p>
      <w:pPr>
        <w:pStyle w:val="Heading1"/>
      </w:pPr>
      <w:r>
        <w:t>12. Instruction réutilisable pour BMAD / agent de code</w:t>
      </w:r>
    </w:p>
    <w:p>
      <w:pPr>
        <w:spacing w:before="40" w:after="120"/>
        <w:pBdr>
          <w:bottom w:val="single" w:sz="8" w:space="1" w:color="D9E2EC"/>
        </w:pBdr>
      </w:pPr>
    </w:p>
    <w:p>
      <w:pPr>
        <w:pStyle w:val="CodeBlock"/>
        <w:shd w:fill="F6F8FA"/>
      </w:pPr>
      <w:r>
        <w:rPr>
          <w:rFonts w:ascii="Consolas" w:hAnsi="Consolas"/>
          <w:sz w:val="16"/>
        </w:rPr>
        <w:t>Analyse les sources du projet avant de produire des diagrammes.</w:t>
        <w:br/>
        <w:br/>
        <w:t>1. Identifie les ambiguïtés d’architecture ou d’implémentation qui méritent un diagramme.</w:t>
        <w:br/>
        <w:t>2. Sélectionne uniquement les types nécessaires parmi : System Context, Container/Architecture, Workflow, Sequence, ERD, State Machine, Data Flow, Component/Module.</w:t>
        <w:br/>
        <w:t>3. Pour chaque diagramme, respecte le contrat de ce document : objectif, portée, sources, hypothèses, Mermaid valide, implications d’implémentation et questions ouvertes.</w:t>
        <w:br/>
        <w:t>4. N’invente aucune dépendance ni règle métier. Marque TBD ce qui n’est pas confirmé.</w:t>
        <w:br/>
        <w:t>5. Utilise exactement le vocabulaire du projet et conserve les mêmes noms entre tous les diagrammes.</w:t>
        <w:br/>
        <w:t>6. Optimise la documentation pour qu’un agent de code puisse décider où implémenter, quelles interfaces créer, quelles données modifier et quels cas tester.</w:t>
        <w:br/>
        <w:t>7. Si un diagramme n’aide pas l’implémentation, ne le génère pas.</w:t>
        <w:br/>
        <w:t>8. Propose les fichiers .mmd/.md à créer ou mettre à jour dans docs/architecture/.</w:t>
      </w:r>
    </w:p>
    <w:p>
      <w:pPr>
        <w:pStyle w:val="Heading1"/>
      </w:pPr>
      <w:r>
        <w:t>13. Definition of Done</w:t>
      </w:r>
    </w:p>
    <w:p>
      <w:pPr>
        <w:spacing w:before="40" w:after="120"/>
        <w:pBdr>
          <w:bottom w:val="single" w:sz="8" w:space="1" w:color="D9E2EC"/>
        </w:pBdr>
      </w:pPr>
    </w:p>
    <w:p>
      <w:pPr>
        <w:pStyle w:val="ListBullet"/>
        <w:spacing w:after="30"/>
      </w:pPr>
      <w:r>
        <w:t>Chaque diagramme répond à une question clairement formulée.</w:t>
      </w:r>
    </w:p>
    <w:p>
      <w:pPr>
        <w:pStyle w:val="ListBullet"/>
        <w:spacing w:after="30"/>
      </w:pPr>
      <w:r>
        <w:t>La syntaxe Mermaid est valide et rendable.</w:t>
      </w:r>
    </w:p>
    <w:p>
      <w:pPr>
        <w:pStyle w:val="ListBullet"/>
        <w:spacing w:after="30"/>
      </w:pPr>
      <w:r>
        <w:t>Les noms sont cohérents avec le PRD, les stories et le code.</w:t>
      </w:r>
    </w:p>
    <w:p>
      <w:pPr>
        <w:pStyle w:val="ListBullet"/>
        <w:spacing w:after="30"/>
      </w:pPr>
      <w:r>
        <w:t>Aucun composant ou comportement non sourcé n’est présenté comme un fait.</w:t>
      </w:r>
    </w:p>
    <w:p>
      <w:pPr>
        <w:pStyle w:val="ListBullet"/>
        <w:spacing w:after="30"/>
      </w:pPr>
      <w:r>
        <w:t>Les relations et cardinalités importantes sont explicites.</w:t>
      </w:r>
    </w:p>
    <w:p>
      <w:pPr>
        <w:pStyle w:val="ListBullet"/>
        <w:spacing w:after="30"/>
      </w:pPr>
      <w:r>
        <w:t>Les chemins d’erreur ou états alternatifs importants ne sont pas masqués.</w:t>
      </w:r>
    </w:p>
    <w:p>
      <w:pPr>
        <w:pStyle w:val="ListBullet"/>
        <w:spacing w:after="30"/>
      </w:pPr>
      <w:r>
        <w:t>Les diagrammes restent lisibles sans zoom extrême.</w:t>
      </w:r>
    </w:p>
    <w:p>
      <w:pPr>
        <w:pStyle w:val="ListBullet"/>
        <w:spacing w:after="30"/>
      </w:pPr>
      <w:r>
        <w:t>Un agent de code peut en déduire responsabilités, interfaces, données et scénarios de test.</w:t>
      </w:r>
    </w:p>
    <w:p>
      <w:pPr>
        <w:pStyle w:val="ListBullet"/>
        <w:spacing w:after="30"/>
      </w:pPr>
      <w:r>
        <w:t>Les TBD restants sont identifiés.</w:t>
      </w:r>
    </w:p>
    <w:p>
      <w:pPr>
        <w:pStyle w:val="ListBullet"/>
        <w:spacing w:after="30"/>
      </w:pPr>
      <w:r>
        <w:t>La documentation est mise à jour en même temps que les décisions d’architecture.</w:t>
      </w:r>
    </w:p>
    <w:p>
      <w:pPr>
        <w:spacing w:before="240"/>
      </w:pPr>
      <w:r>
        <w:rPr>
          <w:b/>
          <w:color w:val="243B53"/>
        </w:rPr>
        <w:t>Principe final : diagrammer pour supprimer une ambiguïté, pas pour décorer une spécification.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59" w:right="144"/>
    </w:pPr>
    <w:rPr>
      <w:rFonts w:ascii="Consolas" w:hAnsi="Consolas"/>
      <w:sz w:val="16"/>
    </w:rPr>
  </w:style>
  <w:style w:type="paragraph" w:customStyle="1" w:styleId="SmallMuted">
    <w:name w:val="SmallMuted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