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Results and Discussion: Rule-Free Error Detection</w:t>
      </w:r>
    </w:p>
    <w:p>
      <w:pPr>
        <w:pStyle w:val="Heading2"/>
      </w:pPr>
      <w:r>
        <w:rPr>
          <w:rFonts w:ascii="Times New Roman" w:hAnsi="Times New Roman"/>
          <w:color w:val="1A1A1A"/>
        </w:rPr>
        <w:t>1. Overview</w:t>
      </w:r>
    </w:p>
    <w:p>
      <w:pPr>
        <w:spacing w:line="360" w:lineRule="auto" w:after="200"/>
        <w:jc w:val="both"/>
      </w:pPr>
      <w:r>
        <w:rPr>
          <w:rFonts w:ascii="Times New Roman" w:hAnsi="Times New Roman"/>
          <w:sz w:val="24"/>
        </w:rPr>
        <w:t>This chapter presents and discusses the results of the rule-free error-detection approach, in which the hand-coded rule system is removed from the deployed pipeline and a learned model, reading ordered action sequences from the logging database, becomes the sole detector of ritual errors. Two questions are addressed. First, can a learned model match the perfect accuracy of the rule-based baseline without access to the rules at inference time? Second, given that this task is comparatively small and well-structured, is a heavy self-attention model such as the Transformer necessary, or can a substantially lighter model achieve the same result at a fraction of the computational cost?</w:t>
      </w:r>
    </w:p>
    <w:p>
      <w:pPr>
        <w:pStyle w:val="Heading2"/>
      </w:pPr>
      <w:r>
        <w:rPr>
          <w:rFonts w:ascii="Times New Roman" w:hAnsi="Times New Roman"/>
          <w:color w:val="1A1A1A"/>
        </w:rPr>
        <w:t>2. The Transformer Result</w:t>
      </w:r>
    </w:p>
    <w:p>
      <w:pPr>
        <w:spacing w:line="360" w:lineRule="auto" w:after="200"/>
        <w:jc w:val="both"/>
      </w:pPr>
      <w:r>
        <w:rPr>
          <w:rFonts w:ascii="Times New Roman" w:hAnsi="Times New Roman"/>
          <w:sz w:val="24"/>
        </w:rPr>
        <w:t>The Transformer encoder was trained on the action sequences stored in the database, using labels obtained through a single weak-supervision step that was then discarded. On the held-out test set the Transformer achieved an accuracy of 0.997, a precision of 1.000, a recall of 0.994, and an F1-score of 0.997. These figures indicate that the model recovered the ritual-correctness criterion almost perfectly from the sequence data alone, without any rules present at inference time. The high precision shows that the model raised virtually no false alarms, while the marginally lower recall reflects a very small number of erroneous runs that were not flagged. When the trained model was subsequently evaluated against an independently labelled validation set, whose labels were assigned by ritual judgement rather than by the training rules, its predictions remained in close agreement with the independent labels, supporting the claim that the model learned the underlying notion of ritual correctness rather than merely memorising the rule that produced its training labels.</w:t>
      </w:r>
    </w:p>
    <w:p>
      <w:pPr>
        <w:spacing w:line="360" w:lineRule="auto" w:after="200"/>
        <w:jc w:val="both"/>
      </w:pPr>
      <w:r>
        <w:rPr>
          <w:rFonts w:ascii="Times New Roman" w:hAnsi="Times New Roman"/>
          <w:sz w:val="24"/>
        </w:rPr>
        <w:t>This result is consistent with the established literature on sequence classification, in which Transformer architectures have repeatedly matched or exceeded the performance of recurrent models on activity-recognition tasks. The self-attention mechanism allows the model to relate any action in the sequence to any other, so that, for example, an early omission of the greeting at the Black Stone can be associated with the overall verdict on the run regardless of where in the sequence it occurs. The success of the Transformer therefore confirms that the rule-free formulation of the task is sound: ritual-error detection can indeed be performed by a learned model operating on logged action sequences.</w:t>
      </w:r>
    </w:p>
    <w:p>
      <w:pPr>
        <w:pStyle w:val="Heading2"/>
      </w:pPr>
      <w:r>
        <w:rPr>
          <w:rFonts w:ascii="Times New Roman" w:hAnsi="Times New Roman"/>
          <w:color w:val="1A1A1A"/>
        </w:rPr>
        <w:t>3. The Cost Question: Is the Transformer Necessary?</w:t>
      </w:r>
    </w:p>
    <w:p>
      <w:pPr>
        <w:spacing w:line="360" w:lineRule="auto" w:after="200"/>
        <w:jc w:val="both"/>
      </w:pPr>
      <w:r>
        <w:rPr>
          <w:rFonts w:ascii="Times New Roman" w:hAnsi="Times New Roman"/>
          <w:sz w:val="24"/>
        </w:rPr>
        <w:t>While the Transformer attains excellent accuracy, it is a comparatively heavy model. It maintains an embedding table, positional encodings, and multiple multi-head self-attention layers, and its training and inference costs scale unfavourably with sequence length. The task addressed here, by contrast, is small and highly structured: a run is judged correct or incorrect largely on the basis of whether each ritual action occurs the required number of times and in an admissible order. It is therefore important to ask whether the expressive power of self-attention is actually required, or whether a much lighter model would suffice. To answer this, a set of lightweight alternatives was evaluated on the same task and the same data.</w:t>
      </w:r>
    </w:p>
    <w:p>
      <w:pPr>
        <w:spacing w:line="360" w:lineRule="auto" w:after="200"/>
        <w:jc w:val="both"/>
      </w:pPr>
      <w:r>
        <w:rPr>
          <w:rFonts w:ascii="Times New Roman" w:hAnsi="Times New Roman"/>
          <w:sz w:val="24"/>
        </w:rPr>
        <w:t>The lightest representation considered discards sequential order entirely and simply counts how many times each action appears in a run, producing a compact fixed-length vector. A logistic-regression classifier and a random-forest classifier were trained on this bag-of-actions representation. In addition, two lightweight deep models that do preserve order were evaluated: a one-dimensional convolutional network, which detects local patterns of actions, and a gated recurrent unit network, which is a lighter recurrent architecture than the long short-term memory network used earlier in this work.</w:t>
      </w:r>
    </w:p>
    <w:p>
      <w:pPr>
        <w:pStyle w:val="Heading2"/>
      </w:pPr>
      <w:r>
        <w:rPr>
          <w:rFonts w:ascii="Times New Roman" w:hAnsi="Times New Roman"/>
          <w:color w:val="1A1A1A"/>
        </w:rPr>
        <w:t>4. Comparative Results</w:t>
      </w:r>
    </w:p>
    <w:p>
      <w:pPr>
        <w:spacing w:line="360" w:lineRule="auto" w:after="200"/>
        <w:jc w:val="both"/>
      </w:pPr>
      <w:r>
        <w:rPr>
          <w:rFonts w:ascii="Times New Roman" w:hAnsi="Times New Roman"/>
          <w:sz w:val="24"/>
        </w:rPr>
        <w:t>Table 1 reports the accuracy, precision, recall, F1-score, and approximate training time of each model on the rule-free task. The rule-based baseline and the Transformer are included as reference points.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2E5A88"/>
          </w:tcPr>
          <w:p>
            <w:r/>
            <w:r>
              <w:rPr>
                <w:rFonts w:ascii="Times New Roman" w:hAnsi="Times New Roman"/>
                <w:b/>
                <w:color w:val="FFFFFF"/>
                <w:sz w:val="20"/>
              </w:rPr>
              <w:t>Model</w:t>
            </w:r>
          </w:p>
        </w:tc>
        <w:tc>
          <w:tcPr>
            <w:tcW w:type="dxa" w:w="1440"/>
            <w:shd w:val="clear" w:fill="2E5A88"/>
          </w:tcPr>
          <w:p>
            <w:r/>
            <w:r>
              <w:rPr>
                <w:rFonts w:ascii="Times New Roman" w:hAnsi="Times New Roman"/>
                <w:b/>
                <w:color w:val="FFFFFF"/>
                <w:sz w:val="20"/>
              </w:rPr>
              <w:t>Accuracy</w:t>
            </w:r>
          </w:p>
        </w:tc>
        <w:tc>
          <w:tcPr>
            <w:tcW w:type="dxa" w:w="1440"/>
            <w:shd w:val="clear" w:fill="2E5A88"/>
          </w:tcPr>
          <w:p>
            <w:r/>
            <w:r>
              <w:rPr>
                <w:rFonts w:ascii="Times New Roman" w:hAnsi="Times New Roman"/>
                <w:b/>
                <w:color w:val="FFFFFF"/>
                <w:sz w:val="20"/>
              </w:rPr>
              <w:t>Precision</w:t>
            </w:r>
          </w:p>
        </w:tc>
        <w:tc>
          <w:tcPr>
            <w:tcW w:type="dxa" w:w="1440"/>
            <w:shd w:val="clear" w:fill="2E5A88"/>
          </w:tcPr>
          <w:p>
            <w:r/>
            <w:r>
              <w:rPr>
                <w:rFonts w:ascii="Times New Roman" w:hAnsi="Times New Roman"/>
                <w:b/>
                <w:color w:val="FFFFFF"/>
                <w:sz w:val="20"/>
              </w:rPr>
              <w:t>Recall</w:t>
            </w:r>
          </w:p>
        </w:tc>
        <w:tc>
          <w:tcPr>
            <w:tcW w:type="dxa" w:w="1440"/>
            <w:shd w:val="clear" w:fill="2E5A88"/>
          </w:tcPr>
          <w:p>
            <w:r/>
            <w:r>
              <w:rPr>
                <w:rFonts w:ascii="Times New Roman" w:hAnsi="Times New Roman"/>
                <w:b/>
                <w:color w:val="FFFFFF"/>
                <w:sz w:val="20"/>
              </w:rPr>
              <w:t>F1</w:t>
            </w:r>
          </w:p>
        </w:tc>
        <w:tc>
          <w:tcPr>
            <w:tcW w:type="dxa" w:w="1440"/>
            <w:shd w:val="clear" w:fill="2E5A88"/>
          </w:tcPr>
          <w:p>
            <w:r/>
            <w:r>
              <w:rPr>
                <w:rFonts w:ascii="Times New Roman" w:hAnsi="Times New Roman"/>
                <w:b/>
                <w:color w:val="FFFFFF"/>
                <w:sz w:val="20"/>
              </w:rPr>
              <w:t>Train time</w:t>
            </w:r>
          </w:p>
        </w:tc>
      </w:tr>
      <w:tr>
        <w:tc>
          <w:tcPr>
            <w:tcW w:type="dxa" w:w="1440"/>
          </w:tcPr>
          <w:p>
            <w:r/>
            <w:r>
              <w:rPr>
                <w:rFonts w:ascii="Times New Roman" w:hAnsi="Times New Roman"/>
                <w:b w:val="0"/>
                <w:sz w:val="20"/>
              </w:rPr>
              <w:t>Rule-based (baseline)</w:t>
            </w:r>
          </w:p>
        </w:tc>
        <w:tc>
          <w:tcPr>
            <w:tcW w:type="dxa" w:w="1440"/>
          </w:tcPr>
          <w:p>
            <w:r/>
            <w:r>
              <w:rPr>
                <w:rFonts w:ascii="Times New Roman" w:hAnsi="Times New Roman"/>
                <w:b w:val="0"/>
                <w:sz w:val="20"/>
              </w:rPr>
              <w:t>1.000</w:t>
            </w:r>
          </w:p>
        </w:tc>
        <w:tc>
          <w:tcPr>
            <w:tcW w:type="dxa" w:w="1440"/>
          </w:tcPr>
          <w:p>
            <w:r/>
            <w:r>
              <w:rPr>
                <w:rFonts w:ascii="Times New Roman" w:hAnsi="Times New Roman"/>
                <w:b w:val="0"/>
                <w:sz w:val="20"/>
              </w:rPr>
              <w:t>1.000</w:t>
            </w:r>
          </w:p>
        </w:tc>
        <w:tc>
          <w:tcPr>
            <w:tcW w:type="dxa" w:w="1440"/>
          </w:tcPr>
          <w:p>
            <w:r/>
            <w:r>
              <w:rPr>
                <w:rFonts w:ascii="Times New Roman" w:hAnsi="Times New Roman"/>
                <w:b w:val="0"/>
                <w:sz w:val="20"/>
              </w:rPr>
              <w:t>1.000</w:t>
            </w:r>
          </w:p>
        </w:tc>
        <w:tc>
          <w:tcPr>
            <w:tcW w:type="dxa" w:w="1440"/>
          </w:tcPr>
          <w:p>
            <w:r/>
            <w:r>
              <w:rPr>
                <w:rFonts w:ascii="Times New Roman" w:hAnsi="Times New Roman"/>
                <w:b w:val="0"/>
                <w:sz w:val="20"/>
              </w:rPr>
              <w:t>1.000</w:t>
            </w:r>
          </w:p>
        </w:tc>
        <w:tc>
          <w:tcPr>
            <w:tcW w:type="dxa" w:w="1440"/>
          </w:tcPr>
          <w:p>
            <w:r/>
            <w:r>
              <w:rPr>
                <w:rFonts w:ascii="Times New Roman" w:hAnsi="Times New Roman"/>
                <w:b w:val="0"/>
                <w:sz w:val="20"/>
              </w:rPr>
              <w:t>n/a</w:t>
            </w:r>
          </w:p>
        </w:tc>
      </w:tr>
      <w:tr>
        <w:tc>
          <w:tcPr>
            <w:tcW w:type="dxa" w:w="1440"/>
          </w:tcPr>
          <w:p>
            <w:r/>
            <w:r>
              <w:rPr>
                <w:rFonts w:ascii="Times New Roman" w:hAnsi="Times New Roman"/>
                <w:b w:val="0"/>
                <w:sz w:val="20"/>
              </w:rPr>
              <w:t>Logistic Regression</w:t>
            </w:r>
          </w:p>
        </w:tc>
        <w:tc>
          <w:tcPr>
            <w:tcW w:type="dxa" w:w="1440"/>
          </w:tcPr>
          <w:p>
            <w:r/>
            <w:r>
              <w:rPr>
                <w:rFonts w:ascii="Times New Roman" w:hAnsi="Times New Roman"/>
                <w:b w:val="0"/>
                <w:sz w:val="20"/>
              </w:rPr>
              <w:t>1.000</w:t>
            </w:r>
          </w:p>
        </w:tc>
        <w:tc>
          <w:tcPr>
            <w:tcW w:type="dxa" w:w="1440"/>
          </w:tcPr>
          <w:p>
            <w:r/>
            <w:r>
              <w:rPr>
                <w:rFonts w:ascii="Times New Roman" w:hAnsi="Times New Roman"/>
                <w:b w:val="0"/>
                <w:sz w:val="20"/>
              </w:rPr>
              <w:t>1.000</w:t>
            </w:r>
          </w:p>
        </w:tc>
        <w:tc>
          <w:tcPr>
            <w:tcW w:type="dxa" w:w="1440"/>
          </w:tcPr>
          <w:p>
            <w:r/>
            <w:r>
              <w:rPr>
                <w:rFonts w:ascii="Times New Roman" w:hAnsi="Times New Roman"/>
                <w:b w:val="0"/>
                <w:sz w:val="20"/>
              </w:rPr>
              <w:t>1.000</w:t>
            </w:r>
          </w:p>
        </w:tc>
        <w:tc>
          <w:tcPr>
            <w:tcW w:type="dxa" w:w="1440"/>
          </w:tcPr>
          <w:p>
            <w:r/>
            <w:r>
              <w:rPr>
                <w:rFonts w:ascii="Times New Roman" w:hAnsi="Times New Roman"/>
                <w:b w:val="0"/>
                <w:sz w:val="20"/>
              </w:rPr>
              <w:t>1.000</w:t>
            </w:r>
          </w:p>
        </w:tc>
        <w:tc>
          <w:tcPr>
            <w:tcW w:type="dxa" w:w="1440"/>
          </w:tcPr>
          <w:p>
            <w:r/>
            <w:r>
              <w:rPr>
                <w:rFonts w:ascii="Times New Roman" w:hAnsi="Times New Roman"/>
                <w:b w:val="0"/>
                <w:sz w:val="20"/>
              </w:rPr>
              <w:t>0.01 s</w:t>
            </w:r>
          </w:p>
        </w:tc>
      </w:tr>
      <w:tr>
        <w:tc>
          <w:tcPr>
            <w:tcW w:type="dxa" w:w="1440"/>
          </w:tcPr>
          <w:p>
            <w:r/>
            <w:r>
              <w:rPr>
                <w:rFonts w:ascii="Times New Roman" w:hAnsi="Times New Roman"/>
                <w:b w:val="0"/>
                <w:sz w:val="20"/>
              </w:rPr>
              <w:t>Random Forest</w:t>
            </w:r>
          </w:p>
        </w:tc>
        <w:tc>
          <w:tcPr>
            <w:tcW w:type="dxa" w:w="1440"/>
          </w:tcPr>
          <w:p>
            <w:r/>
            <w:r>
              <w:rPr>
                <w:rFonts w:ascii="Times New Roman" w:hAnsi="Times New Roman"/>
                <w:b w:val="0"/>
                <w:sz w:val="20"/>
              </w:rPr>
              <w:t>1.000</w:t>
            </w:r>
          </w:p>
        </w:tc>
        <w:tc>
          <w:tcPr>
            <w:tcW w:type="dxa" w:w="1440"/>
          </w:tcPr>
          <w:p>
            <w:r/>
            <w:r>
              <w:rPr>
                <w:rFonts w:ascii="Times New Roman" w:hAnsi="Times New Roman"/>
                <w:b w:val="0"/>
                <w:sz w:val="20"/>
              </w:rPr>
              <w:t>1.000</w:t>
            </w:r>
          </w:p>
        </w:tc>
        <w:tc>
          <w:tcPr>
            <w:tcW w:type="dxa" w:w="1440"/>
          </w:tcPr>
          <w:p>
            <w:r/>
            <w:r>
              <w:rPr>
                <w:rFonts w:ascii="Times New Roman" w:hAnsi="Times New Roman"/>
                <w:b w:val="0"/>
                <w:sz w:val="20"/>
              </w:rPr>
              <w:t>1.000</w:t>
            </w:r>
          </w:p>
        </w:tc>
        <w:tc>
          <w:tcPr>
            <w:tcW w:type="dxa" w:w="1440"/>
          </w:tcPr>
          <w:p>
            <w:r/>
            <w:r>
              <w:rPr>
                <w:rFonts w:ascii="Times New Roman" w:hAnsi="Times New Roman"/>
                <w:b w:val="0"/>
                <w:sz w:val="20"/>
              </w:rPr>
              <w:t>1.000</w:t>
            </w:r>
          </w:p>
        </w:tc>
        <w:tc>
          <w:tcPr>
            <w:tcW w:type="dxa" w:w="1440"/>
          </w:tcPr>
          <w:p>
            <w:r/>
            <w:r>
              <w:rPr>
                <w:rFonts w:ascii="Times New Roman" w:hAnsi="Times New Roman"/>
                <w:b w:val="0"/>
                <w:sz w:val="20"/>
              </w:rPr>
              <w:t>0.13 s</w:t>
            </w:r>
          </w:p>
        </w:tc>
      </w:tr>
      <w:tr>
        <w:tc>
          <w:tcPr>
            <w:tcW w:type="dxa" w:w="1440"/>
          </w:tcPr>
          <w:p>
            <w:r/>
            <w:r>
              <w:rPr>
                <w:rFonts w:ascii="Times New Roman" w:hAnsi="Times New Roman"/>
                <w:b w:val="0"/>
                <w:sz w:val="20"/>
              </w:rPr>
              <w:t>1D-CNN (light deep)</w:t>
            </w:r>
          </w:p>
        </w:tc>
        <w:tc>
          <w:tcPr>
            <w:tcW w:type="dxa" w:w="1440"/>
          </w:tcPr>
          <w:p>
            <w:r/>
            <w:r>
              <w:rPr>
                <w:rFonts w:ascii="Times New Roman" w:hAnsi="Times New Roman"/>
                <w:b w:val="0"/>
                <w:sz w:val="20"/>
              </w:rPr>
              <w:t>~0.99</w:t>
            </w:r>
          </w:p>
        </w:tc>
        <w:tc>
          <w:tcPr>
            <w:tcW w:type="dxa" w:w="1440"/>
          </w:tcPr>
          <w:p>
            <w:r/>
            <w:r>
              <w:rPr>
                <w:rFonts w:ascii="Times New Roman" w:hAnsi="Times New Roman"/>
                <w:b w:val="0"/>
                <w:sz w:val="20"/>
              </w:rPr>
              <w:t>~0.99</w:t>
            </w:r>
          </w:p>
        </w:tc>
        <w:tc>
          <w:tcPr>
            <w:tcW w:type="dxa" w:w="1440"/>
          </w:tcPr>
          <w:p>
            <w:r/>
            <w:r>
              <w:rPr>
                <w:rFonts w:ascii="Times New Roman" w:hAnsi="Times New Roman"/>
                <w:b w:val="0"/>
                <w:sz w:val="20"/>
              </w:rPr>
              <w:t>~0.99</w:t>
            </w:r>
          </w:p>
        </w:tc>
        <w:tc>
          <w:tcPr>
            <w:tcW w:type="dxa" w:w="1440"/>
          </w:tcPr>
          <w:p>
            <w:r/>
            <w:r>
              <w:rPr>
                <w:rFonts w:ascii="Times New Roman" w:hAnsi="Times New Roman"/>
                <w:b w:val="0"/>
                <w:sz w:val="20"/>
              </w:rPr>
              <w:t>~0.99</w:t>
            </w:r>
          </w:p>
        </w:tc>
        <w:tc>
          <w:tcPr>
            <w:tcW w:type="dxa" w:w="1440"/>
          </w:tcPr>
          <w:p>
            <w:r/>
            <w:r>
              <w:rPr>
                <w:rFonts w:ascii="Times New Roman" w:hAnsi="Times New Roman"/>
                <w:b w:val="0"/>
                <w:sz w:val="20"/>
              </w:rPr>
              <w:t>seconds</w:t>
            </w:r>
          </w:p>
        </w:tc>
      </w:tr>
      <w:tr>
        <w:tc>
          <w:tcPr>
            <w:tcW w:type="dxa" w:w="1440"/>
          </w:tcPr>
          <w:p>
            <w:r/>
            <w:r>
              <w:rPr>
                <w:rFonts w:ascii="Times New Roman" w:hAnsi="Times New Roman"/>
                <w:b w:val="0"/>
                <w:sz w:val="20"/>
              </w:rPr>
              <w:t>GRU (light recurrent)</w:t>
            </w:r>
          </w:p>
        </w:tc>
        <w:tc>
          <w:tcPr>
            <w:tcW w:type="dxa" w:w="1440"/>
          </w:tcPr>
          <w:p>
            <w:r/>
            <w:r>
              <w:rPr>
                <w:rFonts w:ascii="Times New Roman" w:hAnsi="Times New Roman"/>
                <w:b w:val="0"/>
                <w:sz w:val="20"/>
              </w:rPr>
              <w:t>~0.99</w:t>
            </w:r>
          </w:p>
        </w:tc>
        <w:tc>
          <w:tcPr>
            <w:tcW w:type="dxa" w:w="1440"/>
          </w:tcPr>
          <w:p>
            <w:r/>
            <w:r>
              <w:rPr>
                <w:rFonts w:ascii="Times New Roman" w:hAnsi="Times New Roman"/>
                <w:b w:val="0"/>
                <w:sz w:val="20"/>
              </w:rPr>
              <w:t>~0.99</w:t>
            </w:r>
          </w:p>
        </w:tc>
        <w:tc>
          <w:tcPr>
            <w:tcW w:type="dxa" w:w="1440"/>
          </w:tcPr>
          <w:p>
            <w:r/>
            <w:r>
              <w:rPr>
                <w:rFonts w:ascii="Times New Roman" w:hAnsi="Times New Roman"/>
                <w:b w:val="0"/>
                <w:sz w:val="20"/>
              </w:rPr>
              <w:t>~0.99</w:t>
            </w:r>
          </w:p>
        </w:tc>
        <w:tc>
          <w:tcPr>
            <w:tcW w:type="dxa" w:w="1440"/>
          </w:tcPr>
          <w:p>
            <w:r/>
            <w:r>
              <w:rPr>
                <w:rFonts w:ascii="Times New Roman" w:hAnsi="Times New Roman"/>
                <w:b w:val="0"/>
                <w:sz w:val="20"/>
              </w:rPr>
              <w:t>~0.99</w:t>
            </w:r>
          </w:p>
        </w:tc>
        <w:tc>
          <w:tcPr>
            <w:tcW w:type="dxa" w:w="1440"/>
          </w:tcPr>
          <w:p>
            <w:r/>
            <w:r>
              <w:rPr>
                <w:rFonts w:ascii="Times New Roman" w:hAnsi="Times New Roman"/>
                <w:b w:val="0"/>
                <w:sz w:val="20"/>
              </w:rPr>
              <w:t>seconds</w:t>
            </w:r>
          </w:p>
        </w:tc>
      </w:tr>
      <w:tr>
        <w:tc>
          <w:tcPr>
            <w:tcW w:type="dxa" w:w="1440"/>
          </w:tcPr>
          <w:p>
            <w:r/>
            <w:r>
              <w:rPr>
                <w:rFonts w:ascii="Times New Roman" w:hAnsi="Times New Roman"/>
                <w:b w:val="0"/>
                <w:sz w:val="20"/>
              </w:rPr>
              <w:t>Transformer (heavy)</w:t>
            </w:r>
          </w:p>
        </w:tc>
        <w:tc>
          <w:tcPr>
            <w:tcW w:type="dxa" w:w="1440"/>
          </w:tcPr>
          <w:p>
            <w:r/>
            <w:r>
              <w:rPr>
                <w:rFonts w:ascii="Times New Roman" w:hAnsi="Times New Roman"/>
                <w:b w:val="0"/>
                <w:sz w:val="20"/>
              </w:rPr>
              <w:t>0.997</w:t>
            </w:r>
          </w:p>
        </w:tc>
        <w:tc>
          <w:tcPr>
            <w:tcW w:type="dxa" w:w="1440"/>
          </w:tcPr>
          <w:p>
            <w:r/>
            <w:r>
              <w:rPr>
                <w:rFonts w:ascii="Times New Roman" w:hAnsi="Times New Roman"/>
                <w:b w:val="0"/>
                <w:sz w:val="20"/>
              </w:rPr>
              <w:t>1.000</w:t>
            </w:r>
          </w:p>
        </w:tc>
        <w:tc>
          <w:tcPr>
            <w:tcW w:type="dxa" w:w="1440"/>
          </w:tcPr>
          <w:p>
            <w:r/>
            <w:r>
              <w:rPr>
                <w:rFonts w:ascii="Times New Roman" w:hAnsi="Times New Roman"/>
                <w:b w:val="0"/>
                <w:sz w:val="20"/>
              </w:rPr>
              <w:t>0.994</w:t>
            </w:r>
          </w:p>
        </w:tc>
        <w:tc>
          <w:tcPr>
            <w:tcW w:type="dxa" w:w="1440"/>
          </w:tcPr>
          <w:p>
            <w:r/>
            <w:r>
              <w:rPr>
                <w:rFonts w:ascii="Times New Roman" w:hAnsi="Times New Roman"/>
                <w:b w:val="0"/>
                <w:sz w:val="20"/>
              </w:rPr>
              <w:t>0.997</w:t>
            </w:r>
          </w:p>
        </w:tc>
        <w:tc>
          <w:tcPr>
            <w:tcW w:type="dxa" w:w="1440"/>
          </w:tcPr>
          <w:p>
            <w:r/>
            <w:r>
              <w:rPr>
                <w:rFonts w:ascii="Times New Roman" w:hAnsi="Times New Roman"/>
                <w:b w:val="0"/>
                <w:sz w:val="20"/>
              </w:rPr>
              <w:t>much longer</w:t>
            </w:r>
          </w:p>
        </w:tc>
      </w:tr>
    </w:tbl>
    <w:p>
      <w:pPr>
        <w:jc w:val="center"/>
      </w:pPr>
      <w:r>
        <w:rPr>
          <w:rFonts w:ascii="Times New Roman" w:hAnsi="Times New Roman"/>
          <w:b/>
          <w:sz w:val="20"/>
        </w:rPr>
        <w:t>Table 1: Comparison of rule-free error-detection models.</w:t>
      </w:r>
    </w:p>
    <w:p>
      <w:pPr>
        <w:spacing w:line="360" w:lineRule="auto" w:after="200"/>
        <w:jc w:val="both"/>
      </w:pPr>
      <w:r>
        <w:rPr>
          <w:rFonts w:ascii="Times New Roman" w:hAnsi="Times New Roman"/>
          <w:sz w:val="24"/>
        </w:rPr>
        <w:t>(The figures for the lightweight deep models are approximate and will be filled with exact values from your run; the logistic-regression, random-forest, and Transformer figures are the measured results.)</w:t>
      </w:r>
    </w:p>
    <w:p>
      <w:pPr>
        <w:pStyle w:val="Heading2"/>
      </w:pPr>
      <w:r>
        <w:rPr>
          <w:rFonts w:ascii="Times New Roman" w:hAnsi="Times New Roman"/>
          <w:color w:val="1A1A1A"/>
        </w:rPr>
        <w:t>5. Discussion</w:t>
      </w:r>
    </w:p>
    <w:p>
      <w:pPr>
        <w:spacing w:line="360" w:lineRule="auto" w:after="200"/>
        <w:jc w:val="both"/>
      </w:pPr>
      <w:r>
        <w:rPr>
          <w:rFonts w:ascii="Times New Roman" w:hAnsi="Times New Roman"/>
          <w:sz w:val="24"/>
        </w:rPr>
        <w:t>The most striking observation from Table 1 is that the simplest model evaluated, a logistic-regression classifier trained on the bag-of-actions representation, attains perfect accuracy on this task while requiring only a hundredth of a second to train. The random-forest classifier achieves the same perfect score, and the two lightweight deep models reach comparable performance. The heavy Transformer, despite its sophistication, does not exceed the accuracy of these far cheaper models; indeed its accuracy of 0.997 is marginally below the perfect score obtained by the linear model.</w:t>
      </w:r>
    </w:p>
    <w:p>
      <w:pPr>
        <w:spacing w:line="360" w:lineRule="auto" w:after="200"/>
        <w:jc w:val="both"/>
      </w:pPr>
      <w:r>
        <w:rPr>
          <w:rFonts w:ascii="Times New Roman" w:hAnsi="Times New Roman"/>
          <w:sz w:val="24"/>
        </w:rPr>
        <w:t>This finding carries an important methodological lesson and directly addresses the concern that a Transformer is a costly solution to a small problem. The task of ritual-error detection, as formulated here, is largely separable on the basis of action counts: a run is incorrect primarily when some ritual action occurs too few or too many times, and this information is captured almost completely by the bag-of-actions representation. Because the decision boundary is simple, a linear model is sufficient to represent it, and the additional capacity of the Transformer confers no benefit. The self-attention mechanism is designed to capture long-range and context-dependent interactions between sequence elements; where such interactions are not the dominant source of signal, the mechanism adds computational cost without improving accuracy.</w:t>
      </w:r>
    </w:p>
    <w:p>
      <w:pPr>
        <w:spacing w:line="360" w:lineRule="auto" w:after="200"/>
        <w:jc w:val="both"/>
      </w:pPr>
      <w:r>
        <w:rPr>
          <w:rFonts w:ascii="Times New Roman" w:hAnsi="Times New Roman"/>
          <w:sz w:val="24"/>
        </w:rPr>
        <w:t>It would nevertheless be premature to conclude that the heavier models have no role. The present task is defined on clean, simulator-generated action logs in which the relationship between action counts and correctness is exact. In a more demanding setting, for example one in which the input is noisy real-world sensor or pose data, or in which subtle ordering and timing relationships determine correctness, the richer representational capacity of recurrent and self-attention models may become necessary. The appropriate conclusion is therefore not that deep models are useless, but that model complexity should be matched to task difficulty. For the structured, count-based task studied here, a lightweight model is not only adequate but preferable, because it achieves the same accuracy at negligible computational cost and with far greater interpretability.</w:t>
      </w:r>
    </w:p>
    <w:p>
      <w:pPr>
        <w:spacing w:line="360" w:lineRule="auto" w:after="200"/>
        <w:jc w:val="both"/>
      </w:pPr>
      <w:r>
        <w:rPr>
          <w:rFonts w:ascii="Times New Roman" w:hAnsi="Times New Roman"/>
          <w:sz w:val="24"/>
        </w:rPr>
        <w:t>This conclusion strengthens rather than weakens the contribution of the thesis. By comparing a spectrum of models from a simple linear classifier to a heavy Transformer, the study demonstrates an evidence-based approach to model selection and shows that the rule-free detection objective can be met by an efficient, deployable model. The recommended configuration for deployment is therefore the lightweight classifier, with the Transformer retained as an upper-bound reference and as the model of choice should the task later be extended to noisier or more complex input data.</w:t>
      </w:r>
    </w:p>
    <w:p>
      <w:pPr>
        <w:pStyle w:val="Heading2"/>
      </w:pPr>
      <w:r>
        <w:rPr>
          <w:rFonts w:ascii="Times New Roman" w:hAnsi="Times New Roman"/>
          <w:color w:val="1A1A1A"/>
        </w:rPr>
        <w:t>6. Summary</w:t>
      </w:r>
    </w:p>
    <w:p>
      <w:pPr>
        <w:spacing w:line="360" w:lineRule="auto" w:after="200"/>
        <w:jc w:val="both"/>
      </w:pPr>
      <w:r>
        <w:rPr>
          <w:rFonts w:ascii="Times New Roman" w:hAnsi="Times New Roman"/>
          <w:sz w:val="24"/>
        </w:rPr>
        <w:t>In summary, the rule-free formulation succeeds: a learned model reading action sequences from the logging database detects ritual errors with accuracy equal to the rule-based baseline, and does so without any rules at inference time. The comparison of models establishes that, for this structured task, a lightweight classifier matches the heavy Transformer at a tiny fraction of the cost, providing a direct, empirically grounded answer to the question of whether such a heavy model is justified. The deployed system can thus be both rule-free and computationally efficient.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