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Palatino Linotype" w:cs="Palatino Linotype" w:eastAsia="Palatino Linotype" w:hAnsi="Palatino Linotype"/>
          <w:b/>
          <w:bCs/>
          <w:smallCaps/>
          <w:color w:val="3B5A40"/>
          <w:spacing w:val="50"/>
          <w:sz w:val="19"/>
          <w:szCs w:val="19"/>
        </w:rPr>
        <w:t xml:space="preserve">Frontier AI Observatory</w:t>
      </w:r>
    </w:p>
    <w:p>
      <w:pPr>
        <w:spacing w:after="40" w:before="0" w:line="560" w:lineRule="atLeast"/>
      </w:pPr>
      <w:r>
        <w:rPr>
          <w:rFonts w:ascii="Palatino Linotype" w:cs="Palatino Linotype" w:eastAsia="Palatino Linotype" w:hAnsi="Palatino Linotype"/>
          <w:color w:val="1D1B18"/>
          <w:sz w:val="60"/>
          <w:szCs w:val="60"/>
        </w:rPr>
        <w:t xml:space="preserve">Phase 2 proposal</w:t>
      </w:r>
    </w:p>
    <w:p>
      <w:pPr>
        <w:spacing w:after="260" w:before="0"/>
      </w:pPr>
      <w:r>
        <w:rPr>
          <w:rFonts w:ascii="Palatino Linotype" w:cs="Palatino Linotype" w:eastAsia="Palatino Linotype" w:hAnsi="Palatino Linotype"/>
          <w:i/>
          <w:iCs/>
          <w:color w:val="6F685C"/>
          <w:sz w:val="30"/>
          <w:szCs w:val="30"/>
        </w:rPr>
        <w:t xml:space="preserve">Building the Bronze and Silver layers</w:t>
      </w:r>
    </w:p>
    <w:p>
      <w:pPr>
        <w:spacing w:after="20" w:before="0"/>
      </w:pPr>
      <w:r>
        <w:rPr>
          <w:rFonts w:ascii="Palatino Linotype" w:cs="Palatino Linotype" w:eastAsia="Palatino Linotype" w:hAnsi="Palatino Linotype"/>
          <w:color w:val="1D1B18"/>
          <w:sz w:val="19"/>
          <w:szCs w:val="19"/>
        </w:rPr>
        <w:t xml:space="preserve">Muhammad Ali Aamir (24L-2558)</w:t>
      </w:r>
    </w:p>
    <w:p>
      <w:pPr>
        <w:spacing w:after="80" w:before="0"/>
      </w:pPr>
      <w:r>
        <w:rPr>
          <w:rFonts w:ascii="Palatino Linotype" w:cs="Palatino Linotype" w:eastAsia="Palatino Linotype" w:hAnsi="Palatino Linotype"/>
          <w:color w:val="1D1B18"/>
          <w:sz w:val="19"/>
          <w:szCs w:val="19"/>
        </w:rPr>
        <w:t xml:space="preserve">Muhammad Zohaib (24L-2530)</w:t>
      </w:r>
    </w:p>
    <w:p>
      <w:pPr>
        <w:pBdr>
          <w:bottom w:val="single" w:color="BDB7A8" w:sz="4" w:space="12"/>
        </w:pBdr>
        <w:spacing w:after="300" w:before="0"/>
      </w:pPr>
      <w:hyperlink w:history="1" r:id="rIdp80vtqikeco2ytvb4oqnv">
        <w:r>
          <w:rPr>
            <w:rFonts w:ascii="Palatino Linotype" w:cs="Palatino Linotype" w:eastAsia="Palatino Linotype" w:hAnsi="Palatino Linotype"/>
            <w:color w:val="3B5A40"/>
            <w:sz w:val="19"/>
            <w:szCs w:val="19"/>
            <w:u w:val="single"/>
          </w:rPr>
          <w:t xml:space="preserve">github.com/zohaib-mzg/Frontier-AI-Observability</w:t>
        </w:r>
      </w:hyperlink>
    </w:p>
    <w:p>
      <w:pPr>
        <w:spacing w:after="150" w:before="0" w:line="338"/>
      </w:pPr>
      <w:r>
        <w:rPr>
          <w:rFonts w:ascii="Palatino Linotype" w:cs="Palatino Linotype" w:eastAsia="Palatino Linotype" w:hAnsi="Palatino Linotype"/>
          <w:color w:val="1D1B18"/>
          <w:sz w:val="21"/>
          <w:szCs w:val="21"/>
        </w:rPr>
        <w:t xml:space="preserve">This document describes the pipeline we built for the second stage of the project and shows how it meets each of the four technical requirements. The pipeline collects public files with GitHub Actions, lands them in a Databricks volume, loads them into four Bronze tables, and cleans them into eight typed Silver tables. Every step takes parameters, can be repeated without creating duplicates, and writes an entry to an audit table.</w:t>
      </w:r>
    </w:p>
    <w:p>
      <w:pPr>
        <w:spacing w:after="150" w:before="0" w:line="338"/>
      </w:pPr>
      <w:r>
        <w:rPr>
          <w:rFonts w:ascii="Palatino Linotype" w:cs="Palatino Linotype" w:eastAsia="Palatino Linotype" w:hAnsi="Palatino Linotype"/>
          <w:color w:val="1D1B18"/>
          <w:sz w:val="21"/>
          <w:szCs w:val="21"/>
        </w:rPr>
        <w:t xml:space="preserve">All code is in the repository and the notebooks have been run on the full historical load. Where something is designed but not yet shown on live data, the text says so.</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3300"/>
        <w:gridCol w:w="1700"/>
        <w:gridCol w:w="3640"/>
      </w:tblGrid>
      <w:tr>
        <w:trPr>
          <w:cantSplit/>
          <w:tblHeader/>
        </w:trPr>
        <w:tc>
          <w:tcPr>
            <w:tcW w:type="dxa" w:w="33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Requirement</w:t>
            </w:r>
          </w:p>
        </w:tc>
        <w:tc>
          <w:tcPr>
            <w:tcW w:type="dxa" w:w="17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Section</w:t>
            </w:r>
          </w:p>
        </w:tc>
        <w:tc>
          <w:tcPr>
            <w:tcW w:type="dxa" w:w="36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Where to look</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color w:val="1D1B18"/>
                <w:sz w:val="18"/>
                <w:szCs w:val="18"/>
              </w:rPr>
              <w:t xml:space="preserve">Infrastructure and environment setup</w:t>
            </w:r>
          </w:p>
        </w:tc>
        <w:tc>
          <w:tcPr>
            <w:tcW w:type="dxa" w:w="17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val="false"/>
                <w:bCs w:val="false"/>
                <w:color w:val="1D1B18"/>
                <w:sz w:val="18"/>
                <w:szCs w:val="18"/>
              </w:rPr>
              <w:t xml:space="preserve">1</w:t>
            </w:r>
          </w:p>
        </w:tc>
        <w:tc>
          <w:tcPr>
            <w:tcW w:type="dxa" w:w="3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notebooks/00_setup_databricks.ipynb</w:t>
            </w:r>
            <w:r>
              <w:rPr>
                <w:rFonts w:ascii="Palatino Linotype" w:cs="Palatino Linotype" w:eastAsia="Palatino Linotype" w:hAnsi="Palatino Linotype"/>
                <w:b w:val="false"/>
                <w:bCs w:val="false"/>
                <w:color w:val="1D1B18"/>
                <w:sz w:val="18"/>
                <w:szCs w:val="18"/>
              </w:rPr>
              <w:t xml:space="preserve"> and the Git history</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Data modeling and schema enforcement</w:t>
            </w:r>
          </w:p>
        </w:tc>
        <w:tc>
          <w:tcPr>
            <w:tcW w:type="dxa" w:w="17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2, appendices A to C</w:t>
            </w:r>
          </w:p>
        </w:tc>
        <w:tc>
          <w:tcPr>
            <w:tcW w:type="dxa" w:w="3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StructType contracts and column maps in both notebooks</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Idempotency, backfills and schema drift</w:t>
            </w:r>
          </w:p>
        </w:tc>
        <w:tc>
          <w:tcPr>
            <w:tcW w:type="dxa" w:w="17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3</w:t>
            </w:r>
          </w:p>
        </w:tc>
        <w:tc>
          <w:tcPr>
            <w:tcW w:type="dxa" w:w="3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Silver proof notebooks 02 to 06</w:t>
            </w:r>
          </w:p>
        </w:tc>
      </w:tr>
      <w:tr>
        <w:trPr>
          <w:cantSplit/>
        </w:trPr>
        <w:tc>
          <w:tcPr>
            <w:tcW w:type="dxa" w:w="33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Audit and execution logging</w:t>
            </w:r>
          </w:p>
        </w:tc>
        <w:tc>
          <w:tcPr>
            <w:tcW w:type="dxa" w:w="17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4</w:t>
            </w:r>
          </w:p>
        </w:tc>
        <w:tc>
          <w:tcPr>
            <w:tcW w:type="dxa" w:w="36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The </w:t>
            </w:r>
            <w:r>
              <w:rPr>
                <w:rFonts w:ascii="Consolas" w:cs="Consolas" w:eastAsia="Consolas" w:hAnsi="Consolas"/>
                <w:color w:val="1D1B18"/>
                <w:sz w:val="16"/>
                <w:szCs w:val="16"/>
              </w:rPr>
              <w:t xml:space="preserve">ops</w:t>
            </w:r>
            <w:r>
              <w:rPr>
                <w:rFonts w:ascii="Palatino Linotype" w:cs="Palatino Linotype" w:eastAsia="Palatino Linotype" w:hAnsi="Palatino Linotype"/>
                <w:b w:val="false"/>
                <w:bCs w:val="false"/>
                <w:color w:val="1D1B18"/>
                <w:sz w:val="18"/>
                <w:szCs w:val="18"/>
              </w:rPr>
              <w:t xml:space="preserve"> tables and the layer query in proof 05</w:t>
            </w:r>
          </w:p>
        </w:tc>
      </w:tr>
    </w:tbl>
    <w:p>
      <w:pPr>
        <w:spacing w:after="160" w:before="0"/>
      </w:pPr>
    </w:p>
    <w:p>
      <w:pPr>
        <w:pStyle w:val="Heading1"/>
      </w:pPr>
      <w:r>
        <w:rPr>
          <w:rFonts w:ascii="Palatino Linotype" w:cs="Palatino Linotype" w:eastAsia="Palatino Linotype" w:hAnsi="Palatino Linotype"/>
          <w:color w:val="3B5A40"/>
          <w:sz w:val="30"/>
          <w:szCs w:val="30"/>
        </w:rPr>
        <w:t xml:space="preserve">1</w:t>
      </w:r>
      <w:r>
        <w:rPr>
          <w:rFonts w:ascii="Palatino Linotype" w:cs="Palatino Linotype" w:eastAsia="Palatino Linotype" w:hAnsi="Palatino Linotype"/>
          <w:b/>
          <w:bCs/>
          <w:color w:val="1D1B18"/>
          <w:sz w:val="30"/>
          <w:szCs w:val="30"/>
        </w:rPr>
        <w:t xml:space="preserve">	Infrastructure and environment setup</w:t>
      </w:r>
    </w:p>
    <w:p>
      <w:pPr>
        <w:pStyle w:val="Heading2"/>
      </w:pPr>
      <w:r>
        <w:rPr>
          <w:rFonts w:ascii="Palatino Linotype" w:cs="Palatino Linotype" w:eastAsia="Palatino Linotype" w:hAnsi="Palatino Linotype"/>
          <w:b/>
          <w:bCs/>
          <w:smallCaps/>
          <w:color w:val="3B5A40"/>
          <w:spacing w:val="24"/>
          <w:sz w:val="19"/>
          <w:szCs w:val="19"/>
        </w:rPr>
        <w:t xml:space="preserve">Workspace</w:t>
      </w:r>
    </w:p>
    <w:p>
      <w:pPr>
        <w:spacing w:after="150" w:before="0" w:line="338"/>
      </w:pPr>
      <w:r>
        <w:rPr>
          <w:rFonts w:ascii="Palatino Linotype" w:cs="Palatino Linotype" w:eastAsia="Palatino Linotype" w:hAnsi="Palatino Linotype"/>
          <w:color w:val="1D1B18"/>
          <w:sz w:val="21"/>
          <w:szCs w:val="21"/>
        </w:rPr>
        <w:t xml:space="preserve">The project runs in Databricks Free Edition on serverless compute, in the default catalog </w:t>
      </w:r>
      <w:r>
        <w:rPr>
          <w:rFonts w:ascii="Consolas" w:cs="Consolas" w:eastAsia="Consolas" w:hAnsi="Consolas"/>
          <w:color w:val="1D1B18"/>
          <w:sz w:val="19"/>
          <w:szCs w:val="19"/>
        </w:rPr>
        <w:t xml:space="preserve">workspace</w:t>
      </w:r>
      <w:r>
        <w:rPr>
          <w:rFonts w:ascii="Palatino Linotype" w:cs="Palatino Linotype" w:eastAsia="Palatino Linotype" w:hAnsi="Palatino Linotype"/>
          <w:color w:val="1D1B18"/>
          <w:sz w:val="21"/>
          <w:szCs w:val="21"/>
        </w:rPr>
        <w:t xml:space="preserve">. A one-time notebook, </w:t>
      </w:r>
      <w:r>
        <w:rPr>
          <w:rFonts w:ascii="Consolas" w:cs="Consolas" w:eastAsia="Consolas" w:hAnsi="Consolas"/>
          <w:color w:val="1D1B18"/>
          <w:sz w:val="19"/>
          <w:szCs w:val="19"/>
        </w:rPr>
        <w:t xml:space="preserve">00_setup_databricks</w:t>
      </w:r>
      <w:r>
        <w:rPr>
          <w:rFonts w:ascii="Palatino Linotype" w:cs="Palatino Linotype" w:eastAsia="Palatino Linotype" w:hAnsi="Palatino Linotype"/>
          <w:color w:val="1D1B18"/>
          <w:sz w:val="21"/>
          <w:szCs w:val="21"/>
        </w:rPr>
        <w:t xml:space="preserve">, creates five schemas and the staging volume. Every statement uses IF NOT EXISTS, so running it again changes nothing.</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900"/>
        <w:gridCol w:w="6740"/>
      </w:tblGrid>
      <w:tr>
        <w:trPr>
          <w:cantSplit/>
          <w:tblHeader/>
        </w:trPr>
        <w:tc>
          <w:tcPr>
            <w:tcW w:type="dxa" w:w="19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Schema</w:t>
            </w:r>
          </w:p>
        </w:tc>
        <w:tc>
          <w:tcPr>
            <w:tcW w:type="dxa" w:w="67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Purpose</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landing</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The staging volume for original files and collector logs</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bronze</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Four raw tables, all source columns as text</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Eight typed, validated tables</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gold</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Created and empty, reserved for the next stage</w:t>
            </w:r>
          </w:p>
        </w:tc>
      </w:tr>
      <w:tr>
        <w:trPr>
          <w:cantSplit/>
        </w:trPr>
        <w:tc>
          <w:tcPr>
            <w:tcW w:type="dxa" w:w="19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ops</w:t>
            </w:r>
          </w:p>
        </w:tc>
        <w:tc>
          <w:tcPr>
            <w:tcW w:type="dxa" w:w="67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Execution, error, drift and quarantine logs</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The volume </w:t>
      </w:r>
      <w:r>
        <w:rPr>
          <w:rFonts w:ascii="Consolas" w:cs="Consolas" w:eastAsia="Consolas" w:hAnsi="Consolas"/>
          <w:color w:val="1D1B18"/>
          <w:sz w:val="19"/>
          <w:szCs w:val="19"/>
        </w:rPr>
        <w:t xml:space="preserve">landing.staging</w:t>
      </w:r>
      <w:r>
        <w:rPr>
          <w:rFonts w:ascii="Palatino Linotype" w:cs="Palatino Linotype" w:eastAsia="Palatino Linotype" w:hAnsi="Palatino Linotype"/>
          <w:color w:val="1D1B18"/>
          <w:sz w:val="21"/>
          <w:szCs w:val="21"/>
        </w:rPr>
        <w:t xml:space="preserve"> holds these folders under </w:t>
      </w:r>
      <w:r>
        <w:rPr>
          <w:rFonts w:ascii="Consolas" w:cs="Consolas" w:eastAsia="Consolas" w:hAnsi="Consolas"/>
          <w:color w:val="1D1B18"/>
          <w:sz w:val="19"/>
          <w:szCs w:val="19"/>
        </w:rPr>
        <w:t xml:space="preserve">frontier/</w:t>
      </w:r>
      <w:r>
        <w:rPr>
          <w:rFonts w:ascii="Palatino Linotype" w:cs="Palatino Linotype" w:eastAsia="Palatino Linotype" w:hAnsi="Palatino Linotype"/>
          <w:color w:val="1D1B18"/>
          <w:sz w:val="21"/>
          <w:szCs w:val="21"/>
        </w:rPr>
        <w:t xml:space="preserv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900"/>
        <w:gridCol w:w="6740"/>
      </w:tblGrid>
      <w:tr>
        <w:trPr>
          <w:cantSplit/>
          <w:tblHeader/>
        </w:trPr>
        <w:tc>
          <w:tcPr>
            <w:tcW w:type="dxa" w:w="19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Folder</w:t>
            </w:r>
          </w:p>
        </w:tc>
        <w:tc>
          <w:tcPr>
            <w:tcW w:type="dxa" w:w="67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Holds</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new</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Batches waiting to be loaded, with one manifest each in </w:t>
            </w:r>
            <w:r>
              <w:rPr>
                <w:rFonts w:ascii="Consolas" w:cs="Consolas" w:eastAsia="Consolas" w:hAnsi="Consolas"/>
                <w:color w:val="1D1B18"/>
                <w:sz w:val="16"/>
                <w:szCs w:val="16"/>
              </w:rPr>
              <w:t xml:space="preserve">new/_manifests</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processed</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Files already loaded. They stay so that Bronze can be replayed without a new download</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quarantine</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Files that failed their contract</w:t>
            </w:r>
          </w:p>
        </w:tc>
      </w:tr>
      <w:tr>
        <w:trPr>
          <w:cantSplit/>
        </w:trPr>
        <w:tc>
          <w:tcPr>
            <w:tcW w:type="dxa" w:w="1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_state</w:t>
            </w:r>
          </w:p>
        </w:tc>
        <w:tc>
          <w:tcPr>
            <w:tcW w:type="dxa" w:w="6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The collector's record of the files it has already seen</w:t>
            </w:r>
          </w:p>
        </w:tc>
      </w:tr>
      <w:tr>
        <w:trPr>
          <w:cantSplit/>
        </w:trPr>
        <w:tc>
          <w:tcPr>
            <w:tcW w:type="dxa" w:w="19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logs</w:t>
            </w:r>
          </w:p>
        </w:tc>
        <w:tc>
          <w:tcPr>
            <w:tcW w:type="dxa" w:w="67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Collector logs waiting to be read into the </w:t>
            </w:r>
            <w:r>
              <w:rPr>
                <w:rFonts w:ascii="Consolas" w:cs="Consolas" w:eastAsia="Consolas" w:hAnsi="Consolas"/>
                <w:color w:val="1D1B18"/>
                <w:sz w:val="16"/>
                <w:szCs w:val="16"/>
              </w:rPr>
              <w:t xml:space="preserve">ops</w:t>
            </w:r>
            <w:r>
              <w:rPr>
                <w:rFonts w:ascii="Palatino Linotype" w:cs="Palatino Linotype" w:eastAsia="Palatino Linotype" w:hAnsi="Palatino Linotype"/>
                <w:color w:val="1D1B18"/>
                <w:sz w:val="18"/>
                <w:szCs w:val="18"/>
              </w:rPr>
              <w:t xml:space="preserve"> tables</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Collection</w:t>
      </w:r>
    </w:p>
    <w:p>
      <w:pPr>
        <w:spacing w:after="150" w:before="0" w:line="338"/>
      </w:pPr>
      <w:r>
        <w:rPr>
          <w:rFonts w:ascii="Palatino Linotype" w:cs="Palatino Linotype" w:eastAsia="Palatino Linotype" w:hAnsi="Palatino Linotype"/>
          <w:color w:val="1D1B18"/>
          <w:sz w:val="21"/>
          <w:szCs w:val="21"/>
        </w:rPr>
        <w:t xml:space="preserve">Collection runs outside the workspace, on GitHub Actions, every Monday, Wednesday and Friday at 03:00 UTC. The collector, </w:t>
      </w:r>
      <w:r>
        <w:rPr>
          <w:rFonts w:ascii="Consolas" w:cs="Consolas" w:eastAsia="Consolas" w:hAnsi="Consolas"/>
          <w:color w:val="1D1B18"/>
          <w:sz w:val="19"/>
          <w:szCs w:val="19"/>
        </w:rPr>
        <w:t xml:space="preserve">ingestion/frontier_collect.py</w:t>
      </w:r>
      <w:r>
        <w:rPr>
          <w:rFonts w:ascii="Palatino Linotype" w:cs="Palatino Linotype" w:eastAsia="Palatino Linotype" w:hAnsi="Palatino Linotype"/>
          <w:color w:val="1D1B18"/>
          <w:sz w:val="21"/>
          <w:szCs w:val="21"/>
        </w:rPr>
        <w:t xml:space="preserve">, downloads the source files, records a SHA-256 for each, and uploads them to the volume with the Databricks CLI. A manifest listing every file and its checksum is uploaded last, so a half-finished batch has no manifest and is never loaded. A full batch must be at least 150 MB and an incremental batch at least 1 MB, and the notebook checks the same rule again on arrival. The Databricks token lives in GitHub Actions secrets and never in the repository.</w:t>
      </w:r>
    </w:p>
    <w:p>
      <w:pPr>
        <w:pStyle w:val="Heading2"/>
      </w:pPr>
      <w:r>
        <w:rPr>
          <w:rFonts w:ascii="Palatino Linotype" w:cs="Palatino Linotype" w:eastAsia="Palatino Linotype" w:hAnsi="Palatino Linotype"/>
          <w:b/>
          <w:bCs/>
          <w:smallCaps/>
          <w:color w:val="3B5A40"/>
          <w:spacing w:val="24"/>
          <w:sz w:val="19"/>
          <w:szCs w:val="19"/>
        </w:rPr>
        <w:t xml:space="preserve">Version control</w:t>
      </w:r>
    </w:p>
    <w:p>
      <w:pPr>
        <w:spacing w:after="150" w:before="0" w:line="338"/>
      </w:pPr>
      <w:r>
        <w:rPr>
          <w:rFonts w:ascii="Palatino Linotype" w:cs="Palatino Linotype" w:eastAsia="Palatino Linotype" w:hAnsi="Palatino Linotype"/>
          <w:color w:val="1D1B18"/>
          <w:sz w:val="21"/>
          <w:szCs w:val="21"/>
        </w:rPr>
        <w:t xml:space="preserve">The Bronze notebook was built in a Databricks Git folder and committed from there. The Silver notebook was developed on the branch </w:t>
      </w:r>
      <w:r>
        <w:rPr>
          <w:rFonts w:ascii="Consolas" w:cs="Consolas" w:eastAsia="Consolas" w:hAnsi="Consolas"/>
          <w:color w:val="1D1B18"/>
          <w:sz w:val="19"/>
          <w:szCs w:val="19"/>
        </w:rPr>
        <w:t xml:space="preserve">phase2/silver</w:t>
      </w:r>
      <w:r>
        <w:rPr>
          <w:rFonts w:ascii="Palatino Linotype" w:cs="Palatino Linotype" w:eastAsia="Palatino Linotype" w:hAnsi="Palatino Linotype"/>
          <w:color w:val="1D1B18"/>
          <w:sz w:val="21"/>
          <w:szCs w:val="21"/>
        </w:rPr>
        <w:t xml:space="preserve">, in a second Git folder and in a local clone, and merged into </w:t>
      </w:r>
      <w:r>
        <w:rPr>
          <w:rFonts w:ascii="Consolas" w:cs="Consolas" w:eastAsia="Consolas" w:hAnsi="Consolas"/>
          <w:color w:val="1D1B18"/>
          <w:sz w:val="19"/>
          <w:szCs w:val="19"/>
        </w:rPr>
        <w:t xml:space="preserve">main</w:t>
      </w:r>
      <w:r>
        <w:rPr>
          <w:rFonts w:ascii="Palatino Linotype" w:cs="Palatino Linotype" w:eastAsia="Palatino Linotype" w:hAnsi="Palatino Linotype"/>
          <w:color w:val="1D1B18"/>
          <w:sz w:val="21"/>
          <w:szCs w:val="21"/>
        </w:rPr>
        <w:t xml:space="preserve"> through a pull request. Executed notebooks are exported with their outputs into </w:t>
      </w:r>
      <w:r>
        <w:rPr>
          <w:rFonts w:ascii="Consolas" w:cs="Consolas" w:eastAsia="Consolas" w:hAnsi="Consolas"/>
          <w:color w:val="1D1B18"/>
          <w:sz w:val="19"/>
          <w:szCs w:val="19"/>
        </w:rPr>
        <w:t xml:space="preserve">proof/</w:t>
      </w:r>
      <w:r>
        <w:rPr>
          <w:rFonts w:ascii="Palatino Linotype" w:cs="Palatino Linotype" w:eastAsia="Palatino Linotype" w:hAnsi="Palatino Linotype"/>
          <w:color w:val="1D1B18"/>
          <w:sz w:val="21"/>
          <w:szCs w:val="21"/>
        </w:rPr>
        <w:t xml:space="preserv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500"/>
        <w:gridCol w:w="6140"/>
      </w:tblGrid>
      <w:tr>
        <w:trPr>
          <w:cantSplit/>
          <w:tblHeader/>
        </w:trPr>
        <w:tc>
          <w:tcPr>
            <w:tcW w:type="dxa" w:w="25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Path</w:t>
            </w:r>
          </w:p>
        </w:tc>
        <w:tc>
          <w:tcPr>
            <w:tcW w:type="dxa" w:w="6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Contents</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ingestion/</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The collector script</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.github/workflows/</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The schedule that runs the collector</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notebooks/</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00_setup_databricks.ipynb</w:t>
            </w:r>
            <w:r>
              <w:rPr>
                <w:rFonts w:ascii="Palatino Linotype" w:cs="Palatino Linotype" w:eastAsia="Palatino Linotype" w:hAnsi="Palatino Linotype"/>
                <w:color w:val="1D1B18"/>
                <w:sz w:val="18"/>
                <w:szCs w:val="18"/>
              </w:rPr>
              <w:t xml:space="preserve">, the one-time setup</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spark/bronze/</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frontier_bronze_load.ipynb</w:t>
            </w:r>
            <w:r>
              <w:rPr>
                <w:rFonts w:ascii="Palatino Linotype" w:cs="Palatino Linotype" w:eastAsia="Palatino Linotype" w:hAnsi="Palatino Linotype"/>
                <w:color w:val="1D1B18"/>
                <w:sz w:val="18"/>
                <w:szCs w:val="18"/>
              </w:rPr>
              <w:t xml:space="preserve">, raw files to Bronze</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spark/silver/</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frontier_silver_load.ipynb</w:t>
            </w:r>
            <w:r>
              <w:rPr>
                <w:rFonts w:ascii="Palatino Linotype" w:cs="Palatino Linotype" w:eastAsia="Palatino Linotype" w:hAnsi="Palatino Linotype"/>
                <w:color w:val="1D1B18"/>
                <w:sz w:val="18"/>
                <w:szCs w:val="18"/>
              </w:rPr>
              <w:t xml:space="preserve">, Bronze to Silver</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docs/</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Run guides for both layers</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proof/</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Executed notebooks with their saved outputs</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sample_data/</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Small samples with a manifest and source notices</w:t>
            </w:r>
          </w:p>
        </w:tc>
      </w:tr>
      <w:tr>
        <w:trPr>
          <w:cantSplit/>
        </w:trPr>
        <w:tc>
          <w:tcPr>
            <w:tcW w:type="dxa" w:w="2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proposals/</w:t>
            </w:r>
          </w:p>
        </w:tc>
        <w:tc>
          <w:tcPr>
            <w:tcW w:type="dxa" w:w="6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The proposal documents</w:t>
            </w:r>
          </w:p>
        </w:tc>
      </w:tr>
      <w:tr>
        <w:trPr>
          <w:cantSplit/>
        </w:trPr>
        <w:tc>
          <w:tcPr>
            <w:tcW w:type="dxa" w:w="25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README.md</w:t>
            </w:r>
          </w:p>
        </w:tc>
        <w:tc>
          <w:tcPr>
            <w:tcW w:type="dxa" w:w="6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Overview, data models and how to run</w:t>
            </w:r>
          </w:p>
        </w:tc>
      </w:tr>
    </w:tbl>
    <w:p>
      <w:pPr>
        <w:spacing w:after="160" w:before="0"/>
      </w:pPr>
    </w:p>
    <w:p>
      <w:pPr>
        <w:pStyle w:val="Heading1"/>
      </w:pPr>
      <w:r>
        <w:rPr>
          <w:rFonts w:ascii="Palatino Linotype" w:cs="Palatino Linotype" w:eastAsia="Palatino Linotype" w:hAnsi="Palatino Linotype"/>
          <w:color w:val="3B5A40"/>
          <w:sz w:val="30"/>
          <w:szCs w:val="30"/>
        </w:rPr>
        <w:t xml:space="preserve">2</w:t>
      </w:r>
      <w:r>
        <w:rPr>
          <w:rFonts w:ascii="Palatino Linotype" w:cs="Palatino Linotype" w:eastAsia="Palatino Linotype" w:hAnsi="Palatino Linotype"/>
          <w:b/>
          <w:bCs/>
          <w:color w:val="1D1B18"/>
          <w:sz w:val="30"/>
          <w:szCs w:val="30"/>
        </w:rPr>
        <w:t xml:space="preserve">	Data modeling and schema enforcement</w:t>
      </w:r>
    </w:p>
    <w:p>
      <w:pPr>
        <w:pStyle w:val="Heading2"/>
      </w:pPr>
      <w:r>
        <w:rPr>
          <w:rFonts w:ascii="Palatino Linotype" w:cs="Palatino Linotype" w:eastAsia="Palatino Linotype" w:hAnsi="Palatino Linotype"/>
          <w:b/>
          <w:bCs/>
          <w:smallCaps/>
          <w:color w:val="3B5A40"/>
          <w:spacing w:val="24"/>
          <w:sz w:val="19"/>
          <w:szCs w:val="19"/>
        </w:rPr>
        <w:t xml:space="preserve">Schema on read, with no inference</w:t>
      </w:r>
    </w:p>
    <w:p>
      <w:pPr>
        <w:spacing w:after="150" w:before="0" w:line="338"/>
      </w:pPr>
      <w:r>
        <w:rPr>
          <w:rFonts w:ascii="Palatino Linotype" w:cs="Palatino Linotype" w:eastAsia="Palatino Linotype" w:hAnsi="Palatino Linotype"/>
          <w:color w:val="1D1B18"/>
          <w:sz w:val="21"/>
          <w:szCs w:val="21"/>
        </w:rPr>
        <w:t xml:space="preserve">Neither </w:t>
      </w:r>
      <w:r>
        <w:rPr>
          <w:rFonts w:ascii="Consolas" w:cs="Consolas" w:eastAsia="Consolas" w:hAnsi="Consolas"/>
          <w:color w:val="1D1B18"/>
          <w:sz w:val="19"/>
          <w:szCs w:val="19"/>
        </w:rPr>
        <w:t xml:space="preserve">inferSchema</w:t>
      </w:r>
      <w:r>
        <w:rPr>
          <w:rFonts w:ascii="Palatino Linotype" w:cs="Palatino Linotype" w:eastAsia="Palatino Linotype" w:hAnsi="Palatino Linotype"/>
          <w:color w:val="1D1B18"/>
          <w:sz w:val="21"/>
          <w:szCs w:val="21"/>
        </w:rPr>
        <w:t xml:space="preserve"> nor </w:t>
      </w:r>
      <w:r>
        <w:rPr>
          <w:rFonts w:ascii="Consolas" w:cs="Consolas" w:eastAsia="Consolas" w:hAnsi="Consolas"/>
          <w:color w:val="1D1B18"/>
          <w:sz w:val="19"/>
          <w:szCs w:val="19"/>
        </w:rPr>
        <w:t xml:space="preserve">mergeSchema</w:t>
      </w:r>
      <w:r>
        <w:rPr>
          <w:rFonts w:ascii="Palatino Linotype" w:cs="Palatino Linotype" w:eastAsia="Palatino Linotype" w:hAnsi="Palatino Linotype"/>
          <w:color w:val="1D1B18"/>
          <w:sz w:val="21"/>
          <w:szCs w:val="21"/>
        </w:rPr>
        <w:t xml:space="preserve"> appears in either notebook. Each source is read against a schema that the code builds before the file is opened.</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000"/>
        <w:gridCol w:w="6640"/>
      </w:tblGrid>
      <w:tr>
        <w:trPr>
          <w:cantSplit/>
          <w:tblHeader/>
        </w:trPr>
        <w:tc>
          <w:tcPr>
            <w:tcW w:type="dxa" w:w="20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Source</w:t>
            </w:r>
          </w:p>
        </w:tc>
        <w:tc>
          <w:tcPr>
            <w:tcW w:type="dxa" w:w="66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How the schema is defined</w:t>
            </w:r>
          </w:p>
        </w:tc>
      </w:tr>
      <w:tr>
        <w:trPr>
          <w:cantSplit/>
        </w:trPr>
        <w:tc>
          <w:tcPr>
            <w:tcW w:type="dxa" w:w="2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color w:val="1D1B18"/>
                <w:sz w:val="18"/>
                <w:szCs w:val="18"/>
              </w:rPr>
              <w:t xml:space="preserve">Arena Parquet</w:t>
            </w:r>
          </w:p>
        </w:tc>
        <w:tc>
          <w:tcPr>
            <w:tcW w:type="dxa" w:w="6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val="false"/>
                <w:bCs w:val="false"/>
                <w:color w:val="1D1B18"/>
                <w:sz w:val="18"/>
                <w:szCs w:val="18"/>
              </w:rPr>
              <w:t xml:space="preserve">The footer of each file is read with PyArrow and converted into a StructType, which is passed to </w:t>
            </w:r>
            <w:r>
              <w:rPr>
                <w:rFonts w:ascii="Consolas" w:cs="Consolas" w:eastAsia="Consolas" w:hAnsi="Consolas"/>
                <w:color w:val="1D1B18"/>
                <w:sz w:val="16"/>
                <w:szCs w:val="16"/>
              </w:rPr>
              <w:t xml:space="preserve">spark.read.schema()</w:t>
            </w:r>
            <w:r>
              <w:rPr>
                <w:rFonts w:ascii="Palatino Linotype" w:cs="Palatino Linotype" w:eastAsia="Palatino Linotype" w:hAnsi="Palatino Linotype"/>
                <w:b w:val="false"/>
                <w:bCs w:val="false"/>
                <w:color w:val="1D1B18"/>
                <w:sz w:val="18"/>
                <w:szCs w:val="18"/>
              </w:rPr>
              <w:t xml:space="preserve">. Eleven contract columns (</w:t>
            </w:r>
            <w:r>
              <w:rPr>
                <w:rFonts w:ascii="Consolas" w:cs="Consolas" w:eastAsia="Consolas" w:hAnsi="Consolas"/>
                <w:color w:val="1D1B18"/>
                <w:sz w:val="16"/>
                <w:szCs w:val="16"/>
              </w:rPr>
              <w:t xml:space="preserve">ARENA_CONTRACT</w:t>
            </w:r>
            <w:r>
              <w:rPr>
                <w:rFonts w:ascii="Palatino Linotype" w:cs="Palatino Linotype" w:eastAsia="Palatino Linotype" w:hAnsi="Palatino Linotype"/>
                <w:b w:val="false"/>
                <w:bCs w:val="false"/>
                <w:color w:val="1D1B18"/>
                <w:sz w:val="18"/>
                <w:szCs w:val="18"/>
              </w:rPr>
              <w:t xml:space="preserve">) set the expected baseline. A column outside it is added as text and logged.</w:t>
            </w:r>
          </w:p>
        </w:tc>
      </w:tr>
      <w:tr>
        <w:trPr>
          <w:cantSplit/>
        </w:trPr>
        <w:tc>
          <w:tcPr>
            <w:tcW w:type="dxa" w:w="2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Epoch CSV</w:t>
            </w:r>
          </w:p>
        </w:tc>
        <w:tc>
          <w:tcPr>
            <w:tcW w:type="dxa" w:w="6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A StructType with one StringType field per header column, and </w:t>
            </w:r>
            <w:r>
              <w:rPr>
                <w:rFonts w:ascii="Consolas" w:cs="Consolas" w:eastAsia="Consolas" w:hAnsi="Consolas"/>
                <w:color w:val="1D1B18"/>
                <w:sz w:val="16"/>
                <w:szCs w:val="16"/>
              </w:rPr>
              <w:t xml:space="preserve">inferSchema</w:t>
            </w:r>
            <w:r>
              <w:rPr>
                <w:rFonts w:ascii="Palatino Linotype" w:cs="Palatino Linotype" w:eastAsia="Palatino Linotype" w:hAnsi="Palatino Linotype"/>
                <w:b w:val="false"/>
                <w:bCs w:val="false"/>
                <w:color w:val="1D1B18"/>
                <w:sz w:val="18"/>
                <w:szCs w:val="18"/>
              </w:rPr>
              <w:t xml:space="preserve"> set to false. Ten contract columns (</w:t>
            </w:r>
            <w:r>
              <w:rPr>
                <w:rFonts w:ascii="Consolas" w:cs="Consolas" w:eastAsia="Consolas" w:hAnsi="Consolas"/>
                <w:color w:val="1D1B18"/>
                <w:sz w:val="16"/>
                <w:szCs w:val="16"/>
              </w:rPr>
              <w:t xml:space="preserve">EPOCH_CONTRACT</w:t>
            </w:r>
            <w:r>
              <w:rPr>
                <w:rFonts w:ascii="Palatino Linotype" w:cs="Palatino Linotype" w:eastAsia="Palatino Linotype" w:hAnsi="Palatino Linotype"/>
                <w:b w:val="false"/>
                <w:bCs w:val="false"/>
                <w:color w:val="1D1B18"/>
                <w:sz w:val="18"/>
                <w:szCs w:val="18"/>
              </w:rPr>
              <w:t xml:space="preserve">) are checked, and a missing one is logged.</w:t>
            </w:r>
          </w:p>
        </w:tc>
      </w:tr>
      <w:tr>
        <w:trPr>
          <w:cantSplit/>
        </w:trPr>
        <w:tc>
          <w:tcPr>
            <w:tcW w:type="dxa" w:w="2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CooperBench archives</w:t>
            </w:r>
          </w:p>
        </w:tc>
        <w:tc>
          <w:tcPr>
            <w:tcW w:type="dxa" w:w="6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Members are streamed out of the tar file and turned into rows with </w:t>
            </w:r>
            <w:r>
              <w:rPr>
                <w:rFonts w:ascii="Consolas" w:cs="Consolas" w:eastAsia="Consolas" w:hAnsi="Consolas"/>
                <w:color w:val="1D1B18"/>
                <w:sz w:val="16"/>
                <w:szCs w:val="16"/>
              </w:rPr>
              <w:t xml:space="preserve">COOP_ROW_SCHEMA</w:t>
            </w:r>
            <w:r>
              <w:rPr>
                <w:rFonts w:ascii="Palatino Linotype" w:cs="Palatino Linotype" w:eastAsia="Palatino Linotype" w:hAnsi="Palatino Linotype"/>
                <w:b w:val="false"/>
                <w:bCs w:val="false"/>
                <w:color w:val="1D1B18"/>
                <w:sz w:val="18"/>
                <w:szCs w:val="18"/>
              </w:rPr>
              <w:t xml:space="preserve">, eight StringType fields.</w:t>
            </w:r>
          </w:p>
        </w:tc>
      </w:tr>
      <w:tr>
        <w:trPr>
          <w:cantSplit/>
        </w:trPr>
        <w:tc>
          <w:tcPr>
            <w:tcW w:type="dxa" w:w="2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BenchLM JSON</w:t>
            </w:r>
          </w:p>
        </w:tc>
        <w:tc>
          <w:tcPr>
            <w:tcW w:type="dxa" w:w="6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Records are parsed and written with </w:t>
            </w:r>
            <w:r>
              <w:rPr>
                <w:rFonts w:ascii="Consolas" w:cs="Consolas" w:eastAsia="Consolas" w:hAnsi="Consolas"/>
                <w:color w:val="1D1B18"/>
                <w:sz w:val="16"/>
                <w:szCs w:val="16"/>
              </w:rPr>
              <w:t xml:space="preserve">BLM_ROW_SCHEMA</w:t>
            </w:r>
            <w:r>
              <w:rPr>
                <w:rFonts w:ascii="Palatino Linotype" w:cs="Palatino Linotype" w:eastAsia="Palatino Linotype" w:hAnsi="Palatino Linotype"/>
                <w:b w:val="false"/>
                <w:bCs w:val="false"/>
                <w:color w:val="1D1B18"/>
                <w:sz w:val="18"/>
                <w:szCs w:val="18"/>
              </w:rPr>
              <w:t xml:space="preserve">, eight StringType fields, each record kept as canonical JSON.</w:t>
            </w:r>
          </w:p>
        </w:tc>
      </w:tr>
      <w:tr>
        <w:trPr>
          <w:cantSplit/>
        </w:trPr>
        <w:tc>
          <w:tcPr>
            <w:tcW w:type="dxa" w:w="20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Silver</w:t>
            </w:r>
          </w:p>
        </w:tc>
        <w:tc>
          <w:tcPr>
            <w:tcW w:type="dxa" w:w="66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Reads the Bronze Delta tables and applies column maps. For every Silver column the code states the Bronze column or JSON path and the target type (Cell 2 of the notebook).</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Bronze keeps text</w:t>
      </w:r>
    </w:p>
    <w:p>
      <w:pPr>
        <w:spacing w:after="150" w:before="0" w:line="338"/>
      </w:pPr>
      <w:r>
        <w:rPr>
          <w:rFonts w:ascii="Palatino Linotype" w:cs="Palatino Linotype" w:eastAsia="Palatino Linotype" w:hAnsi="Palatino Linotype"/>
          <w:color w:val="1D1B18"/>
          <w:sz w:val="21"/>
          <w:szCs w:val="21"/>
        </w:rPr>
        <w:t xml:space="preserve">Every source column in Bronze is a STRING. Only </w:t>
      </w:r>
      <w:r>
        <w:rPr>
          <w:rFonts w:ascii="Consolas" w:cs="Consolas" w:eastAsia="Consolas" w:hAnsi="Consolas"/>
          <w:color w:val="1D1B18"/>
          <w:sz w:val="19"/>
          <w:szCs w:val="19"/>
        </w:rPr>
        <w:t xml:space="preserve">collection_timestamp</w:t>
      </w:r>
      <w:r>
        <w:rPr>
          <w:rFonts w:ascii="Palatino Linotype" w:cs="Palatino Linotype" w:eastAsia="Palatino Linotype" w:hAnsi="Palatino Linotype"/>
          <w:color w:val="1D1B18"/>
          <w:sz w:val="21"/>
          <w:szCs w:val="21"/>
        </w:rPr>
        <w:t xml:space="preserve"> and </w:t>
      </w:r>
      <w:r>
        <w:rPr>
          <w:rFonts w:ascii="Consolas" w:cs="Consolas" w:eastAsia="Consolas" w:hAnsi="Consolas"/>
          <w:color w:val="1D1B18"/>
          <w:sz w:val="19"/>
          <w:szCs w:val="19"/>
        </w:rPr>
        <w:t xml:space="preserve">load_timestamp</w:t>
      </w:r>
      <w:r>
        <w:rPr>
          <w:rFonts w:ascii="Palatino Linotype" w:cs="Palatino Linotype" w:eastAsia="Palatino Linotype" w:hAnsi="Palatino Linotype"/>
          <w:color w:val="1D1B18"/>
          <w:sz w:val="21"/>
          <w:szCs w:val="21"/>
        </w:rPr>
        <w:t xml:space="preserve"> are timestamps. This is deliberate. When a source turns a number into text, or the reverse, Bronze still accepts the file, and the decision about what a value means is made in Silver, where it can be logged. Nested Parquet values are stored as JSON text, and each row keeps the whole source record in </w:t>
      </w:r>
      <w:r>
        <w:rPr>
          <w:rFonts w:ascii="Consolas" w:cs="Consolas" w:eastAsia="Consolas" w:hAnsi="Consolas"/>
          <w:color w:val="1D1B18"/>
          <w:sz w:val="19"/>
          <w:szCs w:val="19"/>
        </w:rPr>
        <w:t xml:space="preserve">raw_payload</w:t>
      </w:r>
      <w:r>
        <w:rPr>
          <w:rFonts w:ascii="Palatino Linotype" w:cs="Palatino Linotype" w:eastAsia="Palatino Linotype" w:hAnsi="Palatino Linotype"/>
          <w:color w:val="1D1B18"/>
          <w:sz w:val="21"/>
          <w:szCs w:val="21"/>
        </w:rPr>
        <w:t xml:space="preserve">.</w:t>
      </w:r>
    </w:p>
    <w:p>
      <w:pPr>
        <w:pStyle w:val="Heading2"/>
      </w:pPr>
      <w:r>
        <w:rPr>
          <w:rFonts w:ascii="Palatino Linotype" w:cs="Palatino Linotype" w:eastAsia="Palatino Linotype" w:hAnsi="Palatino Linotype"/>
          <w:b/>
          <w:bCs/>
          <w:smallCaps/>
          <w:color w:val="3B5A40"/>
          <w:spacing w:val="24"/>
          <w:sz w:val="19"/>
          <w:szCs w:val="19"/>
        </w:rPr>
        <w:t xml:space="preserve">Casting into Silver</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300"/>
        <w:gridCol w:w="4400"/>
        <w:gridCol w:w="2940"/>
      </w:tblGrid>
      <w:tr>
        <w:trPr>
          <w:cantSplit/>
          <w:tblHeader/>
        </w:trPr>
        <w:tc>
          <w:tcPr>
            <w:tcW w:type="dxa" w:w="13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44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Rule</w:t>
            </w:r>
          </w:p>
        </w:tc>
        <w:tc>
          <w:tcPr>
            <w:tcW w:type="dxa" w:w="29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Example</w:t>
            </w:r>
          </w:p>
        </w:tc>
      </w:tr>
      <w:tr>
        <w:trPr>
          <w:cantSplit/>
        </w:trPr>
        <w:tc>
          <w:tcPr>
            <w:tcW w:type="dxa" w:w="1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DOUBLE</w:t>
            </w:r>
          </w:p>
        </w:tc>
        <w:tc>
          <w:tcPr>
            <w:tcW w:type="dxa" w:w="44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try_cast</w:t>
            </w:r>
            <w:r>
              <w:rPr>
                <w:rFonts w:ascii="Palatino Linotype" w:cs="Palatino Linotype" w:eastAsia="Palatino Linotype" w:hAnsi="Palatino Linotype"/>
                <w:color w:val="1D1B18"/>
                <w:sz w:val="18"/>
                <w:szCs w:val="18"/>
              </w:rPr>
              <w:t xml:space="preserve">. NaN and infinity become null</w:t>
            </w:r>
          </w:p>
        </w:tc>
        <w:tc>
          <w:tcPr>
            <w:tcW w:type="dxa" w:w="29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3.55e+24</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1408.04</w:t>
            </w:r>
          </w:p>
        </w:tc>
      </w:tr>
      <w:tr>
        <w:trPr>
          <w:cantSplit/>
        </w:trPr>
        <w:tc>
          <w:tcPr>
            <w:tcW w:type="dxa" w:w="1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BIGINT</w:t>
            </w:r>
          </w:p>
        </w:tc>
        <w:tc>
          <w:tcPr>
            <w:tcW w:type="dxa" w:w="44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Accepted only when the value is a whole number</w:t>
            </w:r>
          </w:p>
        </w:tc>
        <w:tc>
          <w:tcPr>
            <w:tcW w:type="dxa" w:w="29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29.0</w:t>
            </w:r>
            <w:r>
              <w:rPr>
                <w:rFonts w:ascii="Palatino Linotype" w:cs="Palatino Linotype" w:eastAsia="Palatino Linotype" w:hAnsi="Palatino Linotype"/>
                <w:color w:val="1D1B18"/>
                <w:sz w:val="18"/>
                <w:szCs w:val="18"/>
              </w:rPr>
              <w:t xml:space="preserve"> becomes 29, </w:t>
            </w:r>
            <w:r>
              <w:rPr>
                <w:rFonts w:ascii="Consolas" w:cs="Consolas" w:eastAsia="Consolas" w:hAnsi="Consolas"/>
                <w:color w:val="1D1B18"/>
                <w:sz w:val="16"/>
                <w:szCs w:val="16"/>
              </w:rPr>
              <w:t xml:space="preserve">29.5</w:t>
            </w:r>
            <w:r>
              <w:rPr>
                <w:rFonts w:ascii="Palatino Linotype" w:cs="Palatino Linotype" w:eastAsia="Palatino Linotype" w:hAnsi="Palatino Linotype"/>
                <w:color w:val="1D1B18"/>
                <w:sz w:val="18"/>
                <w:szCs w:val="18"/>
              </w:rPr>
              <w:t xml:space="preserve"> fails</w:t>
            </w:r>
          </w:p>
        </w:tc>
      </w:tr>
      <w:tr>
        <w:trPr>
          <w:cantSplit/>
        </w:trPr>
        <w:tc>
          <w:tcPr>
            <w:tcW w:type="dxa" w:w="1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DATE</w:t>
            </w:r>
          </w:p>
        </w:tc>
        <w:tc>
          <w:tcPr>
            <w:tcW w:type="dxa" w:w="44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Year-month-day only</w:t>
            </w:r>
          </w:p>
        </w:tc>
        <w:tc>
          <w:tcPr>
            <w:tcW w:type="dxa" w:w="29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2026-10-01</w:t>
            </w:r>
          </w:p>
        </w:tc>
      </w:tr>
      <w:tr>
        <w:trPr>
          <w:cantSplit/>
        </w:trPr>
        <w:tc>
          <w:tcPr>
            <w:tcW w:type="dxa" w:w="1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TIMESTAMP</w:t>
            </w:r>
          </w:p>
        </w:tc>
        <w:tc>
          <w:tcPr>
            <w:tcW w:type="dxa" w:w="44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ISO text with or without an offset</w:t>
            </w:r>
          </w:p>
        </w:tc>
        <w:tc>
          <w:tcPr>
            <w:tcW w:type="dxa" w:w="29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2026-10-05 13:44:28+00:00</w:t>
            </w:r>
          </w:p>
        </w:tc>
      </w:tr>
      <w:tr>
        <w:trPr>
          <w:cantSplit/>
        </w:trPr>
        <w:tc>
          <w:tcPr>
            <w:tcW w:type="dxa" w:w="1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BOOLEAN</w:t>
            </w:r>
          </w:p>
        </w:tc>
        <w:tc>
          <w:tcPr>
            <w:tcW w:type="dxa" w:w="44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true, false, yes or no</w:t>
            </w:r>
          </w:p>
        </w:tc>
        <w:tc>
          <w:tcPr>
            <w:tcW w:type="dxa" w:w="29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Yes</w:t>
            </w:r>
            <w:r>
              <w:rPr>
                <w:rFonts w:ascii="Palatino Linotype" w:cs="Palatino Linotype" w:eastAsia="Palatino Linotype" w:hAnsi="Palatino Linotype"/>
                <w:color w:val="1D1B18"/>
                <w:sz w:val="18"/>
                <w:szCs w:val="18"/>
              </w:rPr>
              <w:t xml:space="preserve"> becomes true</w:t>
            </w:r>
          </w:p>
        </w:tc>
      </w:tr>
      <w:tr>
        <w:trPr>
          <w:cantSplit/>
        </w:trPr>
        <w:tc>
          <w:tcPr>
            <w:tcW w:type="dxa" w:w="13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STRING</w:t>
            </w:r>
          </w:p>
        </w:tc>
        <w:tc>
          <w:tcPr>
            <w:tcW w:type="dxa" w:w="44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Trimmed, repeated spaces collapsed. Empty text and the markers NaN, null, None, N/A, n/a and - become null</w:t>
            </w:r>
          </w:p>
        </w:tc>
        <w:tc>
          <w:tcPr>
            <w:tcW w:type="dxa" w:w="29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  n/a </w:t>
            </w:r>
            <w:r>
              <w:rPr>
                <w:rFonts w:ascii="Palatino Linotype" w:cs="Palatino Linotype" w:eastAsia="Palatino Linotype" w:hAnsi="Palatino Linotype"/>
                <w:color w:val="1D1B18"/>
                <w:sz w:val="18"/>
                <w:szCs w:val="18"/>
              </w:rPr>
              <w:t xml:space="preserve"> becomes null</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A failed cast never stops a batch. If the column is optional, the value becomes null and the failure is counted in the log. If it is a key or a required field, the record goes to quarantine (section 3.3).</w:t>
      </w:r>
    </w:p>
    <w:p>
      <w:pPr>
        <w:pStyle w:val="Heading2"/>
      </w:pPr>
      <w:r>
        <w:rPr>
          <w:rFonts w:ascii="Palatino Linotype" w:cs="Palatino Linotype" w:eastAsia="Palatino Linotype" w:hAnsi="Palatino Linotype"/>
          <w:b/>
          <w:bCs/>
          <w:smallCaps/>
          <w:color w:val="3B5A40"/>
          <w:spacing w:val="24"/>
          <w:sz w:val="19"/>
          <w:szCs w:val="19"/>
        </w:rPr>
        <w:t xml:space="preserve">load_timestamp on every table</w:t>
      </w:r>
    </w:p>
    <w:p>
      <w:pPr>
        <w:spacing w:after="150" w:before="0" w:line="338"/>
      </w:pPr>
      <w:r>
        <w:rPr>
          <w:rFonts w:ascii="Palatino Linotype" w:cs="Palatino Linotype" w:eastAsia="Palatino Linotype" w:hAnsi="Palatino Linotype"/>
          <w:color w:val="1D1B18"/>
          <w:sz w:val="21"/>
          <w:szCs w:val="21"/>
        </w:rPr>
        <w:t xml:space="preserve">All four Bronze tables, all eight Silver tables and all five </w:t>
      </w:r>
      <w:r>
        <w:rPr>
          <w:rFonts w:ascii="Consolas" w:cs="Consolas" w:eastAsia="Consolas" w:hAnsi="Consolas"/>
          <w:color w:val="1D1B18"/>
          <w:sz w:val="19"/>
          <w:szCs w:val="19"/>
        </w:rPr>
        <w:t xml:space="preserve">ops</w:t>
      </w:r>
      <w:r>
        <w:rPr>
          <w:rFonts w:ascii="Palatino Linotype" w:cs="Palatino Linotype" w:eastAsia="Palatino Linotype" w:hAnsi="Palatino Linotype"/>
          <w:color w:val="1D1B18"/>
          <w:sz w:val="21"/>
          <w:szCs w:val="21"/>
        </w:rPr>
        <w:t xml:space="preserve"> tables carry </w:t>
      </w:r>
      <w:r>
        <w:rPr>
          <w:rFonts w:ascii="Consolas" w:cs="Consolas" w:eastAsia="Consolas" w:hAnsi="Consolas"/>
          <w:color w:val="1D1B18"/>
          <w:sz w:val="19"/>
          <w:szCs w:val="19"/>
        </w:rPr>
        <w:t xml:space="preserve">load_timestamp</w:t>
      </w:r>
      <w:r>
        <w:rPr>
          <w:rFonts w:ascii="Palatino Linotype" w:cs="Palatino Linotype" w:eastAsia="Palatino Linotype" w:hAnsi="Palatino Linotype"/>
          <w:color w:val="1D1B18"/>
          <w:sz w:val="21"/>
          <w:szCs w:val="21"/>
        </w:rPr>
        <w:t xml:space="preserve">. In Bronze it is the moment the row was written. In Silver it is the moment the row was inserted or last updated, so an unchanged row keeps its old value. A second column, </w:t>
      </w:r>
      <w:r>
        <w:rPr>
          <w:rFonts w:ascii="Consolas" w:cs="Consolas" w:eastAsia="Consolas" w:hAnsi="Consolas"/>
          <w:color w:val="1D1B18"/>
          <w:sz w:val="19"/>
          <w:szCs w:val="19"/>
        </w:rPr>
        <w:t xml:space="preserve">collection_timestamp</w:t>
      </w:r>
      <w:r>
        <w:rPr>
          <w:rFonts w:ascii="Palatino Linotype" w:cs="Palatino Linotype" w:eastAsia="Palatino Linotype" w:hAnsi="Palatino Linotype"/>
          <w:color w:val="1D1B18"/>
          <w:sz w:val="21"/>
          <w:szCs w:val="21"/>
        </w:rPr>
        <w:t xml:space="preserve">, records when the collector fetched the source. It is the column that orders batches, because rebuilding Bronze changes </w:t>
      </w:r>
      <w:r>
        <w:rPr>
          <w:rFonts w:ascii="Consolas" w:cs="Consolas" w:eastAsia="Consolas" w:hAnsi="Consolas"/>
          <w:color w:val="1D1B18"/>
          <w:sz w:val="19"/>
          <w:szCs w:val="19"/>
        </w:rPr>
        <w:t xml:space="preserve">load_timestamp</w:t>
      </w:r>
      <w:r>
        <w:rPr>
          <w:rFonts w:ascii="Palatino Linotype" w:cs="Palatino Linotype" w:eastAsia="Palatino Linotype" w:hAnsi="Palatino Linotype"/>
          <w:color w:val="1D1B18"/>
          <w:sz w:val="21"/>
          <w:szCs w:val="21"/>
        </w:rPr>
        <w:t xml:space="preserve"> but not the collection time.</w:t>
      </w:r>
    </w:p>
    <w:p>
      <w:pPr>
        <w:pStyle w:val="Heading2"/>
      </w:pPr>
      <w:r>
        <w:rPr>
          <w:rFonts w:ascii="Palatino Linotype" w:cs="Palatino Linotype" w:eastAsia="Palatino Linotype" w:hAnsi="Palatino Linotype"/>
          <w:b/>
          <w:bCs/>
          <w:smallCaps/>
          <w:color w:val="3B5A40"/>
          <w:spacing w:val="24"/>
          <w:sz w:val="19"/>
          <w:szCs w:val="19"/>
        </w:rPr>
        <w:t xml:space="preserve">Primary keys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3300"/>
        <w:gridCol w:w="5340"/>
      </w:tblGrid>
      <w:tr>
        <w:trPr>
          <w:cantSplit/>
          <w:tblHeader/>
        </w:trPr>
        <w:tc>
          <w:tcPr>
            <w:tcW w:type="dxa" w:w="33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Table</w:t>
            </w:r>
          </w:p>
        </w:tc>
        <w:tc>
          <w:tcPr>
            <w:tcW w:type="dxa" w:w="53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Primary key</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The four Bronze tables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record_hash</w:t>
            </w:r>
            <w:r>
              <w:rPr>
                <w:rFonts w:ascii="Palatino Linotype" w:cs="Palatino Linotype" w:eastAsia="Palatino Linotype" w:hAnsi="Palatino Linotype"/>
                <w:color w:val="1D1B18"/>
                <w:sz w:val="18"/>
                <w:szCs w:val="18"/>
              </w:rPr>
              <w:t xml:space="preserve">, a SHA-256 built from the source row (see appendix A)</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silver.arena_leaderboard</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subset</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category</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model_name</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leaderboard_publish_date</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silver.epoch_models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model</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publication_date</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silver.benchlm_models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slug</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silver.benchlm_benchmarks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benchmark_key</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category</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silver.benchlm_pricing</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canonical_model_key</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silver.cooperbench_members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study_setting</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member_path</w:t>
            </w:r>
          </w:p>
        </w:tc>
      </w:tr>
      <w:tr>
        <w:trPr>
          <w:cantSplit/>
        </w:trPr>
        <w:tc>
          <w:tcPr>
            <w:tcW w:type="dxa" w:w="3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silver.cooperbench_evals</w:t>
            </w:r>
          </w:p>
        </w:tc>
        <w:tc>
          <w:tcPr>
            <w:tcW w:type="dxa" w:w="53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study_setting</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member_path</w:t>
            </w:r>
          </w:p>
        </w:tc>
      </w:tr>
      <w:tr>
        <w:trPr>
          <w:cantSplit/>
        </w:trPr>
        <w:tc>
          <w:tcPr>
            <w:tcW w:type="dxa" w:w="33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silver.cooperbench_runs</w:t>
            </w:r>
          </w:p>
        </w:tc>
        <w:tc>
          <w:tcPr>
            <w:tcW w:type="dxa" w:w="53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study_setting</w:t>
            </w:r>
            <w:r>
              <w:rPr>
                <w:rFonts w:ascii="Palatino Linotype" w:cs="Palatino Linotype" w:eastAsia="Palatino Linotype" w:hAnsi="Palatino Linotype"/>
                <w:color w:val="1D1B18"/>
                <w:sz w:val="18"/>
                <w:szCs w:val="18"/>
              </w:rPr>
              <w:t xml:space="preserve">, </w:t>
            </w:r>
            <w:r>
              <w:rPr>
                <w:rFonts w:ascii="Consolas" w:cs="Consolas" w:eastAsia="Consolas" w:hAnsi="Consolas"/>
                <w:color w:val="1D1B18"/>
                <w:sz w:val="16"/>
                <w:szCs w:val="16"/>
              </w:rPr>
              <w:t xml:space="preserve">member_path</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Delta does not enforce keys, so the pipeline does. Every write is a MERGE on the key, and after any load that changed rows, a key check counts duplicate and null keys in every table. A problem fails the run. Appendices A, B and C list every column, its type and its key.</w:t>
      </w:r>
    </w:p>
    <w:p>
      <w:pPr>
        <w:pStyle w:val="Heading1"/>
      </w:pPr>
      <w:r>
        <w:rPr>
          <w:rFonts w:ascii="Palatino Linotype" w:cs="Palatino Linotype" w:eastAsia="Palatino Linotype" w:hAnsi="Palatino Linotype"/>
          <w:color w:val="3B5A40"/>
          <w:sz w:val="30"/>
          <w:szCs w:val="30"/>
        </w:rPr>
        <w:t xml:space="preserve">3</w:t>
      </w:r>
      <w:r>
        <w:rPr>
          <w:rFonts w:ascii="Palatino Linotype" w:cs="Palatino Linotype" w:eastAsia="Palatino Linotype" w:hAnsi="Palatino Linotype"/>
          <w:b/>
          <w:bCs/>
          <w:color w:val="1D1B18"/>
          <w:sz w:val="30"/>
          <w:szCs w:val="30"/>
        </w:rPr>
        <w:t xml:space="preserve">	Pipeline robustness and idempotency</w:t>
      </w:r>
    </w:p>
    <w:p>
      <w:pPr>
        <w:pStyle w:val="Heading2"/>
      </w:pPr>
      <w:r>
        <w:rPr>
          <w:rFonts w:ascii="Palatino Linotype" w:cs="Palatino Linotype" w:eastAsia="Palatino Linotype" w:hAnsi="Palatino Linotype"/>
          <w:b/>
          <w:bCs/>
          <w:smallCaps/>
          <w:color w:val="3B5A40"/>
          <w:spacing w:val="24"/>
          <w:sz w:val="19"/>
          <w:szCs w:val="19"/>
        </w:rPr>
        <w:t xml:space="preserve">Idempotent execution</w:t>
      </w:r>
    </w:p>
    <w:p>
      <w:pPr>
        <w:spacing w:after="150" w:before="0" w:line="338"/>
      </w:pPr>
      <w:r>
        <w:rPr>
          <w:rFonts w:ascii="Palatino Linotype" w:cs="Palatino Linotype" w:eastAsia="Palatino Linotype" w:hAnsi="Palatino Linotype"/>
          <w:color w:val="1D1B18"/>
          <w:sz w:val="21"/>
          <w:szCs w:val="21"/>
        </w:rPr>
        <w:t xml:space="preserve">Bronze and Silver both write with MERGE INTO. Bronze inserts only: a row whose </w:t>
      </w:r>
      <w:r>
        <w:rPr>
          <w:rFonts w:ascii="Consolas" w:cs="Consolas" w:eastAsia="Consolas" w:hAnsi="Consolas"/>
          <w:color w:val="1D1B18"/>
          <w:sz w:val="19"/>
          <w:szCs w:val="19"/>
        </w:rPr>
        <w:t xml:space="preserve">record_hash</w:t>
      </w:r>
      <w:r>
        <w:rPr>
          <w:rFonts w:ascii="Palatino Linotype" w:cs="Palatino Linotype" w:eastAsia="Palatino Linotype" w:hAnsi="Palatino Linotype"/>
          <w:color w:val="1D1B18"/>
          <w:sz w:val="21"/>
          <w:szCs w:val="21"/>
        </w:rPr>
        <w:t xml:space="preserve"> already exists is left alone, and a file whose SHA-256 was already loaded successfully is skipped and logged as SKIPPED. Silver upserts.</w:t>
      </w:r>
    </w:p>
    <w:p>
      <w:pPr>
        <w:keepNext/>
        <w:keepLines/>
        <w:shd w:fill="F3F0E8" w:color="auto" w:val="clear"/>
        <w:spacing w:after="0" w:before="60" w:line="280"/>
        <w:ind w:left="140" w:right="140"/>
      </w:pPr>
      <w:r>
        <w:rPr>
          <w:rFonts w:ascii="Consolas" w:cs="Consolas" w:eastAsia="Consolas" w:hAnsi="Consolas"/>
          <w:color w:val="1D1B18"/>
          <w:sz w:val="17"/>
          <w:szCs w:val="17"/>
        </w:rPr>
        <w:t xml:space="preserve">MERGE INTO silver.&lt;table&gt; AS t USING &lt;validated batch&gt; AS s</w:t>
      </w:r>
    </w:p>
    <w:p>
      <w:pPr>
        <w:keepNext/>
        <w:keepLines/>
        <w:shd w:fill="F3F0E8" w:color="auto" w:val="clear"/>
        <w:spacing w:after="0" w:before="0" w:line="280"/>
        <w:ind w:left="140" w:right="140"/>
      </w:pPr>
      <w:r>
        <w:rPr>
          <w:rFonts w:ascii="Consolas" w:cs="Consolas" w:eastAsia="Consolas" w:hAnsi="Consolas"/>
          <w:color w:val="1D1B18"/>
          <w:sz w:val="17"/>
          <w:szCs w:val="17"/>
        </w:rPr>
        <w:t xml:space="preserve">  ON &lt;key columns equal&gt;</w:t>
      </w:r>
    </w:p>
    <w:p>
      <w:pPr>
        <w:keepNext/>
        <w:keepLines/>
        <w:shd w:fill="F3F0E8" w:color="auto" w:val="clear"/>
        <w:spacing w:after="0" w:before="0" w:line="280"/>
        <w:ind w:left="140" w:right="140"/>
      </w:pPr>
      <w:r>
        <w:rPr>
          <w:rFonts w:ascii="Consolas" w:cs="Consolas" w:eastAsia="Consolas" w:hAnsi="Consolas"/>
          <w:color w:val="1D1B18"/>
          <w:sz w:val="17"/>
          <w:szCs w:val="17"/>
        </w:rPr>
        <w:t xml:space="preserve">WHEN MATCHED AND s.collection_timestamp &gt;= t.collection_timestamp</w:t>
      </w:r>
    </w:p>
    <w:p>
      <w:pPr>
        <w:keepNext/>
        <w:keepLines/>
        <w:shd w:fill="F3F0E8" w:color="auto" w:val="clear"/>
        <w:spacing w:after="0" w:before="0" w:line="280"/>
        <w:ind w:left="140" w:right="140"/>
      </w:pPr>
      <w:r>
        <w:rPr>
          <w:rFonts w:ascii="Consolas" w:cs="Consolas" w:eastAsia="Consolas" w:hAnsi="Consolas"/>
          <w:color w:val="1D1B18"/>
          <w:sz w:val="17"/>
          <w:szCs w:val="17"/>
        </w:rPr>
        <w:t xml:space="preserve">         AND NOT (t.&lt;change column&gt; &lt;=&gt; s.&lt;change column&gt;)</w:t>
      </w:r>
    </w:p>
    <w:p>
      <w:pPr>
        <w:keepNext/>
        <w:keepLines/>
        <w:shd w:fill="F3F0E8" w:color="auto" w:val="clear"/>
        <w:spacing w:after="0" w:before="0" w:line="280"/>
        <w:ind w:left="140" w:right="140"/>
      </w:pPr>
      <w:r>
        <w:rPr>
          <w:rFonts w:ascii="Consolas" w:cs="Consolas" w:eastAsia="Consolas" w:hAnsi="Consolas"/>
          <w:color w:val="1D1B18"/>
          <w:sz w:val="17"/>
          <w:szCs w:val="17"/>
        </w:rPr>
        <w:t xml:space="preserve">  THEN UPDATE SET &lt;all non-key columns&gt;</w:t>
      </w:r>
    </w:p>
    <w:p>
      <w:pPr>
        <w:keepNext/>
        <w:keepLines/>
        <w:shd w:fill="F3F0E8" w:color="auto" w:val="clear"/>
        <w:spacing w:after="0" w:before="0" w:line="280"/>
        <w:ind w:left="140" w:right="140"/>
      </w:pPr>
      <w:r>
        <w:rPr>
          <w:rFonts w:ascii="Consolas" w:cs="Consolas" w:eastAsia="Consolas" w:hAnsi="Consolas"/>
          <w:color w:val="1D1B18"/>
          <w:sz w:val="17"/>
          <w:szCs w:val="17"/>
        </w:rPr>
        <w:t xml:space="preserve">WHEN NOT MATCHED</w:t>
      </w:r>
    </w:p>
    <w:p>
      <w:pPr>
        <w:keepNext w:val="false"/>
        <w:keepLines/>
        <w:shd w:fill="F3F0E8" w:color="auto" w:val="clear"/>
        <w:spacing w:after="180" w:before="0" w:line="280"/>
        <w:ind w:left="140" w:right="140"/>
      </w:pPr>
      <w:r>
        <w:rPr>
          <w:rFonts w:ascii="Consolas" w:cs="Consolas" w:eastAsia="Consolas" w:hAnsi="Consolas"/>
          <w:color w:val="1D1B18"/>
          <w:sz w:val="17"/>
          <w:szCs w:val="17"/>
        </w:rPr>
        <w:t xml:space="preserve">  THEN INSERT (&lt;all columns&gt;) VALUES (&lt;all columns&gt;)</w:t>
      </w:r>
    </w:p>
    <w:p>
      <w:pPr>
        <w:spacing w:after="150" w:before="0" w:line="338"/>
      </w:pPr>
      <w:r>
        <w:rPr>
          <w:rFonts w:ascii="Palatino Linotype" w:cs="Palatino Linotype" w:eastAsia="Palatino Linotype" w:hAnsi="Palatino Linotype"/>
          <w:color w:val="1D1B18"/>
          <w:sz w:val="21"/>
          <w:szCs w:val="21"/>
        </w:rPr>
        <w:t xml:space="preserve">The change column holds a hash of the content, so a row is updated only when its content changed, and only by a batch that is not older than the row it replaces. Loading the same batch twice therefore inserts nothing and updates nothing. Rows that share a key inside one batch are resolved before the MERGE, so one source row can never match a target row twice.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600"/>
        <w:gridCol w:w="3000"/>
        <w:gridCol w:w="5040"/>
      </w:tblGrid>
      <w:tr>
        <w:trPr>
          <w:cantSplit/>
          <w:tblHeader/>
        </w:trPr>
        <w:tc>
          <w:tcPr>
            <w:tcW w:type="dxa" w:w="6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Run</w:t>
            </w:r>
          </w:p>
        </w:tc>
        <w:tc>
          <w:tcPr>
            <w:tcW w:type="dxa" w:w="30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What was run</w:t>
            </w:r>
          </w:p>
        </w:tc>
        <w:tc>
          <w:tcPr>
            <w:tcW w:type="dxa" w:w="50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Result</w:t>
            </w:r>
          </w:p>
        </w:tc>
      </w:tr>
      <w:tr>
        <w:trPr>
          <w:cantSplit/>
        </w:trPr>
        <w:tc>
          <w:tcPr>
            <w:tcW w:type="dxa" w:w="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1</w:t>
            </w:r>
          </w:p>
        </w:tc>
        <w:tc>
          <w:tcPr>
            <w:tcW w:type="dxa" w:w="3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First Silver load</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Arena: 2,200,800 read, 2,199,910 inserted, 890 quarantined. Epoch: 3,626 read, 3,614 inserted, 12 quarantined. BenchLM: 889, 667 and 827 rows inserted. CooperBench: 17,327 member rows inserted.</w:t>
            </w:r>
          </w:p>
        </w:tc>
      </w:tr>
      <w:tr>
        <w:trPr>
          <w:cantSplit/>
        </w:trPr>
        <w:tc>
          <w:tcPr>
            <w:tcW w:type="dxa" w:w="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2</w:t>
            </w:r>
          </w:p>
        </w:tc>
        <w:tc>
          <w:tcPr>
            <w:tcW w:type="dxa" w:w="3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Arena rating rule corrected, then Arena run again with </w:t>
            </w:r>
            <w:r>
              <w:rPr>
                <w:rFonts w:ascii="Consolas" w:cs="Consolas" w:eastAsia="Consolas" w:hAnsi="Consolas"/>
                <w:color w:val="1D1B18"/>
                <w:sz w:val="16"/>
                <w:szCs w:val="16"/>
              </w:rPr>
              <w:t xml:space="preserve">force_reload</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666 inserted, 0 updated, 224 quarantined. Records that now load were released from quarantine.</w:t>
            </w:r>
          </w:p>
        </w:tc>
      </w:tr>
      <w:tr>
        <w:trPr>
          <w:cantSplit/>
        </w:trPr>
        <w:tc>
          <w:tcPr>
            <w:tcW w:type="dxa" w:w="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3</w:t>
            </w:r>
          </w:p>
        </w:tc>
        <w:tc>
          <w:tcPr>
            <w:tcW w:type="dxa" w:w="3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BenchLM run again</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0 inserted, 0 updated</w:t>
            </w:r>
          </w:p>
        </w:tc>
      </w:tr>
      <w:tr>
        <w:trPr>
          <w:cantSplit/>
        </w:trPr>
        <w:tc>
          <w:tcPr>
            <w:tcW w:type="dxa" w:w="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4</w:t>
            </w:r>
          </w:p>
        </w:tc>
        <w:tc>
          <w:tcPr>
            <w:tcW w:type="dxa" w:w="3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CooperBench run again</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0 inserted, 0 updated</w:t>
            </w:r>
          </w:p>
        </w:tc>
      </w:tr>
      <w:tr>
        <w:trPr>
          <w:cantSplit/>
        </w:trPr>
        <w:tc>
          <w:tcPr>
            <w:tcW w:type="dxa" w:w="6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5</w:t>
            </w:r>
          </w:p>
        </w:tc>
        <w:tc>
          <w:tcPr>
            <w:tcW w:type="dxa" w:w="30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All eight tables run again</w:t>
            </w:r>
          </w:p>
        </w:tc>
        <w:tc>
          <w:tcPr>
            <w:tcW w:type="dxa" w:w="50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0 inserted and 0 updated in every table, 0 duplicate keys, 0 null keys</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The update branch of the MERGE has not yet run on live data, because only one batch exists. It will be shown with the first scheduled incremental batch. The notebook already records </w:t>
      </w:r>
      <w:r>
        <w:rPr>
          <w:rFonts w:ascii="Consolas" w:cs="Consolas" w:eastAsia="Consolas" w:hAnsi="Consolas"/>
          <w:color w:val="1D1B18"/>
          <w:sz w:val="19"/>
          <w:szCs w:val="19"/>
        </w:rPr>
        <w:t xml:space="preserve">rows_updated</w:t>
      </w:r>
      <w:r>
        <w:rPr>
          <w:rFonts w:ascii="Palatino Linotype" w:cs="Palatino Linotype" w:eastAsia="Palatino Linotype" w:hAnsi="Palatino Linotype"/>
          <w:color w:val="1D1B18"/>
          <w:sz w:val="21"/>
          <w:szCs w:val="21"/>
        </w:rPr>
        <w:t xml:space="preserve"> for it.</w:t>
      </w:r>
    </w:p>
    <w:p>
      <w:pPr>
        <w:pStyle w:val="Heading2"/>
      </w:pPr>
      <w:r>
        <w:rPr>
          <w:rFonts w:ascii="Palatino Linotype" w:cs="Palatino Linotype" w:eastAsia="Palatino Linotype" w:hAnsi="Palatino Linotype"/>
          <w:b/>
          <w:bCs/>
          <w:smallCaps/>
          <w:color w:val="3B5A40"/>
          <w:spacing w:val="24"/>
          <w:sz w:val="19"/>
          <w:szCs w:val="19"/>
        </w:rPr>
        <w:t xml:space="preserve">Parameterised backfills</w:t>
      </w:r>
    </w:p>
    <w:p>
      <w:pPr>
        <w:spacing w:after="150" w:before="0" w:line="338"/>
      </w:pPr>
      <w:r>
        <w:rPr>
          <w:rFonts w:ascii="Palatino Linotype" w:cs="Palatino Linotype" w:eastAsia="Palatino Linotype" w:hAnsi="Palatino Linotype"/>
          <w:color w:val="1D1B18"/>
          <w:sz w:val="21"/>
          <w:szCs w:val="21"/>
        </w:rPr>
        <w:t xml:space="preserve">Neither notebook contains a path or a date for today. Input comes from manifests and Bronze batch ids, and both notebooks take the same widgets.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3100"/>
        <w:gridCol w:w="5540"/>
      </w:tblGrid>
      <w:tr>
        <w:trPr>
          <w:cantSplit/>
          <w:tblHeader/>
        </w:trPr>
        <w:tc>
          <w:tcPr>
            <w:tcW w:type="dxa" w:w="31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Widget</w:t>
            </w:r>
          </w:p>
        </w:tc>
        <w:tc>
          <w:tcPr>
            <w:tcW w:type="dxa" w:w="55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Meaning</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catalog, bronze_schema, silver_schema</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Where the tables live. Defaults: workspace, bronze, silver</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source</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arena, cooperbench, benchlm, epoch or all</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load_type</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Bronze only: full, incremental or all</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source_dir</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Bronze only: new, processed, or any /Volumes path</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batch_id</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One batch</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from_batch, to_batch</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 range of batch ids or id prefixes, both ends included</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start_date, end_date</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 range of collection days</w:t>
            </w:r>
          </w:p>
        </w:tc>
      </w:tr>
      <w:tr>
        <w:trPr>
          <w:cantSplit/>
        </w:trPr>
        <w:tc>
          <w:tcPr>
            <w:tcW w:type="dxa" w:w="31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force_reload</w:t>
            </w:r>
          </w:p>
        </w:tc>
        <w:tc>
          <w:tcPr>
            <w:tcW w:type="dxa" w:w="55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Process again what was already loaded. Safe because of the MERGE</w:t>
            </w:r>
          </w:p>
        </w:tc>
      </w:tr>
      <w:tr>
        <w:trPr>
          <w:cantSplit/>
        </w:trPr>
        <w:tc>
          <w:tcPr>
            <w:tcW w:type="dxa" w:w="31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replay</w:t>
            </w:r>
          </w:p>
        </w:tc>
        <w:tc>
          <w:tcPr>
            <w:tcW w:type="dxa" w:w="55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Every batch from the first, oldest first, one at a time</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Batches always run oldest first by collection time, so a historical range is rebuilt in the order it arrived. Invalid parameters, such as a start date after the end date, fail the run with a logged message before any data is touched.</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900"/>
        <w:gridCol w:w="5740"/>
      </w:tblGrid>
      <w:tr>
        <w:trPr>
          <w:cantSplit/>
          <w:tblHeader/>
        </w:trPr>
        <w:tc>
          <w:tcPr>
            <w:tcW w:type="dxa" w:w="29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Goal</w:t>
            </w:r>
          </w:p>
        </w:tc>
        <w:tc>
          <w:tcPr>
            <w:tcW w:type="dxa" w:w="57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Widgets</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color w:val="1D1B18"/>
                <w:sz w:val="18"/>
                <w:szCs w:val="18"/>
              </w:rPr>
              <w:t xml:space="preserve">Normal scheduled run</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val="false"/>
                <w:bCs w:val="false"/>
                <w:color w:val="1D1B18"/>
                <w:sz w:val="18"/>
                <w:szCs w:val="18"/>
              </w:rPr>
              <w:t xml:space="preserve">None. Only batches not yet logged as loaded are processed</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Load a period again</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from_batch</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to_batch</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force_reload=true</w:t>
            </w:r>
            <w:r>
              <w:rPr>
                <w:rFonts w:ascii="Palatino Linotype" w:cs="Palatino Linotype" w:eastAsia="Palatino Linotype" w:hAnsi="Palatino Linotype"/>
                <w:b w:val="false"/>
                <w:bCs w:val="false"/>
                <w:color w:val="1D1B18"/>
                <w:sz w:val="18"/>
                <w:szCs w:val="18"/>
              </w:rPr>
              <w:t xml:space="preserve">. For Bronze also </w:t>
            </w:r>
            <w:r>
              <w:rPr>
                <w:rFonts w:ascii="Consolas" w:cs="Consolas" w:eastAsia="Consolas" w:hAnsi="Consolas"/>
                <w:color w:val="1D1B18"/>
                <w:sz w:val="16"/>
                <w:szCs w:val="16"/>
              </w:rPr>
              <w:t xml:space="preserve">source_dir=processed</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Load one source again</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source=arena</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force_reload=true</w:t>
            </w:r>
          </w:p>
        </w:tc>
      </w:tr>
      <w:tr>
        <w:trPr>
          <w:cantSplit/>
        </w:trPr>
        <w:tc>
          <w:tcPr>
            <w:tcW w:type="dxa" w:w="29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Rebuild a layer</w:t>
            </w:r>
          </w:p>
        </w:tc>
        <w:tc>
          <w:tcPr>
            <w:tcW w:type="dxa" w:w="57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replay=true</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Silver proof 06 ran with </w:t>
      </w:r>
      <w:r>
        <w:rPr>
          <w:rFonts w:ascii="Consolas" w:cs="Consolas" w:eastAsia="Consolas" w:hAnsi="Consolas"/>
          <w:color w:val="1D1B18"/>
          <w:sz w:val="19"/>
          <w:szCs w:val="19"/>
        </w:rPr>
        <w:t xml:space="preserve">from_batch</w:t>
      </w:r>
      <w:r>
        <w:rPr>
          <w:rFonts w:ascii="Palatino Linotype" w:cs="Palatino Linotype" w:eastAsia="Palatino Linotype" w:hAnsi="Palatino Linotype"/>
          <w:color w:val="1D1B18"/>
          <w:sz w:val="21"/>
          <w:szCs w:val="21"/>
        </w:rPr>
        <w:t xml:space="preserve"> and </w:t>
      </w:r>
      <w:r>
        <w:rPr>
          <w:rFonts w:ascii="Consolas" w:cs="Consolas" w:eastAsia="Consolas" w:hAnsi="Consolas"/>
          <w:color w:val="1D1B18"/>
          <w:sz w:val="19"/>
          <w:szCs w:val="19"/>
        </w:rPr>
        <w:t xml:space="preserve">to_batch</w:t>
      </w:r>
      <w:r>
        <w:rPr>
          <w:rFonts w:ascii="Palatino Linotype" w:cs="Palatino Linotype" w:eastAsia="Palatino Linotype" w:hAnsi="Palatino Linotype"/>
          <w:color w:val="1D1B18"/>
          <w:sz w:val="21"/>
          <w:szCs w:val="21"/>
        </w:rPr>
        <w:t xml:space="preserve"> set and processed only the batches in that range.</w:t>
      </w:r>
    </w:p>
    <w:p>
      <w:pPr>
        <w:pStyle w:val="Heading2"/>
      </w:pPr>
      <w:r>
        <w:rPr>
          <w:rFonts w:ascii="Palatino Linotype" w:cs="Palatino Linotype" w:eastAsia="Palatino Linotype" w:hAnsi="Palatino Linotype"/>
          <w:b/>
          <w:bCs/>
          <w:smallCaps/>
          <w:color w:val="3B5A40"/>
          <w:spacing w:val="24"/>
          <w:sz w:val="19"/>
          <w:szCs w:val="19"/>
        </w:rPr>
        <w:t xml:space="preserve">Schema drift</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300"/>
        <w:gridCol w:w="3140"/>
        <w:gridCol w:w="3200"/>
      </w:tblGrid>
      <w:tr>
        <w:trPr>
          <w:cantSplit/>
          <w:tblHeader/>
        </w:trPr>
        <w:tc>
          <w:tcPr>
            <w:tcW w:type="dxa" w:w="23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Event</w:t>
            </w:r>
          </w:p>
        </w:tc>
        <w:tc>
          <w:tcPr>
            <w:tcW w:type="dxa" w:w="3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Bronze</w:t>
            </w:r>
          </w:p>
        </w:tc>
        <w:tc>
          <w:tcPr>
            <w:tcW w:type="dxa" w:w="32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Silver</w:t>
            </w:r>
          </w:p>
        </w:tc>
      </w:tr>
      <w:tr>
        <w:trPr>
          <w:cantSplit/>
        </w:trPr>
        <w:tc>
          <w:tcPr>
            <w:tcW w:type="dxa" w:w="2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color w:val="1D1B18"/>
                <w:sz w:val="18"/>
                <w:szCs w:val="18"/>
              </w:rPr>
              <w:t xml:space="preserve">A source adds a column</w:t>
            </w:r>
          </w:p>
        </w:tc>
        <w:tc>
          <w:tcPr>
            <w:tcW w:type="dxa" w:w="3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ALTER TABLE ADD COLUMNS</w:t>
            </w:r>
            <w:r>
              <w:rPr>
                <w:rFonts w:ascii="Palatino Linotype" w:cs="Palatino Linotype" w:eastAsia="Palatino Linotype" w:hAnsi="Palatino Linotype"/>
                <w:b w:val="false"/>
                <w:bCs w:val="false"/>
                <w:color w:val="1D1B18"/>
                <w:sz w:val="18"/>
                <w:szCs w:val="18"/>
              </w:rPr>
              <w:t xml:space="preserve"> as STRING, logged as NEW_COLUMN</w:t>
            </w:r>
          </w:p>
        </w:tc>
        <w:tc>
          <w:tcPr>
            <w:tcW w:type="dxa" w:w="3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val="false"/>
                <w:bCs w:val="false"/>
                <w:color w:val="1D1B18"/>
                <w:sz w:val="18"/>
                <w:szCs w:val="18"/>
              </w:rPr>
              <w:t xml:space="preserve">Not carried. Logged as NEW_COLUMN_NOT_PROMOTED until one line is added to the column map. Then the table is altered and the change logged</w:t>
            </w:r>
          </w:p>
        </w:tc>
      </w:tr>
      <w:tr>
        <w:trPr>
          <w:cantSplit/>
        </w:trPr>
        <w:tc>
          <w:tcPr>
            <w:tcW w:type="dxa" w:w="2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 source drops a column</w:t>
            </w:r>
          </w:p>
        </w:tc>
        <w:tc>
          <w:tcPr>
            <w:tcW w:type="dxa" w:w="3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The column is filled with null and logged as MISSING_COLUMN</w:t>
            </w:r>
          </w:p>
        </w:tc>
        <w:tc>
          <w:tcPr>
            <w:tcW w:type="dxa" w:w="3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The same, for the columns Silver reads</w:t>
            </w:r>
          </w:p>
        </w:tc>
      </w:tr>
      <w:tr>
        <w:trPr>
          <w:cantSplit/>
        </w:trPr>
        <w:tc>
          <w:tcPr>
            <w:tcW w:type="dxa" w:w="2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 type changes, such as an integer becoming text</w:t>
            </w:r>
          </w:p>
        </w:tc>
        <w:tc>
          <w:tcPr>
            <w:tcW w:type="dxa" w:w="3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Cannot fail, because everything is text</w:t>
            </w:r>
          </w:p>
        </w:tc>
        <w:tc>
          <w:tcPr>
            <w:tcW w:type="dxa" w:w="3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try_cast</w:t>
            </w:r>
            <w:r>
              <w:rPr>
                <w:rFonts w:ascii="Palatino Linotype" w:cs="Palatino Linotype" w:eastAsia="Palatino Linotype" w:hAnsi="Palatino Linotype"/>
                <w:b w:val="false"/>
                <w:bCs w:val="false"/>
                <w:color w:val="1D1B18"/>
                <w:sz w:val="18"/>
                <w:szCs w:val="18"/>
              </w:rPr>
              <w:t xml:space="preserve"> gives null and a CAST_FAILURE entry with the row count. A required field sends the record to quarantine</w:t>
            </w:r>
          </w:p>
        </w:tc>
      </w:tr>
      <w:tr>
        <w:trPr>
          <w:cantSplit/>
        </w:trPr>
        <w:tc>
          <w:tcPr>
            <w:tcW w:type="dxa" w:w="2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 value is nested</w:t>
            </w:r>
          </w:p>
        </w:tc>
        <w:tc>
          <w:tcPr>
            <w:tcW w:type="dxa" w:w="3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Stored as JSON text, logged as COMPLEX_TYPE</w:t>
            </w:r>
          </w:p>
        </w:tc>
        <w:tc>
          <w:tcPr>
            <w:tcW w:type="dxa" w:w="3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Kept as JSON text in a </w:t>
            </w:r>
            <w:r>
              <w:rPr>
                <w:rFonts w:ascii="Consolas" w:cs="Consolas" w:eastAsia="Consolas" w:hAnsi="Consolas"/>
                <w:color w:val="1D1B18"/>
                <w:sz w:val="16"/>
                <w:szCs w:val="16"/>
              </w:rPr>
              <w:t xml:space="preserve">*_json</w:t>
            </w:r>
            <w:r>
              <w:rPr>
                <w:rFonts w:ascii="Palatino Linotype" w:cs="Palatino Linotype" w:eastAsia="Palatino Linotype" w:hAnsi="Palatino Linotype"/>
                <w:b w:val="false"/>
                <w:bCs w:val="false"/>
                <w:color w:val="1D1B18"/>
                <w:sz w:val="18"/>
                <w:szCs w:val="18"/>
              </w:rPr>
              <w:t xml:space="preserve"> column</w:t>
            </w:r>
          </w:p>
        </w:tc>
      </w:tr>
      <w:tr>
        <w:trPr>
          <w:cantSplit/>
        </w:trPr>
        <w:tc>
          <w:tcPr>
            <w:tcW w:type="dxa" w:w="23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 file cannot be read, a core column is missing, or the CSV header repeats a name</w:t>
            </w:r>
          </w:p>
        </w:tc>
        <w:tc>
          <w:tcPr>
            <w:tcW w:type="dxa" w:w="3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The file moves to the quarantine folder and is logged in </w:t>
            </w:r>
            <w:r>
              <w:rPr>
                <w:rFonts w:ascii="Consolas" w:cs="Consolas" w:eastAsia="Consolas" w:hAnsi="Consolas"/>
                <w:color w:val="1D1B18"/>
                <w:sz w:val="16"/>
                <w:szCs w:val="16"/>
              </w:rPr>
              <w:t xml:space="preserve">ops.quarantine_log</w:t>
            </w:r>
            <w:r>
              <w:rPr>
                <w:rFonts w:ascii="Palatino Linotype" w:cs="Palatino Linotype" w:eastAsia="Palatino Linotype" w:hAnsi="Palatino Linotype"/>
                <w:b w:val="false"/>
                <w:bCs w:val="false"/>
                <w:color w:val="1D1B18"/>
                <w:sz w:val="18"/>
                <w:szCs w:val="18"/>
              </w:rPr>
              <w:t xml:space="preserve">. The batch continues</w:t>
            </w:r>
          </w:p>
        </w:tc>
        <w:tc>
          <w:tcPr>
            <w:tcW w:type="dxa" w:w="3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Not applicable</w:t>
            </w:r>
          </w:p>
        </w:tc>
      </w:tr>
      <w:tr>
        <w:trPr>
          <w:cantSplit/>
        </w:trPr>
        <w:tc>
          <w:tcPr>
            <w:tcW w:type="dxa" w:w="23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A record breaks a rule</w:t>
            </w:r>
          </w:p>
        </w:tc>
        <w:tc>
          <w:tcPr>
            <w:tcW w:type="dxa" w:w="3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Not applicable</w:t>
            </w:r>
          </w:p>
        </w:tc>
        <w:tc>
          <w:tcPr>
            <w:tcW w:type="dxa" w:w="32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b w:val="false"/>
                <w:bCs w:val="false"/>
                <w:color w:val="1D1B18"/>
                <w:sz w:val="18"/>
                <w:szCs w:val="18"/>
              </w:rPr>
              <w:t xml:space="preserve">The record goes to </w:t>
            </w:r>
            <w:r>
              <w:rPr>
                <w:rFonts w:ascii="Consolas" w:cs="Consolas" w:eastAsia="Consolas" w:hAnsi="Consolas"/>
                <w:color w:val="1D1B18"/>
                <w:sz w:val="16"/>
                <w:szCs w:val="16"/>
              </w:rPr>
              <w:t xml:space="preserve">ops.silver_quarantine_log</w:t>
            </w:r>
            <w:r>
              <w:rPr>
                <w:rFonts w:ascii="Palatino Linotype" w:cs="Palatino Linotype" w:eastAsia="Palatino Linotype" w:hAnsi="Palatino Linotype"/>
                <w:b w:val="false"/>
                <w:bCs w:val="false"/>
                <w:color w:val="1D1B18"/>
                <w:sz w:val="18"/>
                <w:szCs w:val="18"/>
              </w:rPr>
              <w:t xml:space="preserve"> and the rest of the batch loads</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We chose </w:t>
      </w:r>
      <w:r>
        <w:rPr>
          <w:rFonts w:ascii="Consolas" w:cs="Consolas" w:eastAsia="Consolas" w:hAnsi="Consolas"/>
          <w:color w:val="1D1B18"/>
          <w:sz w:val="19"/>
          <w:szCs w:val="19"/>
        </w:rPr>
        <w:t xml:space="preserve">ALTER TABLE ADD COLUMNS</w:t>
      </w:r>
      <w:r>
        <w:rPr>
          <w:rFonts w:ascii="Palatino Linotype" w:cs="Palatino Linotype" w:eastAsia="Palatino Linotype" w:hAnsi="Palatino Linotype"/>
          <w:color w:val="1D1B18"/>
          <w:sz w:val="21"/>
          <w:szCs w:val="21"/>
        </w:rPr>
        <w:t xml:space="preserve"> over the </w:t>
      </w:r>
      <w:r>
        <w:rPr>
          <w:rFonts w:ascii="Consolas" w:cs="Consolas" w:eastAsia="Consolas" w:hAnsi="Consolas"/>
          <w:color w:val="1D1B18"/>
          <w:sz w:val="19"/>
          <w:szCs w:val="19"/>
        </w:rPr>
        <w:t xml:space="preserve">mergeSchema</w:t>
      </w:r>
      <w:r>
        <w:rPr>
          <w:rFonts w:ascii="Palatino Linotype" w:cs="Palatino Linotype" w:eastAsia="Palatino Linotype" w:hAnsi="Palatino Linotype"/>
          <w:color w:val="1D1B18"/>
          <w:sz w:val="21"/>
          <w:szCs w:val="21"/>
        </w:rPr>
        <w:t xml:space="preserve"> option because it turns every schema change into an explicit, logged statement instead of a side effect of a write.</w:t>
      </w:r>
    </w:p>
    <w:p>
      <w:pPr>
        <w:pStyle w:val="Heading2"/>
      </w:pPr>
      <w:r>
        <w:rPr>
          <w:rFonts w:ascii="Palatino Linotype" w:cs="Palatino Linotype" w:eastAsia="Palatino Linotype" w:hAnsi="Palatino Linotype"/>
          <w:b/>
          <w:bCs/>
          <w:smallCaps/>
          <w:color w:val="3B5A40"/>
          <w:spacing w:val="24"/>
          <w:sz w:val="19"/>
          <w:szCs w:val="19"/>
        </w:rPr>
        <w:t xml:space="preserve">What the real data triggered</w:t>
      </w:r>
    </w:p>
    <w:p>
      <w:pPr>
        <w:spacing w:after="150" w:before="0" w:line="338"/>
      </w:pPr>
      <w:r>
        <w:rPr>
          <w:rFonts w:ascii="Palatino Linotype" w:cs="Palatino Linotype" w:eastAsia="Palatino Linotype" w:hAnsi="Palatino Linotype"/>
          <w:color w:val="1D1B18"/>
          <w:sz w:val="21"/>
          <w:szCs w:val="21"/>
        </w:rPr>
        <w:t xml:space="preserve">Arena's web development and agent subsets added seven columns after the baseline, among them </w:t>
      </w:r>
      <w:r>
        <w:rPr>
          <w:rFonts w:ascii="Consolas" w:cs="Consolas" w:eastAsia="Consolas" w:hAnsi="Consolas"/>
          <w:color w:val="1D1B18"/>
          <w:sz w:val="19"/>
          <w:szCs w:val="19"/>
        </w:rPr>
        <w:t xml:space="preserve">rating_lower</w:t>
      </w:r>
      <w:r>
        <w:rPr>
          <w:rFonts w:ascii="Palatino Linotype" w:cs="Palatino Linotype" w:eastAsia="Palatino Linotype" w:hAnsi="Palatino Linotype"/>
          <w:color w:val="1D1B18"/>
          <w:sz w:val="21"/>
          <w:szCs w:val="21"/>
        </w:rPr>
        <w:t xml:space="preserve"> and </w:t>
      </w:r>
      <w:r>
        <w:rPr>
          <w:rFonts w:ascii="Consolas" w:cs="Consolas" w:eastAsia="Consolas" w:hAnsi="Consolas"/>
          <w:color w:val="1D1B18"/>
          <w:sz w:val="19"/>
          <w:szCs w:val="19"/>
        </w:rPr>
        <w:t xml:space="preserve">score</w:t>
      </w:r>
      <w:r>
        <w:rPr>
          <w:rFonts w:ascii="Palatino Linotype" w:cs="Palatino Linotype" w:eastAsia="Palatino Linotype" w:hAnsi="Palatino Linotype"/>
          <w:color w:val="1D1B18"/>
          <w:sz w:val="21"/>
          <w:szCs w:val="21"/>
        </w:rPr>
        <w:t xml:space="preserve">. Epoch's CSV has 57 columns, 47 of them outside the ten-column contract. Silver set aside 224 Arena rows, 198 sharing a key with another entry and 26 without a rating, and 12 Epoch rows with no publication date. In 24 Epoch rows the training dataset size holds two numbers, for example </w:t>
      </w:r>
      <w:r>
        <w:rPr>
          <w:rFonts w:ascii="Consolas" w:cs="Consolas" w:eastAsia="Consolas" w:hAnsi="Consolas"/>
          <w:color w:val="1D1B18"/>
          <w:sz w:val="19"/>
          <w:szCs w:val="19"/>
        </w:rPr>
        <w:t xml:space="preserve">929000,929000</w:t>
      </w:r>
      <w:r>
        <w:rPr>
          <w:rFonts w:ascii="Palatino Linotype" w:cs="Palatino Linotype" w:eastAsia="Palatino Linotype" w:hAnsi="Palatino Linotype"/>
          <w:color w:val="1D1B18"/>
          <w:sz w:val="21"/>
          <w:szCs w:val="21"/>
        </w:rPr>
        <w:t xml:space="preserve">, and became null with a CAST_FAILURE entry.</w:t>
      </w:r>
    </w:p>
    <w:p>
      <w:pPr>
        <w:spacing w:after="150" w:before="0" w:line="338"/>
      </w:pPr>
      <w:r>
        <w:rPr>
          <w:rFonts w:ascii="Palatino Linotype" w:cs="Palatino Linotype" w:eastAsia="Palatino Linotype" w:hAnsi="Palatino Linotype"/>
          <w:color w:val="1D1B18"/>
          <w:sz w:val="21"/>
          <w:szCs w:val="21"/>
        </w:rPr>
        <w:t xml:space="preserve">The first version of the Arena rating rule rejected every score below zero. The agent subset publishes negative scores by design, so the rule now applies only outside that subset. The proof notebooks show the correction, and the 666 agent rows were loaded and released from quarantine.</w:t>
      </w:r>
    </w:p>
    <w:p>
      <w:pPr>
        <w:pStyle w:val="Heading1"/>
      </w:pPr>
      <w:r>
        <w:rPr>
          <w:rFonts w:ascii="Palatino Linotype" w:cs="Palatino Linotype" w:eastAsia="Palatino Linotype" w:hAnsi="Palatino Linotype"/>
          <w:color w:val="3B5A40"/>
          <w:sz w:val="30"/>
          <w:szCs w:val="30"/>
        </w:rPr>
        <w:t xml:space="preserve">4</w:t>
      </w:r>
      <w:r>
        <w:rPr>
          <w:rFonts w:ascii="Palatino Linotype" w:cs="Palatino Linotype" w:eastAsia="Palatino Linotype" w:hAnsi="Palatino Linotype"/>
          <w:b/>
          <w:bCs/>
          <w:color w:val="1D1B18"/>
          <w:sz w:val="30"/>
          <w:szCs w:val="30"/>
        </w:rPr>
        <w:t xml:space="preserve">	Audit and execution logging</w:t>
      </w:r>
    </w:p>
    <w:p>
      <w:pPr>
        <w:pStyle w:val="Heading2"/>
      </w:pPr>
      <w:r>
        <w:rPr>
          <w:rFonts w:ascii="Palatino Linotype" w:cs="Palatino Linotype" w:eastAsia="Palatino Linotype" w:hAnsi="Palatino Linotype"/>
          <w:b/>
          <w:bCs/>
          <w:smallCaps/>
          <w:color w:val="3B5A40"/>
          <w:spacing w:val="24"/>
          <w:sz w:val="19"/>
          <w:szCs w:val="19"/>
        </w:rPr>
        <w:t xml:space="preserve">Tables</w:t>
      </w:r>
    </w:p>
    <w:p>
      <w:pPr>
        <w:spacing w:after="150" w:before="0" w:line="338"/>
      </w:pPr>
      <w:r>
        <w:rPr>
          <w:rFonts w:ascii="Palatino Linotype" w:cs="Palatino Linotype" w:eastAsia="Palatino Linotype" w:hAnsi="Palatino Linotype"/>
          <w:color w:val="1D1B18"/>
          <w:sz w:val="21"/>
          <w:szCs w:val="21"/>
        </w:rPr>
        <w:t xml:space="preserve">Five operational tables in the </w:t>
      </w:r>
      <w:r>
        <w:rPr>
          <w:rFonts w:ascii="Consolas" w:cs="Consolas" w:eastAsia="Consolas" w:hAnsi="Consolas"/>
          <w:color w:val="1D1B18"/>
          <w:sz w:val="19"/>
          <w:szCs w:val="19"/>
        </w:rPr>
        <w:t xml:space="preserve">ops</w:t>
      </w:r>
      <w:r>
        <w:rPr>
          <w:rFonts w:ascii="Palatino Linotype" w:cs="Palatino Linotype" w:eastAsia="Palatino Linotype" w:hAnsi="Palatino Linotype"/>
          <w:color w:val="1D1B18"/>
          <w:sz w:val="21"/>
          <w:szCs w:val="21"/>
        </w:rPr>
        <w:t xml:space="preserve"> schema record what the pipeline does. Their columns are in appendix C.</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900"/>
        <w:gridCol w:w="5740"/>
      </w:tblGrid>
      <w:tr>
        <w:trPr>
          <w:cantSplit/>
          <w:tblHeader/>
        </w:trPr>
        <w:tc>
          <w:tcPr>
            <w:tcW w:type="dxa" w:w="29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Table</w:t>
            </w:r>
          </w:p>
        </w:tc>
        <w:tc>
          <w:tcPr>
            <w:tcW w:type="dxa" w:w="57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Records</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pipeline_execution_logs</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One row for every file, table, batch and run, with the required audit metrics</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error_logs</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Errors and warnings with exception type and stack trace. The collector's own errors arrive here as well</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quarantine_log</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Files set aside before Bronze</w:t>
            </w:r>
          </w:p>
        </w:tc>
      </w:tr>
      <w:tr>
        <w:trPr>
          <w:cantSplit/>
        </w:trPr>
        <w:tc>
          <w:tcPr>
            <w:tcW w:type="dxa" w:w="29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schema_drift_log</w:t>
            </w:r>
          </w:p>
        </w:tc>
        <w:tc>
          <w:tcPr>
            <w:tcW w:type="dxa" w:w="57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New, missing, nested and failing columns</w:t>
            </w:r>
          </w:p>
        </w:tc>
      </w:tr>
      <w:tr>
        <w:trPr>
          <w:cantSplit/>
        </w:trPr>
        <w:tc>
          <w:tcPr>
            <w:tcW w:type="dxa" w:w="29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silver_quarantine_log</w:t>
            </w:r>
          </w:p>
        </w:tc>
        <w:tc>
          <w:tcPr>
            <w:tcW w:type="dxa" w:w="57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Records set aside by Silver, with the original value and the reason</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Audit metrics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3000"/>
        <w:gridCol w:w="5640"/>
      </w:tblGrid>
      <w:tr>
        <w:trPr>
          <w:cantSplit/>
          <w:tblHeader/>
        </w:trPr>
        <w:tc>
          <w:tcPr>
            <w:tcW w:type="dxa" w:w="30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Required metric</w:t>
            </w:r>
          </w:p>
        </w:tc>
        <w:tc>
          <w:tcPr>
            <w:tcW w:type="dxa" w:w="56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 in pipeline_execution_logs</w:t>
            </w:r>
          </w:p>
        </w:tc>
      </w:tr>
      <w:tr>
        <w:trPr>
          <w:cantSplit/>
        </w:trPr>
        <w:tc>
          <w:tcPr>
            <w:tcW w:type="dxa" w:w="3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color w:val="1D1B18"/>
                <w:sz w:val="18"/>
                <w:szCs w:val="18"/>
              </w:rPr>
              <w:t xml:space="preserve">Layer</w:t>
            </w:r>
          </w:p>
        </w:tc>
        <w:tc>
          <w:tcPr>
            <w:tcW w:type="dxa" w:w="5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layer</w:t>
            </w:r>
          </w:p>
        </w:tc>
      </w:tr>
      <w:tr>
        <w:trPr>
          <w:cantSplit/>
        </w:trPr>
        <w:tc>
          <w:tcPr>
            <w:tcW w:type="dxa" w:w="3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Parameter or file processed</w:t>
            </w:r>
          </w:p>
        </w:tc>
        <w:tc>
          <w:tcPr>
            <w:tcW w:type="dxa" w:w="5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file_or_param</w:t>
            </w:r>
            <w:r>
              <w:rPr>
                <w:rFonts w:ascii="Palatino Linotype" w:cs="Palatino Linotype" w:eastAsia="Palatino Linotype" w:hAnsi="Palatino Linotype"/>
                <w:b w:val="false"/>
                <w:bCs w:val="false"/>
                <w:color w:val="1D1B18"/>
                <w:sz w:val="18"/>
                <w:szCs w:val="18"/>
              </w:rPr>
              <w:t xml:space="preserve">, and </w:t>
            </w:r>
            <w:r>
              <w:rPr>
                <w:rFonts w:ascii="Consolas" w:cs="Consolas" w:eastAsia="Consolas" w:hAnsi="Consolas"/>
                <w:color w:val="1D1B18"/>
                <w:sz w:val="16"/>
                <w:szCs w:val="16"/>
              </w:rPr>
              <w:t xml:space="preserve">parameters_json</w:t>
            </w:r>
            <w:r>
              <w:rPr>
                <w:rFonts w:ascii="Palatino Linotype" w:cs="Palatino Linotype" w:eastAsia="Palatino Linotype" w:hAnsi="Palatino Linotype"/>
                <w:b w:val="false"/>
                <w:bCs w:val="false"/>
                <w:color w:val="1D1B18"/>
                <w:sz w:val="18"/>
                <w:szCs w:val="18"/>
              </w:rPr>
              <w:t xml:space="preserve"> with every widget value of the run</w:t>
            </w:r>
          </w:p>
        </w:tc>
      </w:tr>
      <w:tr>
        <w:trPr>
          <w:cantSplit/>
        </w:trPr>
        <w:tc>
          <w:tcPr>
            <w:tcW w:type="dxa" w:w="3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Execution start and end</w:t>
            </w:r>
          </w:p>
        </w:tc>
        <w:tc>
          <w:tcPr>
            <w:tcW w:type="dxa" w:w="5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start_time</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end_time</w:t>
            </w:r>
            <w:r>
              <w:rPr>
                <w:rFonts w:ascii="Palatino Linotype" w:cs="Palatino Linotype" w:eastAsia="Palatino Linotype" w:hAnsi="Palatino Linotype"/>
                <w:b w:val="false"/>
                <w:bCs w:val="false"/>
                <w:color w:val="1D1B18"/>
                <w:sz w:val="18"/>
                <w:szCs w:val="18"/>
              </w:rPr>
              <w:t xml:space="preserve"> and </w:t>
            </w:r>
            <w:r>
              <w:rPr>
                <w:rFonts w:ascii="Consolas" w:cs="Consolas" w:eastAsia="Consolas" w:hAnsi="Consolas"/>
                <w:color w:val="1D1B18"/>
                <w:sz w:val="16"/>
                <w:szCs w:val="16"/>
              </w:rPr>
              <w:t xml:space="preserve">duration_seconds</w:t>
            </w:r>
          </w:p>
        </w:tc>
      </w:tr>
      <w:tr>
        <w:trPr>
          <w:cantSplit/>
        </w:trPr>
        <w:tc>
          <w:tcPr>
            <w:tcW w:type="dxa" w:w="30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Status</w:t>
            </w:r>
          </w:p>
        </w:tc>
        <w:tc>
          <w:tcPr>
            <w:tcW w:type="dxa" w:w="56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status</w:t>
            </w:r>
            <w:r>
              <w:rPr>
                <w:rFonts w:ascii="Palatino Linotype" w:cs="Palatino Linotype" w:eastAsia="Palatino Linotype" w:hAnsi="Palatino Linotype"/>
                <w:b w:val="false"/>
                <w:bCs w:val="false"/>
                <w:color w:val="1D1B18"/>
                <w:sz w:val="18"/>
                <w:szCs w:val="18"/>
              </w:rPr>
              <w:t xml:space="preserve">: SUCCESS, FAILURE, SKIPPED, QUARANTINED or REJECTED</w:t>
            </w:r>
          </w:p>
        </w:tc>
      </w:tr>
      <w:tr>
        <w:trPr>
          <w:cantSplit/>
        </w:trPr>
        <w:tc>
          <w:tcPr>
            <w:tcW w:type="dxa" w:w="30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b/>
                <w:bCs/>
                <w:color w:val="1D1B18"/>
                <w:sz w:val="18"/>
                <w:szCs w:val="18"/>
              </w:rPr>
              <w:t xml:space="preserve">Rows inserted and updated</w:t>
            </w:r>
          </w:p>
        </w:tc>
        <w:tc>
          <w:tcPr>
            <w:tcW w:type="dxa" w:w="56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rows_inserted</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rows_updated</w:t>
            </w:r>
            <w:r>
              <w:rPr>
                <w:rFonts w:ascii="Palatino Linotype" w:cs="Palatino Linotype" w:eastAsia="Palatino Linotype" w:hAnsi="Palatino Linotype"/>
                <w:b w:val="false"/>
                <w:bCs w:val="false"/>
                <w:color w:val="1D1B18"/>
                <w:sz w:val="18"/>
                <w:szCs w:val="18"/>
              </w:rPr>
              <w:t xml:space="preserve">, and also </w:t>
            </w:r>
            <w:r>
              <w:rPr>
                <w:rFonts w:ascii="Consolas" w:cs="Consolas" w:eastAsia="Consolas" w:hAnsi="Consolas"/>
                <w:color w:val="1D1B18"/>
                <w:sz w:val="16"/>
                <w:szCs w:val="16"/>
              </w:rPr>
              <w:t xml:space="preserve">rows_read</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rows_skipped_duplicate</w:t>
            </w:r>
            <w:r>
              <w:rPr>
                <w:rFonts w:ascii="Palatino Linotype" w:cs="Palatino Linotype" w:eastAsia="Palatino Linotype" w:hAnsi="Palatino Linotype"/>
                <w:b w:val="false"/>
                <w:bCs w:val="false"/>
                <w:color w:val="1D1B18"/>
                <w:sz w:val="18"/>
                <w:szCs w:val="18"/>
              </w:rPr>
              <w:t xml:space="preserve">, </w:t>
            </w:r>
            <w:r>
              <w:rPr>
                <w:rFonts w:ascii="Consolas" w:cs="Consolas" w:eastAsia="Consolas" w:hAnsi="Consolas"/>
                <w:color w:val="1D1B18"/>
                <w:sz w:val="16"/>
                <w:szCs w:val="16"/>
              </w:rPr>
              <w:t xml:space="preserve">rows_quarantined</w:t>
            </w:r>
            <w:r>
              <w:rPr>
                <w:rFonts w:ascii="Palatino Linotype" w:cs="Palatino Linotype" w:eastAsia="Palatino Linotype" w:hAnsi="Palatino Linotype"/>
                <w:b w:val="false"/>
                <w:bCs w:val="false"/>
                <w:color w:val="1D1B18"/>
                <w:sz w:val="18"/>
                <w:szCs w:val="18"/>
              </w:rPr>
              <w:t xml:space="preserve"> and </w:t>
            </w:r>
            <w:r>
              <w:rPr>
                <w:rFonts w:ascii="Consolas" w:cs="Consolas" w:eastAsia="Consolas" w:hAnsi="Consolas"/>
                <w:color w:val="1D1B18"/>
                <w:sz w:val="16"/>
                <w:szCs w:val="16"/>
              </w:rPr>
              <w:t xml:space="preserve">bytes_processed</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Coverage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3600"/>
        <w:gridCol w:w="5040"/>
      </w:tblGrid>
      <w:tr>
        <w:trPr>
          <w:cantSplit/>
          <w:tblHeader/>
        </w:trPr>
        <w:tc>
          <w:tcPr>
            <w:tcW w:type="dxa" w:w="36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Layer value</w:t>
            </w:r>
          </w:p>
        </w:tc>
        <w:tc>
          <w:tcPr>
            <w:tcW w:type="dxa" w:w="50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Written for</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Source-to-Landing</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Each collector run</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Raw-to-Bronze</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file, for full and incremental loads alike</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Raw-to-Bronze (batch) and (run)</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batch and each run</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Bronze data quality (primary key)</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Bronze table after a load that changed rows</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Bronze-to-Silver</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Bronze table and batch</w:t>
            </w:r>
          </w:p>
        </w:tc>
      </w:tr>
      <w:tr>
        <w:trPr>
          <w:cantSplit/>
        </w:trPr>
        <w:tc>
          <w:tcPr>
            <w:tcW w:type="dxa" w:w="36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Bronze-to-Silver (batch) and (run)</w:t>
            </w:r>
          </w:p>
        </w:tc>
        <w:tc>
          <w:tcPr>
            <w:tcW w:type="dxa" w:w="50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batch and each run</w:t>
            </w:r>
          </w:p>
        </w:tc>
      </w:tr>
      <w:tr>
        <w:trPr>
          <w:cantSplit/>
        </w:trPr>
        <w:tc>
          <w:tcPr>
            <w:tcW w:type="dxa" w:w="36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Silver data quality (primary key)</w:t>
            </w:r>
          </w:p>
        </w:tc>
        <w:tc>
          <w:tcPr>
            <w:tcW w:type="dxa" w:w="50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Each Silver table</w:t>
            </w:r>
          </w:p>
        </w:tc>
      </w:tr>
    </w:tbl>
    <w:p>
      <w:pPr>
        <w:spacing w:after="160" w:before="0"/>
      </w:pPr>
    </w:p>
    <w:p>
      <w:pPr>
        <w:spacing w:after="150" w:before="0" w:line="338"/>
      </w:pPr>
      <w:r>
        <w:rPr>
          <w:rFonts w:ascii="Palatino Linotype" w:cs="Palatino Linotype" w:eastAsia="Palatino Linotype" w:hAnsi="Palatino Linotype"/>
          <w:color w:val="1D1B18"/>
          <w:sz w:val="21"/>
          <w:szCs w:val="21"/>
        </w:rPr>
        <w:t xml:space="preserve">The </w:t>
      </w:r>
      <w:r>
        <w:rPr>
          <w:rFonts w:ascii="Consolas" w:cs="Consolas" w:eastAsia="Consolas" w:hAnsi="Consolas"/>
          <w:color w:val="1D1B18"/>
          <w:sz w:val="19"/>
          <w:szCs w:val="19"/>
        </w:rPr>
        <w:t xml:space="preserve">load_type</w:t>
      </w:r>
      <w:r>
        <w:rPr>
          <w:rFonts w:ascii="Palatino Linotype" w:cs="Palatino Linotype" w:eastAsia="Palatino Linotype" w:hAnsi="Palatino Linotype"/>
          <w:color w:val="1D1B18"/>
          <w:sz w:val="21"/>
          <w:szCs w:val="21"/>
        </w:rPr>
        <w:t xml:space="preserve"> column says whether a Bronze row belongs to a full or an incremental load. A failing file or table is logged with its stack trace and does not stop the others. The run row is then marked FAILURE and the notebook raises an error, so a scheduled job shows as failed, and the next run retries only what is still pending.</w:t>
      </w:r>
    </w:p>
    <w:p>
      <w:pPr>
        <w:keepNext/>
        <w:spacing w:after="100" w:before="0" w:line="338"/>
      </w:pPr>
      <w:r>
        <w:rPr>
          <w:rFonts w:ascii="Palatino Linotype" w:cs="Palatino Linotype" w:eastAsia="Palatino Linotype" w:hAnsi="Palatino Linotype"/>
          <w:color w:val="6F685C"/>
          <w:sz w:val="19"/>
          <w:szCs w:val="19"/>
        </w:rPr>
        <w:t xml:space="preserve">These entries come from </w:t>
      </w:r>
      <w:r>
        <w:rPr>
          <w:rFonts w:ascii="Consolas" w:cs="Consolas" w:eastAsia="Consolas" w:hAnsi="Consolas"/>
          <w:color w:val="6F685C"/>
          <w:sz w:val="17"/>
          <w:szCs w:val="17"/>
        </w:rPr>
        <w:t xml:space="preserve">ops.pipeline_execution_logs</w:t>
      </w:r>
      <w:r>
        <w:rPr>
          <w:rFonts w:ascii="Palatino Linotype" w:cs="Palatino Linotype" w:eastAsia="Palatino Linotype" w:hAnsi="Palatino Linotype"/>
          <w:color w:val="6F685C"/>
          <w:sz w:val="19"/>
          <w:szCs w:val="19"/>
        </w:rPr>
        <w:t xml:space="preserv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740"/>
        <w:gridCol w:w="900"/>
        <w:gridCol w:w="1000"/>
        <w:gridCol w:w="1000"/>
        <w:gridCol w:w="800"/>
        <w:gridCol w:w="1000"/>
        <w:gridCol w:w="1200"/>
      </w:tblGrid>
      <w:tr>
        <w:trPr>
          <w:cantSplit/>
          <w:tblHeader/>
        </w:trPr>
        <w:tc>
          <w:tcPr>
            <w:tcW w:type="dxa" w:w="274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Entry</w:t>
            </w:r>
          </w:p>
        </w:tc>
        <w:tc>
          <w:tcPr>
            <w:tcW w:type="dxa" w:w="9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Status</w:t>
            </w:r>
          </w:p>
        </w:tc>
        <w:tc>
          <w:tcPr>
            <w:tcW w:type="dxa" w:w="10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b/>
                <w:bCs/>
                <w:smallCaps/>
                <w:color w:val="6F685C"/>
                <w:spacing w:val="20"/>
                <w:sz w:val="15"/>
                <w:szCs w:val="15"/>
              </w:rPr>
              <w:t xml:space="preserve">Read</w:t>
            </w:r>
          </w:p>
        </w:tc>
        <w:tc>
          <w:tcPr>
            <w:tcW w:type="dxa" w:w="10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b/>
                <w:bCs/>
                <w:smallCaps/>
                <w:color w:val="6F685C"/>
                <w:spacing w:val="20"/>
                <w:sz w:val="15"/>
                <w:szCs w:val="15"/>
              </w:rPr>
              <w:t xml:space="preserve">Inserted</w:t>
            </w:r>
          </w:p>
        </w:tc>
        <w:tc>
          <w:tcPr>
            <w:tcW w:type="dxa" w:w="8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b/>
                <w:bCs/>
                <w:smallCaps/>
                <w:color w:val="6F685C"/>
                <w:spacing w:val="20"/>
                <w:sz w:val="15"/>
                <w:szCs w:val="15"/>
              </w:rPr>
              <w:t xml:space="preserve">Updated</w:t>
            </w:r>
          </w:p>
        </w:tc>
        <w:tc>
          <w:tcPr>
            <w:tcW w:type="dxa" w:w="10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b/>
                <w:bCs/>
                <w:smallCaps/>
                <w:color w:val="6F685C"/>
                <w:spacing w:val="20"/>
                <w:sz w:val="15"/>
                <w:szCs w:val="15"/>
              </w:rPr>
              <w:t xml:space="preserve">Skipped</w:t>
            </w:r>
          </w:p>
        </w:tc>
        <w:tc>
          <w:tcPr>
            <w:tcW w:type="dxa" w:w="120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b/>
                <w:bCs/>
                <w:smallCaps/>
                <w:color w:val="6F685C"/>
                <w:spacing w:val="20"/>
                <w:sz w:val="15"/>
                <w:szCs w:val="15"/>
              </w:rPr>
              <w:t xml:space="preserve">Quarantined</w:t>
            </w:r>
          </w:p>
        </w:tc>
      </w:tr>
      <w:tr>
        <w:trPr>
          <w:cantSplit/>
        </w:trPr>
        <w:tc>
          <w:tcPr>
            <w:tcW w:type="dxa" w:w="274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Bronze-to-Silver, Arena, first load</w:t>
            </w:r>
          </w:p>
        </w:tc>
        <w:tc>
          <w:tcPr>
            <w:tcW w:type="dxa" w:w="9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SUCCESS</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color w:val="1D1B18"/>
                <w:sz w:val="17"/>
                <w:szCs w:val="17"/>
              </w:rPr>
              <w:t xml:space="preserve">2,200,800</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color w:val="1D1B18"/>
                <w:sz w:val="17"/>
                <w:szCs w:val="17"/>
              </w:rPr>
              <w:t xml:space="preserve">2,199,910</w:t>
            </w:r>
          </w:p>
        </w:tc>
        <w:tc>
          <w:tcPr>
            <w:tcW w:type="dxa" w:w="8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color w:val="1D1B18"/>
                <w:sz w:val="17"/>
                <w:szCs w:val="17"/>
              </w:rPr>
              <w:t xml:space="preserve">0</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color w:val="1D1B18"/>
                <w:sz w:val="17"/>
                <w:szCs w:val="17"/>
              </w:rPr>
              <w:t xml:space="preserve">0</w:t>
            </w:r>
          </w:p>
        </w:tc>
        <w:tc>
          <w:tcPr>
            <w:tcW w:type="dxa" w:w="1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right"/>
            </w:pPr>
            <w:r>
              <w:rPr>
                <w:rFonts w:ascii="Palatino Linotype" w:cs="Palatino Linotype" w:eastAsia="Palatino Linotype" w:hAnsi="Palatino Linotype"/>
                <w:color w:val="1D1B18"/>
                <w:sz w:val="17"/>
                <w:szCs w:val="17"/>
              </w:rPr>
              <w:t xml:space="preserve">890</w:t>
            </w:r>
          </w:p>
        </w:tc>
      </w:tr>
      <w:tr>
        <w:trPr>
          <w:cantSplit/>
        </w:trPr>
        <w:tc>
          <w:tcPr>
            <w:tcW w:type="dxa" w:w="274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Bronze-to-Silver, Epoch, first load</w:t>
            </w:r>
          </w:p>
        </w:tc>
        <w:tc>
          <w:tcPr>
            <w:tcW w:type="dxa" w:w="9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3,626</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3,614</w:t>
            </w:r>
          </w:p>
        </w:tc>
        <w:tc>
          <w:tcPr>
            <w:tcW w:type="dxa" w:w="8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1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12</w:t>
            </w:r>
          </w:p>
        </w:tc>
      </w:tr>
      <w:tr>
        <w:trPr>
          <w:cantSplit/>
        </w:trPr>
        <w:tc>
          <w:tcPr>
            <w:tcW w:type="dxa" w:w="274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Bronze-to-Silver, CooperBench files</w:t>
            </w:r>
          </w:p>
        </w:tc>
        <w:tc>
          <w:tcPr>
            <w:tcW w:type="dxa" w:w="9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17,328</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17,327</w:t>
            </w:r>
          </w:p>
        </w:tc>
        <w:tc>
          <w:tcPr>
            <w:tcW w:type="dxa" w:w="8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10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120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1</w:t>
            </w:r>
          </w:p>
        </w:tc>
      </w:tr>
      <w:tr>
        <w:trPr>
          <w:cantSplit/>
        </w:trPr>
        <w:tc>
          <w:tcPr>
            <w:tcW w:type="dxa" w:w="274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Bronze-to-Silver, Arena, repeated</w:t>
            </w:r>
          </w:p>
        </w:tc>
        <w:tc>
          <w:tcPr>
            <w:tcW w:type="dxa" w:w="9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w:t>
            </w:r>
          </w:p>
        </w:tc>
        <w:tc>
          <w:tcPr>
            <w:tcW w:type="dxa" w:w="10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2,200,800</w:t>
            </w:r>
          </w:p>
        </w:tc>
        <w:tc>
          <w:tcPr>
            <w:tcW w:type="dxa" w:w="10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8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0</w:t>
            </w:r>
          </w:p>
        </w:tc>
        <w:tc>
          <w:tcPr>
            <w:tcW w:type="dxa" w:w="10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2,200,576</w:t>
            </w:r>
          </w:p>
        </w:tc>
        <w:tc>
          <w:tcPr>
            <w:tcW w:type="dxa" w:w="120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right"/>
            </w:pPr>
            <w:r>
              <w:rPr>
                <w:rFonts w:ascii="Palatino Linotype" w:cs="Palatino Linotype" w:eastAsia="Palatino Linotype" w:hAnsi="Palatino Linotype"/>
                <w:color w:val="1D1B18"/>
                <w:sz w:val="17"/>
                <w:szCs w:val="17"/>
              </w:rPr>
              <w:t xml:space="preserve">224</w:t>
            </w:r>
          </w:p>
        </w:tc>
      </w:tr>
    </w:tbl>
    <w:p>
      <w:pPr>
        <w:spacing w:after="160" w:before="0"/>
      </w:pPr>
    </w:p>
    <w:p>
      <w:pPr>
        <w:pStyle w:val="Heading1"/>
      </w:pPr>
      <w:r>
        <w:rPr>
          <w:rFonts w:ascii="Palatino Linotype" w:cs="Palatino Linotype" w:eastAsia="Palatino Linotype" w:hAnsi="Palatino Linotype"/>
          <w:color w:val="3B5A40"/>
          <w:sz w:val="30"/>
          <w:szCs w:val="30"/>
        </w:rPr>
        <w:t xml:space="preserve">5</w:t>
      </w:r>
      <w:r>
        <w:rPr>
          <w:rFonts w:ascii="Palatino Linotype" w:cs="Palatino Linotype" w:eastAsia="Palatino Linotype" w:hAnsi="Palatino Linotype"/>
          <w:b/>
          <w:bCs/>
          <w:color w:val="1D1B18"/>
          <w:sz w:val="30"/>
          <w:szCs w:val="30"/>
        </w:rPr>
        <w:t xml:space="preserve">	Evidence in the repository</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4500"/>
        <w:gridCol w:w="4140"/>
      </w:tblGrid>
      <w:tr>
        <w:trPr>
          <w:cantSplit/>
          <w:tblHeader/>
        </w:trPr>
        <w:tc>
          <w:tcPr>
            <w:tcW w:type="dxa" w:w="450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File in proof/</w:t>
            </w:r>
          </w:p>
        </w:tc>
        <w:tc>
          <w:tcPr>
            <w:tcW w:type="dxa" w:w="4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Shows</w:t>
            </w:r>
          </w:p>
        </w:tc>
      </w:tr>
      <w:tr>
        <w:trPr>
          <w:cantSplit/>
        </w:trPr>
        <w:tc>
          <w:tcPr>
            <w:tcW w:type="dxa" w:w="4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6"/>
                <w:szCs w:val="16"/>
              </w:rPr>
              <w:t xml:space="preserve">frontier_silver_proof_01_first_load.ipynb</w:t>
            </w:r>
          </w:p>
        </w:tc>
        <w:tc>
          <w:tcPr>
            <w:tcW w:type="dxa" w:w="4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8"/>
                <w:szCs w:val="18"/>
              </w:rPr>
              <w:t xml:space="preserve">Explicit schemas (</w:t>
            </w:r>
            <w:r>
              <w:rPr>
                <w:rFonts w:ascii="Consolas" w:cs="Consolas" w:eastAsia="Consolas" w:hAnsi="Consolas"/>
                <w:color w:val="1D1B18"/>
                <w:sz w:val="16"/>
                <w:szCs w:val="16"/>
              </w:rPr>
              <w:t xml:space="preserve">DESCRIBE TABLE</w:t>
            </w:r>
            <w:r>
              <w:rPr>
                <w:rFonts w:ascii="Palatino Linotype" w:cs="Palatino Linotype" w:eastAsia="Palatino Linotype" w:hAnsi="Palatino Linotype"/>
                <w:color w:val="1D1B18"/>
                <w:sz w:val="18"/>
                <w:szCs w:val="18"/>
              </w:rPr>
              <w:t xml:space="preserve">), the first Silver load, quarantine, drift events and log rows</w:t>
            </w:r>
          </w:p>
        </w:tc>
      </w:tr>
      <w:tr>
        <w:trPr>
          <w:cantSplit/>
        </w:trPr>
        <w:tc>
          <w:tcPr>
            <w:tcW w:type="dxa" w:w="4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frontier_silver_proof_02_arena_agent_rating_fix.ipynb</w:t>
            </w:r>
          </w:p>
        </w:tc>
        <w:tc>
          <w:tcPr>
            <w:tcW w:type="dxa" w:w="4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 corrected rule: 666 agent rows loaded and the old quarantine entries released</w:t>
            </w:r>
          </w:p>
        </w:tc>
      </w:tr>
      <w:tr>
        <w:trPr>
          <w:cantSplit/>
        </w:trPr>
        <w:tc>
          <w:tcPr>
            <w:tcW w:type="dxa" w:w="4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frontier_silver_proof_03_rerun_benchlm_idempotent.ipynb</w:t>
            </w:r>
          </w:p>
        </w:tc>
        <w:tc>
          <w:tcPr>
            <w:tcW w:type="dxa" w:w="4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Same input again, 0 inserted, 0 updated</w:t>
            </w:r>
          </w:p>
        </w:tc>
      </w:tr>
      <w:tr>
        <w:trPr>
          <w:cantSplit/>
        </w:trPr>
        <w:tc>
          <w:tcPr>
            <w:tcW w:type="dxa" w:w="4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frontier_silver_proof_04_rerun_cooperbench_idempotent.ipynb</w:t>
            </w:r>
          </w:p>
        </w:tc>
        <w:tc>
          <w:tcPr>
            <w:tcW w:type="dxa" w:w="4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Same input again, 0 inserted, 0 updated</w:t>
            </w:r>
          </w:p>
        </w:tc>
      </w:tr>
      <w:tr>
        <w:trPr>
          <w:cantSplit/>
        </w:trPr>
        <w:tc>
          <w:tcPr>
            <w:tcW w:type="dxa" w:w="450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frontier_silver_proof_05_rerun_all_idempotent.ipynb</w:t>
            </w:r>
          </w:p>
        </w:tc>
        <w:tc>
          <w:tcPr>
            <w:tcW w:type="dxa" w:w="4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All eight tables again, 0 changes, 0 duplicate keys, and the log layers</w:t>
            </w:r>
          </w:p>
        </w:tc>
      </w:tr>
      <w:tr>
        <w:trPr>
          <w:cantSplit/>
        </w:trPr>
        <w:tc>
          <w:tcPr>
            <w:tcW w:type="dxa" w:w="450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6"/>
                <w:szCs w:val="16"/>
              </w:rPr>
              <w:t xml:space="preserve">frontier_silver_proof_06_backfill_batch_range.ipynb</w:t>
            </w:r>
          </w:p>
        </w:tc>
        <w:tc>
          <w:tcPr>
            <w:tcW w:type="dxa" w:w="4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8"/>
                <w:szCs w:val="18"/>
              </w:rPr>
              <w:t xml:space="preserve">A run with </w:t>
            </w:r>
            <w:r>
              <w:rPr>
                <w:rFonts w:ascii="Consolas" w:cs="Consolas" w:eastAsia="Consolas" w:hAnsi="Consolas"/>
                <w:color w:val="1D1B18"/>
                <w:sz w:val="16"/>
                <w:szCs w:val="16"/>
              </w:rPr>
              <w:t xml:space="preserve">from_batch</w:t>
            </w:r>
            <w:r>
              <w:rPr>
                <w:rFonts w:ascii="Palatino Linotype" w:cs="Palatino Linotype" w:eastAsia="Palatino Linotype" w:hAnsi="Palatino Linotype"/>
                <w:color w:val="1D1B18"/>
                <w:sz w:val="18"/>
                <w:szCs w:val="18"/>
              </w:rPr>
              <w:t xml:space="preserve"> and </w:t>
            </w:r>
            <w:r>
              <w:rPr>
                <w:rFonts w:ascii="Consolas" w:cs="Consolas" w:eastAsia="Consolas" w:hAnsi="Consolas"/>
                <w:color w:val="1D1B18"/>
                <w:sz w:val="16"/>
                <w:szCs w:val="16"/>
              </w:rPr>
              <w:t xml:space="preserve">to_batch</w:t>
            </w:r>
          </w:p>
        </w:tc>
      </w:tr>
    </w:tbl>
    <w:p>
      <w:pPr>
        <w:spacing w:after="160" w:before="0"/>
      </w:pPr>
    </w:p>
    <w:p>
      <w:pPr>
        <w:pStyle w:val="Heading1"/>
      </w:pPr>
      <w:r>
        <w:rPr>
          <w:rFonts w:ascii="Palatino Linotype" w:cs="Palatino Linotype" w:eastAsia="Palatino Linotype" w:hAnsi="Palatino Linotype"/>
          <w:color w:val="3B5A40"/>
          <w:sz w:val="30"/>
          <w:szCs w:val="30"/>
        </w:rPr>
        <w:t xml:space="preserve">6</w:t>
      </w:r>
      <w:r>
        <w:rPr>
          <w:rFonts w:ascii="Palatino Linotype" w:cs="Palatino Linotype" w:eastAsia="Palatino Linotype" w:hAnsi="Palatino Linotype"/>
          <w:b/>
          <w:bCs/>
          <w:color w:val="1D1B18"/>
          <w:sz w:val="30"/>
          <w:szCs w:val="30"/>
        </w:rPr>
        <w:t xml:space="preserve">	Limits and next steps</w:t>
      </w:r>
    </w:p>
    <w:p>
      <w:pPr>
        <w:spacing w:after="150" w:before="0" w:line="338"/>
      </w:pPr>
      <w:r>
        <w:rPr>
          <w:rFonts w:ascii="Palatino Linotype" w:cs="Palatino Linotype" w:eastAsia="Palatino Linotype" w:hAnsi="Palatino Linotype"/>
          <w:color w:val="1D1B18"/>
          <w:sz w:val="21"/>
          <w:szCs w:val="21"/>
        </w:rPr>
        <w:t xml:space="preserve">Deletions are not applied. A record that disappears from a later snapshot stays in Silver, and the Bronze snapshots keep the evidence of the change.</w:t>
      </w:r>
    </w:p>
    <w:p>
      <w:pPr>
        <w:spacing w:after="150" w:before="0" w:line="338"/>
      </w:pPr>
      <w:r>
        <w:rPr>
          <w:rFonts w:ascii="Palatino Linotype" w:cs="Palatino Linotype" w:eastAsia="Palatino Linotype" w:hAnsi="Palatino Linotype"/>
          <w:color w:val="1D1B18"/>
          <w:sz w:val="21"/>
          <w:szCs w:val="21"/>
        </w:rPr>
        <w:t xml:space="preserve">The update branch of the MERGE awaits the first incremental batch, and its proof notebook will be added to </w:t>
      </w:r>
      <w:r>
        <w:rPr>
          <w:rFonts w:ascii="Consolas" w:cs="Consolas" w:eastAsia="Consolas" w:hAnsi="Consolas"/>
          <w:color w:val="1D1B18"/>
          <w:sz w:val="19"/>
          <w:szCs w:val="19"/>
        </w:rPr>
        <w:t xml:space="preserve">proof/</w:t>
      </w:r>
      <w:r>
        <w:rPr>
          <w:rFonts w:ascii="Palatino Linotype" w:cs="Palatino Linotype" w:eastAsia="Palatino Linotype" w:hAnsi="Palatino Linotype"/>
          <w:color w:val="1D1B18"/>
          <w:sz w:val="21"/>
          <w:szCs w:val="21"/>
        </w:rPr>
        <w:t xml:space="preserve"> then.</w:t>
      </w:r>
    </w:p>
    <w:p>
      <w:pPr>
        <w:spacing w:after="150" w:before="0" w:line="338"/>
      </w:pPr>
      <w:r>
        <w:rPr>
          <w:rFonts w:ascii="Palatino Linotype" w:cs="Palatino Linotype" w:eastAsia="Palatino Linotype" w:hAnsi="Palatino Linotype"/>
          <w:color w:val="1D1B18"/>
          <w:sz w:val="21"/>
          <w:szCs w:val="21"/>
        </w:rPr>
        <w:t xml:space="preserve">Silver keeps the author columns from Epoch and BenchLM. They hold public bibliographic names, and they will be dropped before Gold.</w:t>
      </w:r>
    </w:p>
    <w:p>
      <w:pPr>
        <w:spacing w:after="150" w:before="0" w:line="338"/>
      </w:pPr>
      <w:r>
        <w:rPr>
          <w:rFonts w:ascii="Palatino Linotype" w:cs="Palatino Linotype" w:eastAsia="Palatino Linotype" w:hAnsi="Palatino Linotype"/>
          <w:color w:val="1D1B18"/>
          <w:sz w:val="21"/>
          <w:szCs w:val="21"/>
        </w:rPr>
        <w:t xml:space="preserve">The </w:t>
      </w:r>
      <w:r>
        <w:rPr>
          <w:rFonts w:ascii="Consolas" w:cs="Consolas" w:eastAsia="Consolas" w:hAnsi="Consolas"/>
          <w:color w:val="1D1B18"/>
          <w:sz w:val="19"/>
          <w:szCs w:val="19"/>
        </w:rPr>
        <w:t xml:space="preserve">gold</w:t>
      </w:r>
      <w:r>
        <w:rPr>
          <w:rFonts w:ascii="Palatino Linotype" w:cs="Palatino Linotype" w:eastAsia="Palatino Linotype" w:hAnsi="Palatino Linotype"/>
          <w:color w:val="1D1B18"/>
          <w:sz w:val="21"/>
          <w:szCs w:val="21"/>
        </w:rPr>
        <w:t xml:space="preserve"> schema is empty. Gold and the dashboard are the next stage. Free Edition limits can interrupt a long run, and every load is safe to repeat.</w:t>
      </w:r>
    </w:p>
    <w:p>
      <w:pPr>
        <w:pStyle w:val="Heading1"/>
        <w:pageBreakBefore/>
      </w:pPr>
      <w:r>
        <w:rPr>
          <w:rFonts w:ascii="Palatino Linotype" w:cs="Palatino Linotype" w:eastAsia="Palatino Linotype" w:hAnsi="Palatino Linotype"/>
          <w:color w:val="3B5A40"/>
          <w:sz w:val="30"/>
          <w:szCs w:val="30"/>
        </w:rPr>
        <w:t xml:space="preserve">A</w:t>
      </w:r>
      <w:r>
        <w:rPr>
          <w:rFonts w:ascii="Palatino Linotype" w:cs="Palatino Linotype" w:eastAsia="Palatino Linotype" w:hAnsi="Palatino Linotype"/>
          <w:b/>
          <w:bCs/>
          <w:color w:val="1D1B18"/>
          <w:sz w:val="30"/>
          <w:szCs w:val="30"/>
        </w:rPr>
        <w:t xml:space="preserve">	Bronze data dictionary</w:t>
      </w:r>
    </w:p>
    <w:p>
      <w:pPr>
        <w:spacing w:after="150" w:before="0" w:line="338"/>
      </w:pPr>
      <w:r>
        <w:rPr>
          <w:rFonts w:ascii="Palatino Linotype" w:cs="Palatino Linotype" w:eastAsia="Palatino Linotype" w:hAnsi="Palatino Linotype"/>
          <w:color w:val="1D1B18"/>
          <w:sz w:val="21"/>
          <w:szCs w:val="21"/>
        </w:rPr>
        <w:t xml:space="preserve">All source columns are STRING. Only the two timestamp columns are TIMESTAMP. The primary key of every Bronze table is </w:t>
      </w:r>
      <w:r>
        <w:rPr>
          <w:rFonts w:ascii="Consolas" w:cs="Consolas" w:eastAsia="Consolas" w:hAnsi="Consolas"/>
          <w:color w:val="1D1B18"/>
          <w:sz w:val="19"/>
          <w:szCs w:val="19"/>
        </w:rPr>
        <w:t xml:space="preserve">record_hash</w:t>
      </w:r>
      <w:r>
        <w:rPr>
          <w:rFonts w:ascii="Palatino Linotype" w:cs="Palatino Linotype" w:eastAsia="Palatino Linotype" w:hAnsi="Palatino Linotype"/>
          <w:color w:val="1D1B18"/>
          <w:sz w:val="21"/>
          <w:szCs w:val="21"/>
        </w:rPr>
        <w:t xml:space="preserve">.</w:t>
      </w:r>
    </w:p>
    <w:p>
      <w:pPr>
        <w:pStyle w:val="Heading2"/>
      </w:pPr>
      <w:r>
        <w:rPr>
          <w:rFonts w:ascii="Palatino Linotype" w:cs="Palatino Linotype" w:eastAsia="Palatino Linotype" w:hAnsi="Palatino Linotype"/>
          <w:b/>
          <w:bCs/>
          <w:smallCaps/>
          <w:color w:val="3B5A40"/>
          <w:spacing w:val="24"/>
          <w:sz w:val="19"/>
          <w:szCs w:val="19"/>
        </w:rPr>
        <w:t xml:space="preserve">bronze.arena_leaderboard_raw</w:t>
      </w:r>
    </w:p>
    <w:p>
      <w:pPr>
        <w:keepNext/>
        <w:spacing w:after="120" w:before="0" w:line="338"/>
      </w:pPr>
      <w:r>
        <w:rPr>
          <w:rFonts w:ascii="Palatino Linotype" w:cs="Palatino Linotype" w:eastAsia="Palatino Linotype" w:hAnsi="Palatino Linotype"/>
          <w:color w:val="6F685C"/>
          <w:sz w:val="19"/>
          <w:szCs w:val="19"/>
        </w:rPr>
        <w:t xml:space="preserve">Primary key: record_hash. One row of an Arena Parquet file.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subset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Dataset name from the manifest: text, text_style_control, webdev or agent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full or incremental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organization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license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 stored as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variance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rating_q975</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rating_q025</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vote_count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rank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category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leaderboard_publish_date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Contract 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rating_lower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when the web development subset arrived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rating_upper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when the agent subset arrived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score_ci_lower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score_ci_upper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observation_count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session_count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Added automatically (NEW_COLUMN)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raw_payload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whole source row as JSON, keys sorted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Primary key. SHA-256 of subset and raw_payload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Parquet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 that carried the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collector fetched the source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row was written to Bronze</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bronze.cooperbench_member_raw</w:t>
      </w:r>
    </w:p>
    <w:p>
      <w:pPr>
        <w:keepNext/>
        <w:spacing w:after="120" w:before="0" w:line="338"/>
      </w:pPr>
      <w:r>
        <w:rPr>
          <w:rFonts w:ascii="Palatino Linotype" w:cs="Palatino Linotype" w:eastAsia="Palatino Linotype" w:hAnsi="Palatino Linotype"/>
          <w:color w:val="6F685C"/>
          <w:sz w:val="19"/>
          <w:szCs w:val="19"/>
        </w:rPr>
        <w:t xml:space="preserve">Primary key: record_hash. One JSON or JSONL file from a CooperBench archive.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study_setting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solo, coopgit, team or team_noproto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archive_file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Name of the compressed archive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member_path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file inside the archive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member_extension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.json or .jsonl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member_size_bytes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Size of the member, as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raw_content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file content, unchanged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Primary key. SHA-256 of setting, member path and content hash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archive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collector fetched the source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row was written to Bronze</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bronze.benchlm_raw</w:t>
      </w:r>
    </w:p>
    <w:p>
      <w:pPr>
        <w:keepNext/>
        <w:spacing w:after="120" w:before="0" w:line="338"/>
      </w:pPr>
      <w:r>
        <w:rPr>
          <w:rFonts w:ascii="Palatino Linotype" w:cs="Palatino Linotype" w:eastAsia="Palatino Linotype" w:hAnsi="Palatino Linotype"/>
          <w:color w:val="6F685C"/>
          <w:sz w:val="19"/>
          <w:szCs w:val="19"/>
        </w:rPr>
        <w:t xml:space="preserve">Primary key: record_hash. One record of a BenchLM export.</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dataset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models, benchmarks or pricing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record_path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Where the records sit inside the JSON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Key of the record when the file is a map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record_index</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Position of the record in the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raw_payload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record as canonical JSON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raw_payload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Primary key. SHA-256 of snapshot, dataset and record position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the landed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collector fetched the source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row was written to Bronze</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bronze.epoch_models_raw</w:t>
      </w:r>
    </w:p>
    <w:p>
      <w:pPr>
        <w:keepNext/>
        <w:spacing w:after="120" w:before="0" w:line="338"/>
      </w:pPr>
      <w:r>
        <w:rPr>
          <w:rFonts w:ascii="Palatino Linotype" w:cs="Palatino Linotype" w:eastAsia="Palatino Linotype" w:hAnsi="Palatino Linotype"/>
          <w:color w:val="6F685C"/>
          <w:sz w:val="19"/>
          <w:szCs w:val="19"/>
        </w:rPr>
        <w:t xml:space="preserve">Primary key: record_hash. One row of an Epoch CSV snapshot. The 57 source columns are listed separately.</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raw_payload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The whole source row as JSON, keys sorted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raw_payload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Primary key. SHA-256 of snapshot_id and raw_payload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the landed CSV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collector fetched the source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row was written to Bronze</w:t>
            </w:r>
          </w:p>
        </w:tc>
      </w:tr>
    </w:tbl>
    <w:p>
      <w:pPr>
        <w:spacing w:after="160" w:before="0"/>
      </w:pPr>
    </w:p>
    <w:p>
      <w:pPr>
        <w:keepNext/>
        <w:spacing w:after="120" w:before="0" w:line="338"/>
      </w:pPr>
      <w:r>
        <w:rPr>
          <w:rFonts w:ascii="Palatino Linotype" w:cs="Palatino Linotype" w:eastAsia="Palatino Linotype" w:hAnsi="Palatino Linotype"/>
          <w:color w:val="6F685C"/>
          <w:sz w:val="19"/>
          <w:szCs w:val="19"/>
        </w:rPr>
        <w:t xml:space="preserve">The 57 source columns of the Epoch CSV, all STRING, named as published. The first ten are the contract; the other 47 were added automatically.</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tblGrid>
      <w:tr>
        <w:trPr>
          <w:cantSplit/>
          <w:tblHeader/>
        </w:trPr>
        <w:tc>
          <w:tcPr>
            <w:tcW w:type="dxa" w:w="288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288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288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4"/>
                <w:szCs w:val="14"/>
              </w:rPr>
              <w:t xml:space="preserve">Model</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4"/>
                <w:szCs w:val="14"/>
              </w:rPr>
              <w:t xml:space="preserve">Training hardware</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4"/>
                <w:szCs w:val="14"/>
              </w:rPr>
              <w:t xml:space="preserve">Organization categorization</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Domain</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Approach</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Foundation model</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Task</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Confidence</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lower bound</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Organization</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Abstract</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upper bound</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Authors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Epochs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chip-hours</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Publication date</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WikiText and Penn Treebank data</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code accessibility</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Reference</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Model accessibility</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Accessibility notes</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Link</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Country (of organization)</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Possibly over 1e23 FLOP</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Citations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Base model</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cost (2023 USD)</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Notability criteria</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Finetune compute (FLOP)</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Utilization notes</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Notability criteria notes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Finetune compute notes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Numerical format</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Parameters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Hardware quantity</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Frontier model</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Parameters notes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Hardware utilization (MFU)</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power draw (W)</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(FLOP)</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Last modified</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estimation method</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compute notes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cloud compute vendor</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Hugging Face developer id</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dataset size (total)</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data center</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Post-training compute (FLOP)</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Dataset size notes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Archived links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Post-training compute notes</w:t>
            </w:r>
          </w:p>
        </w:tc>
      </w:tr>
      <w:tr>
        <w:trPr>
          <w:cantSplit/>
        </w:trPr>
        <w:tc>
          <w:tcPr>
            <w:tcW w:type="dxa" w:w="288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time (hours)</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Batch size</w:t>
            </w:r>
          </w:p>
        </w:tc>
        <w:tc>
          <w:tcPr>
            <w:tcW w:type="dxa" w:w="288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Hardware utilization (HFU)</w:t>
            </w:r>
          </w:p>
        </w:tc>
      </w:tr>
      <w:tr>
        <w:trPr>
          <w:cantSplit/>
        </w:trPr>
        <w:tc>
          <w:tcPr>
            <w:tcW w:type="dxa" w:w="288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Training time notes</w:t>
            </w:r>
          </w:p>
        </w:tc>
        <w:tc>
          <w:tcPr>
            <w:tcW w:type="dxa" w:w="288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Batch size notes</w:t>
            </w:r>
          </w:p>
        </w:tc>
        <w:tc>
          <w:tcPr>
            <w:tcW w:type="dxa" w:w="288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4"/>
                <w:szCs w:val="14"/>
              </w:rPr>
              <w:t xml:space="preserve">Open model weights?</w:t>
            </w:r>
          </w:p>
        </w:tc>
      </w:tr>
    </w:tbl>
    <w:p>
      <w:pPr>
        <w:spacing w:after="160" w:before="0"/>
      </w:pPr>
    </w:p>
    <w:p>
      <w:pPr>
        <w:pStyle w:val="Heading1"/>
        <w:pageBreakBefore/>
      </w:pPr>
      <w:r>
        <w:rPr>
          <w:rFonts w:ascii="Palatino Linotype" w:cs="Palatino Linotype" w:eastAsia="Palatino Linotype" w:hAnsi="Palatino Linotype"/>
          <w:color w:val="3B5A40"/>
          <w:sz w:val="30"/>
          <w:szCs w:val="30"/>
        </w:rPr>
        <w:t xml:space="preserve">B</w:t>
      </w:r>
      <w:r>
        <w:rPr>
          <w:rFonts w:ascii="Palatino Linotype" w:cs="Palatino Linotype" w:eastAsia="Palatino Linotype" w:hAnsi="Palatino Linotype"/>
          <w:b/>
          <w:bCs/>
          <w:color w:val="1D1B18"/>
          <w:sz w:val="30"/>
          <w:szCs w:val="30"/>
        </w:rPr>
        <w:t xml:space="preserve">	Silver data dictionary</w:t>
      </w:r>
    </w:p>
    <w:p>
      <w:pPr>
        <w:spacing w:after="150" w:before="0" w:line="338"/>
      </w:pPr>
      <w:r>
        <w:rPr>
          <w:rFonts w:ascii="Palatino Linotype" w:cs="Palatino Linotype" w:eastAsia="Palatino Linotype" w:hAnsi="Palatino Linotype"/>
          <w:color w:val="1D1B18"/>
          <w:sz w:val="21"/>
          <w:szCs w:val="21"/>
        </w:rPr>
        <w:t xml:space="preserve">Types are the Silver types. The note gives the Bronze source and the rule that is applied. Every table also carries the lineage columns and </w:t>
      </w:r>
      <w:r>
        <w:rPr>
          <w:rFonts w:ascii="Consolas" w:cs="Consolas" w:eastAsia="Consolas" w:hAnsi="Consolas"/>
          <w:color w:val="1D1B18"/>
          <w:sz w:val="19"/>
          <w:szCs w:val="19"/>
        </w:rPr>
        <w:t xml:space="preserve">load_timestamp</w:t>
      </w:r>
      <w:r>
        <w:rPr>
          <w:rFonts w:ascii="Palatino Linotype" w:cs="Palatino Linotype" w:eastAsia="Palatino Linotype" w:hAnsi="Palatino Linotype"/>
          <w:color w:val="1D1B18"/>
          <w:sz w:val="21"/>
          <w:szCs w:val="21"/>
        </w:rPr>
        <w:t xml:space="preserve">.</w:t>
      </w:r>
    </w:p>
    <w:p>
      <w:pPr>
        <w:pStyle w:val="Heading2"/>
      </w:pPr>
      <w:r>
        <w:rPr>
          <w:rFonts w:ascii="Palatino Linotype" w:cs="Palatino Linotype" w:eastAsia="Palatino Linotype" w:hAnsi="Palatino Linotype"/>
          <w:b/>
          <w:bCs/>
          <w:smallCaps/>
          <w:color w:val="3B5A40"/>
          <w:spacing w:val="24"/>
          <w:sz w:val="19"/>
          <w:szCs w:val="19"/>
        </w:rPr>
        <w:t xml:space="preserve">silver.arena_leaderboard</w:t>
      </w:r>
    </w:p>
    <w:p>
      <w:pPr>
        <w:keepNext/>
        <w:spacing w:after="120" w:before="0" w:line="338"/>
      </w:pPr>
      <w:r>
        <w:rPr>
          <w:rFonts w:ascii="Palatino Linotype" w:cs="Palatino Linotype" w:eastAsia="Palatino Linotype" w:hAnsi="Palatino Linotype"/>
          <w:color w:val="6F685C"/>
          <w:sz w:val="19"/>
          <w:szCs w:val="19"/>
        </w:rPr>
        <w:t xml:space="preserve">Primary key: subset, category, model_name, leaderboard_publish_date. One model rating in one subset and category on one publication date.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subset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Bronze subset. Key. One of text, text_style_control, webdev, agent, otherwise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category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category. Key. Missing: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model_name, cleaned. Key. Missing: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Join key for Gold: lower-case model/model_name, runs of non-alphanumeric characters replaced by -, leading and trailing - removed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organization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organization, cleaned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license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license, cleaned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leaderboard_publish_date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yyyy-MM-dd text cast to DATE. Key. Must be between 2023-01-01 and tomorrow, otherwise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coalesce(rating, score) (agent publishes score). Missing: quarantined. Must be above 0, except in agent where scores can be negative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rating_variance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variance. Negative: set to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rating_ci_lower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coalesce(rating_q025, rating_lower, score_ci_lower). If lower &gt; rating, upper &lt; rating or lower &gt; upper, both bounds are set to null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rating_ci_upper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coalesce(rating_q975, rating_upper, score_ci_upper). Same check as the lower bound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vote_count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Whole-number cast.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observation_count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Whole-number cast ('29.0' becomes 29).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session_count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Whole-number cast.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rank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Whole-number cast. Below 1: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silver.epoch_models</w:t>
      </w:r>
    </w:p>
    <w:p>
      <w:pPr>
        <w:keepNext/>
        <w:spacing w:after="120" w:before="0" w:line="338"/>
      </w:pPr>
      <w:r>
        <w:rPr>
          <w:rFonts w:ascii="Palatino Linotype" w:cs="Palatino Linotype" w:eastAsia="Palatino Linotype" w:hAnsi="Palatino Linotype"/>
          <w:color w:val="6F685C"/>
          <w:sz w:val="19"/>
          <w:szCs w:val="19"/>
        </w:rPr>
        <w:t xml:space="preserve">Primary key: model, publication_date. The latest version of one model in Epoch's database.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Bronze Model. Key. Missing: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Join key for Gold: lower-case model/model_name, runs of non-alphanumeric characters replaced by -, leading and trailing - removed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domain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Domain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task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Task</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organization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Organization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authors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Authors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publication_date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Publication date as a date. Key. Missing, invalid or after tomorrow: quarantined (12 rows today)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reference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Reference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link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Link. Not starting with http: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citations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Citations as a whole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notability_criteria</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Notability criteria</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notability_criteria_notes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Notability criteria notes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parameters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Parameters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training_compute_flop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compute (FLOP)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training_dataset_size_total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dataset size (total)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training_time_hours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time (hours)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training_hardware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hardware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approach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Approach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confidence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Confidence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epochs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Epochs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model_accessibility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Model accessibility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country_of_organization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Country (of organization)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base_model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Base 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finetune_compute_flop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Finetune compute (FLOP)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hardware_quantity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Hardware quantity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hardware_utilization_mfu</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Hardware utilization (MFU)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last_modified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Last modified as a timestamp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organization_categorization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Organization categorization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foundation_model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Foundation 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frontier_model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Frontier 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training_compute_cost_usd_2023</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compute cost (2023 USD)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training_power_draw_w</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Training power draw (W)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open_model_weights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Open model weights?: Yes/No as a boolean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hugging_face_developer_id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Hugging Face developer 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snapshot_id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payload_hash.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silver.benchlm_models</w:t>
      </w:r>
    </w:p>
    <w:p>
      <w:pPr>
        <w:keepNext/>
        <w:spacing w:after="120" w:before="0" w:line="338"/>
      </w:pPr>
      <w:r>
        <w:rPr>
          <w:rFonts w:ascii="Palatino Linotype" w:cs="Palatino Linotype" w:eastAsia="Palatino Linotype" w:hAnsi="Palatino Linotype"/>
          <w:color w:val="6F685C"/>
          <w:sz w:val="19"/>
          <w:szCs w:val="19"/>
        </w:rPr>
        <w:t xml:space="preserve">Primary key: slug. One model in BenchLM's ranking.</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slug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slug. Key. Missing: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Join key for Gold: lower-case model/model_name, runs of non-alphanumeric characters replaced by -, leading and trailing - removed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canonical_model_key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canonicalModelKey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creator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creator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family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family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release_date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releaseDate as a date (yyyy-MM-dd)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reasoning_type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reasoningType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evidence_status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evidenceStatus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ranking_eligible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rankingEligible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market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market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is_regional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isRegional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sourceType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ordering_meaning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orderingMeaning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public_ranking_mode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publicRankingMode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overall_rank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overallRank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display_score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displayScore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provisional_display_score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provisionalDisplayScore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context_window</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contextWindow</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context_window_tokens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contextWindowTokens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ranking_json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ranking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coverage_json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coverage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score_interval90_json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scoreInterval90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scores_json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scores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benchmarks_json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benchmarks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markdown_url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markdownUrl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snapshot_id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payload_hash.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silver.benchlm_benchmarks</w:t>
      </w:r>
    </w:p>
    <w:p>
      <w:pPr>
        <w:keepNext/>
        <w:spacing w:after="120" w:before="0" w:line="338"/>
      </w:pPr>
      <w:r>
        <w:rPr>
          <w:rFonts w:ascii="Palatino Linotype" w:cs="Palatino Linotype" w:eastAsia="Palatino Linotype" w:hAnsi="Palatino Linotype"/>
          <w:color w:val="6F685C"/>
          <w:sz w:val="19"/>
          <w:szCs w:val="19"/>
        </w:rPr>
        <w:t xml:space="preserve">Primary key: benchmark_key, category. One benchmark in one category.</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benchmark_key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benchmarkKey. Key (with category)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category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category. Key (with benchmark_key). The same benchmark can sit in two categories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name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full_name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fullName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capability_category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capabilityCategory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category_label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categoryLabel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scored_category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scoredCategory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scoring_basis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scoringBasis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weight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weight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decimals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decimals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year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year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difficulty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difficulty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format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format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tasks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tasks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description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description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authors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authors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paper_title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paperTitle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paper_url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paperUrl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markdown_url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markdownUrl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successor_key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successorKey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successor_url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successorUrl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displayable_score_count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displayableScoreCount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evaluated_configuration_count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evaluatedConfigurationCount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source_result_note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sourceResultNote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source_result_tables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sourceResultTables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snapshot_id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payload_hash.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silver.benchlm_pricing</w:t>
      </w:r>
    </w:p>
    <w:p>
      <w:pPr>
        <w:keepNext/>
        <w:spacing w:after="120" w:before="0" w:line="338"/>
      </w:pPr>
      <w:r>
        <w:rPr>
          <w:rFonts w:ascii="Palatino Linotype" w:cs="Palatino Linotype" w:eastAsia="Palatino Linotype" w:hAnsi="Palatino Linotype"/>
          <w:color w:val="6F685C"/>
          <w:sz w:val="19"/>
          <w:szCs w:val="19"/>
        </w:rPr>
        <w:t xml:space="preserve">Primary key: canonical_model_key. One model's price record.</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canonical_model_key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canonicalModelKey. Key. (slug is empty for some models)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slug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slug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model_key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Join key for Gold: lower-case model/model_name, runs of non-alphanumeric characters replaced by -, leading and trailing - removed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creator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creator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sourceType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context_window</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contextWindow</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context_window_tokens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contextWindowTokens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input_price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inputPrice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output_price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outputPrice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cached_input_price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cachedInputPrice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training_price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trainingPrice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score_per_output_dollar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scorePerOutputDollar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display_score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displayScore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overall_rank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overallRank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has_numeric_pricing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hasNumericPricing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is_free_pricing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isFreePricing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note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markdown_url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markdownUrl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snapshot_id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snapshot_id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payload_hash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payload_hash.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silver.cooperbench_members</w:t>
      </w:r>
    </w:p>
    <w:p>
      <w:pPr>
        <w:keepNext/>
        <w:spacing w:after="120" w:before="0" w:line="338"/>
      </w:pPr>
      <w:r>
        <w:rPr>
          <w:rFonts w:ascii="Palatino Linotype" w:cs="Palatino Linotype" w:eastAsia="Palatino Linotype" w:hAnsi="Palatino Linotype"/>
          <w:color w:val="6F685C"/>
          <w:sz w:val="19"/>
          <w:szCs w:val="19"/>
        </w:rPr>
        <w:t xml:space="preserve">Primary key: study_setting, member_path. One file inside a CooperBench archive: metadata and validity.</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study_setting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Bronze study_setting. Key. One of solo, coopgit, team, team_noproto, otherwise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member_path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member_path. Key. Missing: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member_extension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member_extension (.json, .jsonl)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member_size_bytes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Whole-number cast. 0 or less: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file_name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Last part of the path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file_type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File name without extension; agent1_traj.json becomes agent_traj, agent2_sent.jsonl becomes agent_sent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repo</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part &lt;repo&gt;_task (null for files above the task level, such as summary.json)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task_id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part with the task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feature_pair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 pair taken from the path (f3_f7)</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is_valid_json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JSON parses (every non-empty line for .jsonl). Not valid: quarantined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line_count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Number of non-empty lines, .jsonl only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content_hash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raw_content.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silver.cooperbench_evals</w:t>
      </w:r>
    </w:p>
    <w:p>
      <w:pPr>
        <w:keepNext/>
        <w:spacing w:after="120" w:before="0" w:line="338"/>
      </w:pPr>
      <w:r>
        <w:rPr>
          <w:rFonts w:ascii="Palatino Linotype" w:cs="Palatino Linotype" w:eastAsia="Palatino Linotype" w:hAnsi="Palatino Linotype"/>
          <w:color w:val="6F685C"/>
          <w:sz w:val="19"/>
          <w:szCs w:val="19"/>
        </w:rPr>
        <w:t xml:space="preserve">Primary key: study_setting, member_path. One evaluated task run, taken from eval.json.</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repo</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repo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task_id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task_id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features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setting_label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setting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both_passed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both_passed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error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error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evaluated_at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evaluated_at as a timestamp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apply_status_agent1</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apply_status.agent1</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apply_status_agent2</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apply_status.agent2</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merge_status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merge.status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merge_strategy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merge.strategy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feature1_passed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feature1.passed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feature1_feature_id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feature1.feature_id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feature1_tests_passed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feature1.tests_passed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feature1_tests_failed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feature1.tests_failed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feature1_exit_code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feature1.exit_code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feature2_passed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feature2.passed as a boolean (true/false, also yes/no)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feature2_feature_id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feature2.feature_id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feature2_tests_passed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feature2.tests_passed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feature2_tests_failed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feature2.tests_failed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feature2_exit_code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feature2.exit_code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study_setting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study_setting. Key (with member_path)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member_path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member_path. Key (with study_setting)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feature_pair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 pair taken from the path (f3_f7)</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content_hash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raw_content.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silver.cooperbench_runs</w:t>
      </w:r>
    </w:p>
    <w:p>
      <w:pPr>
        <w:keepNext/>
        <w:spacing w:after="120" w:before="0" w:line="338"/>
      </w:pPr>
      <w:r>
        <w:rPr>
          <w:rFonts w:ascii="Palatino Linotype" w:cs="Palatino Linotype" w:eastAsia="Palatino Linotype" w:hAnsi="Palatino Linotype"/>
          <w:color w:val="6F685C"/>
          <w:sz w:val="19"/>
          <w:szCs w:val="19"/>
        </w:rPr>
        <w:t xml:space="preserve">Primary key: study_setting, member_path. One task run with duration and cost, taken from result.json.</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repo</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repo</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task_id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task_id as a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features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setting_label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setting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run_id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run_name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agent_framework</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agent_framework</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model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model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started_at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started_at as a timestamp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ended_at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ended_at as a timestamp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duration_seconds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duration_seconds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lead_agent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lead_agent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total_cost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total_cost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total_steps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total_steps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messages_sent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messages_sent as a number. Negative: null, logged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log_dir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log_dir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agents_json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agents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metrics_json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nested value metrics kept as JSON text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study_setting</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study_setting. Key (with member_path)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member_path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member_path. Key (with study_setting)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feature_pair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Feature pair taken from the path (f3_f7)</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content_hash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SHA-256 of raw_content. The MERGE updates a row only when this value changes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primary key of the source row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batch_id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source_file (lineage)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collection_timestamp</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Bronze collection_timestamp: when the collector fetched the source (lineage; decides which version is newer)</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this Silver row was inserted or last updated (current_timestamp())</w:t>
            </w:r>
          </w:p>
        </w:tc>
      </w:tr>
    </w:tbl>
    <w:p>
      <w:pPr>
        <w:spacing w:after="160" w:before="0"/>
      </w:pPr>
    </w:p>
    <w:p>
      <w:pPr>
        <w:pStyle w:val="Heading1"/>
        <w:pageBreakBefore/>
      </w:pPr>
      <w:r>
        <w:rPr>
          <w:rFonts w:ascii="Palatino Linotype" w:cs="Palatino Linotype" w:eastAsia="Palatino Linotype" w:hAnsi="Palatino Linotype"/>
          <w:color w:val="3B5A40"/>
          <w:sz w:val="30"/>
          <w:szCs w:val="30"/>
        </w:rPr>
        <w:t xml:space="preserve">C</w:t>
      </w:r>
      <w:r>
        <w:rPr>
          <w:rFonts w:ascii="Palatino Linotype" w:cs="Palatino Linotype" w:eastAsia="Palatino Linotype" w:hAnsi="Palatino Linotype"/>
          <w:b/>
          <w:bCs/>
          <w:color w:val="1D1B18"/>
          <w:sz w:val="30"/>
          <w:szCs w:val="30"/>
        </w:rPr>
        <w:t xml:space="preserve">	Operational tables</w:t>
      </w:r>
    </w:p>
    <w:p>
      <w:pPr>
        <w:spacing w:after="150" w:before="0" w:line="338"/>
      </w:pPr>
      <w:r>
        <w:rPr>
          <w:rFonts w:ascii="Palatino Linotype" w:cs="Palatino Linotype" w:eastAsia="Palatino Linotype" w:hAnsi="Palatino Linotype"/>
          <w:color w:val="1D1B18"/>
          <w:sz w:val="21"/>
          <w:szCs w:val="21"/>
        </w:rPr>
        <w:t xml:space="preserve">These tables sit in the </w:t>
      </w:r>
      <w:r>
        <w:rPr>
          <w:rFonts w:ascii="Consolas" w:cs="Consolas" w:eastAsia="Consolas" w:hAnsi="Consolas"/>
          <w:color w:val="1D1B18"/>
          <w:sz w:val="19"/>
          <w:szCs w:val="19"/>
        </w:rPr>
        <w:t xml:space="preserve">ops</w:t>
      </w:r>
      <w:r>
        <w:rPr>
          <w:rFonts w:ascii="Palatino Linotype" w:cs="Palatino Linotype" w:eastAsia="Palatino Linotype" w:hAnsi="Palatino Linotype"/>
          <w:color w:val="1D1B18"/>
          <w:sz w:val="21"/>
          <w:szCs w:val="21"/>
        </w:rPr>
        <w:t xml:space="preserve"> schema. Each carries </w:t>
      </w:r>
      <w:r>
        <w:rPr>
          <w:rFonts w:ascii="Consolas" w:cs="Consolas" w:eastAsia="Consolas" w:hAnsi="Consolas"/>
          <w:color w:val="1D1B18"/>
          <w:sz w:val="19"/>
          <w:szCs w:val="19"/>
        </w:rPr>
        <w:t xml:space="preserve">load_timestamp</w:t>
      </w:r>
      <w:r>
        <w:rPr>
          <w:rFonts w:ascii="Palatino Linotype" w:cs="Palatino Linotype" w:eastAsia="Palatino Linotype" w:hAnsi="Palatino Linotype"/>
          <w:color w:val="1D1B18"/>
          <w:sz w:val="21"/>
          <w:szCs w:val="21"/>
        </w:rPr>
        <w:t xml:space="preserve">.</w:t>
      </w:r>
    </w:p>
    <w:p>
      <w:pPr>
        <w:pStyle w:val="Heading2"/>
      </w:pPr>
      <w:r>
        <w:rPr>
          <w:rFonts w:ascii="Palatino Linotype" w:cs="Palatino Linotype" w:eastAsia="Palatino Linotype" w:hAnsi="Palatino Linotype"/>
          <w:b/>
          <w:bCs/>
          <w:smallCaps/>
          <w:color w:val="3B5A40"/>
          <w:spacing w:val="24"/>
          <w:sz w:val="19"/>
          <w:szCs w:val="19"/>
        </w:rPr>
        <w:t xml:space="preserve">ops.pipeline_execution_logs</w:t>
      </w:r>
    </w:p>
    <w:p>
      <w:pPr>
        <w:keepNext/>
        <w:spacing w:after="120" w:before="0" w:line="338"/>
      </w:pPr>
      <w:r>
        <w:rPr>
          <w:rFonts w:ascii="Palatino Linotype" w:cs="Palatino Linotype" w:eastAsia="Palatino Linotype" w:hAnsi="Palatino Linotype"/>
          <w:color w:val="6F685C"/>
          <w:sz w:val="19"/>
          <w:szCs w:val="19"/>
        </w:rPr>
        <w:t xml:space="preserve">One row per file, table, batch and run.</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One notebook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 or a range for a backfill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layer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Raw-to-Bronze, Bronze-to-Silver and the other layer labels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arena, cooperbench, benchlm, epoch or all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dataset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Subset, archive or table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full, incremental or check</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file_or_param</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file or parameter that was processed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parameters_json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All widget values of the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start_time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Execution start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end_time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Execution end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duration_seconds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DOUBLE</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End minus start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status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SUCCESS, FAILURE, SKIPPED, QUARANTINED or REJECTED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rows_read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Rows read from the input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rows_inserted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Rows inserted by the MERGE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rows_updated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Rows updated by the MERGE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rows_skipped_duplicate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Rows that already existed unchanged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rows_quarantined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Rows or files set aside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bytes_processed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Size of the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message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Counts of cast failures, nulls and quarantine reasons</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log row was written</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ops.error_logs</w:t>
      </w:r>
    </w:p>
    <w:p>
      <w:pPr>
        <w:keepNext/>
        <w:spacing w:after="120" w:before="0" w:line="338"/>
      </w:pPr>
      <w:r>
        <w:rPr>
          <w:rFonts w:ascii="Palatino Linotype" w:cs="Palatino Linotype" w:eastAsia="Palatino Linotype" w:hAnsi="Palatino Linotype"/>
          <w:color w:val="6F685C"/>
          <w:sz w:val="19"/>
          <w:szCs w:val="19"/>
        </w:rPr>
        <w:t xml:space="preserve">One row per error or warning.</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error_id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Unique 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Id of the notebook or collector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component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bronze_notebook or silver_notebook</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layer</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Layer label of the step</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Source name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file_or_param</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file or parameter processed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severity</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ERROR or WARNING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error_type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Exception class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error_message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Message of the exception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http_status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 download errors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attempt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Retry number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stack_trace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Python stack trace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occurred_at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error happened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resolved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BOOLEAN</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Set to true once the cause is fixed</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log row was written</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ops.quarantine_log</w:t>
      </w:r>
    </w:p>
    <w:p>
      <w:pPr>
        <w:keepNext/>
        <w:spacing w:after="120" w:before="0" w:line="338"/>
      </w:pPr>
      <w:r>
        <w:rPr>
          <w:rFonts w:ascii="Palatino Linotype" w:cs="Palatino Linotype" w:eastAsia="Palatino Linotype" w:hAnsi="Palatino Linotype"/>
          <w:color w:val="6F685C"/>
          <w:sz w:val="19"/>
          <w:szCs w:val="19"/>
        </w:rPr>
        <w:t xml:space="preserve">One row per file set aside before Bronze.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quarantine_id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Unique 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Id of the notebook or collector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Source name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dataset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Subset, archive or table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item</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file or archive member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reason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 example SCHEMA_CONTRACT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detail</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Why the item was set aside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size_bytes</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BIGINT</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Size of the file in bytes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record_sample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A short sample for diagnosis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quarantined_at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item was set aside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log row was written</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ops.schema_drift_log</w:t>
      </w:r>
    </w:p>
    <w:p>
      <w:pPr>
        <w:keepNext/>
        <w:spacing w:after="120" w:before="0" w:line="338"/>
      </w:pPr>
      <w:r>
        <w:rPr>
          <w:rFonts w:ascii="Palatino Linotype" w:cs="Palatino Linotype" w:eastAsia="Palatino Linotype" w:hAnsi="Palatino Linotype"/>
          <w:color w:val="6F685C"/>
          <w:sz w:val="19"/>
          <w:szCs w:val="19"/>
        </w:rPr>
        <w:t xml:space="preserve">One row per schema event.</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drift_id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Unique id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Id of the notebook or collector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dataset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 Silver, </w:t>
            </w:r>
            <w:r>
              <w:rPr>
                <w:rFonts w:ascii="Consolas" w:cs="Consolas" w:eastAsia="Consolas" w:hAnsi="Consolas"/>
                <w:color w:val="1D1B18"/>
                <w:sz w:val="15"/>
                <w:szCs w:val="15"/>
              </w:rPr>
              <w:t xml:space="preserve">silver/&lt;table&gt;</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source_file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Path of the landed file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column_name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Column concerned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event_type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BASELINE, NEW_COLUMN, MISSING_COLUMN, COMPLEX_TYPE, NEW_COLUMN_NOT_PROMOTED or CAST_FAILURE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expected_type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Type the pipeline expected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actual_type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Type found in the source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action_taken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 example TABLE_EVOLVED, FILLED_WITH_NULL, SET_NULL</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detected_at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event was detected</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log row was written</w:t>
            </w:r>
          </w:p>
        </w:tc>
      </w:tr>
    </w:tbl>
    <w:p>
      <w:pPr>
        <w:spacing w:after="160" w:before="0"/>
      </w:pPr>
    </w:p>
    <w:p>
      <w:pPr>
        <w:pStyle w:val="Heading2"/>
      </w:pPr>
      <w:r>
        <w:rPr>
          <w:rFonts w:ascii="Palatino Linotype" w:cs="Palatino Linotype" w:eastAsia="Palatino Linotype" w:hAnsi="Palatino Linotype"/>
          <w:b/>
          <w:bCs/>
          <w:smallCaps/>
          <w:color w:val="3B5A40"/>
          <w:spacing w:val="24"/>
          <w:sz w:val="19"/>
          <w:szCs w:val="19"/>
        </w:rPr>
        <w:t xml:space="preserve">ops.silver_quarantine_log</w:t>
      </w:r>
    </w:p>
    <w:p>
      <w:pPr>
        <w:keepNext/>
        <w:spacing w:after="120" w:before="0" w:line="338"/>
      </w:pPr>
      <w:r>
        <w:rPr>
          <w:rFonts w:ascii="Palatino Linotype" w:cs="Palatino Linotype" w:eastAsia="Palatino Linotype" w:hAnsi="Palatino Linotype"/>
          <w:color w:val="6F685C"/>
          <w:sz w:val="19"/>
          <w:szCs w:val="19"/>
        </w:rPr>
        <w:t xml:space="preserve">One row per record and reason set aside by Silver.</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50"/>
        <w:gridCol w:w="1050"/>
        <w:gridCol w:w="5140"/>
      </w:tblGrid>
      <w:tr>
        <w:trPr>
          <w:cantSplit/>
          <w:tblHeader/>
        </w:trPr>
        <w:tc>
          <w:tcPr>
            <w:tcW w:type="dxa" w:w="2450"/>
            <w:tcBorders>
              <w:top w:val="single" w:color="1D1B18" w:sz="8"/>
              <w:left w:val="none" w:color="FFFFFF" w:sz="0"/>
              <w:bottom w:val="single" w:color="1D1B18" w:sz="4"/>
              <w:right w:val="none" w:color="FFFFFF" w:sz="0"/>
            </w:tcBorders>
            <w:tcMar>
              <w:top w:type="dxa" w:w="55"/>
              <w:left w:type="dxa" w:w="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Column</w:t>
            </w:r>
          </w:p>
        </w:tc>
        <w:tc>
          <w:tcPr>
            <w:tcW w:type="dxa" w:w="105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Type</w:t>
            </w:r>
          </w:p>
        </w:tc>
        <w:tc>
          <w:tcPr>
            <w:tcW w:type="dxa" w:w="5140"/>
            <w:tcBorders>
              <w:top w:val="single" w:color="1D1B18" w:sz="8"/>
              <w:left w:val="none" w:color="FFFFFF" w:sz="0"/>
              <w:bottom w:val="single" w:color="1D1B1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b/>
                <w:bCs/>
                <w:smallCaps/>
                <w:color w:val="6F685C"/>
                <w:spacing w:val="20"/>
                <w:sz w:val="15"/>
                <w:szCs w:val="15"/>
              </w:rPr>
              <w:t xml:space="preserve">Note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quarantine_id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spacing w:after="0" w:before="0" w:line="264"/>
              <w:jc w:val="left"/>
            </w:pPr>
            <w:r>
              <w:rPr>
                <w:rFonts w:ascii="Palatino Linotype" w:cs="Palatino Linotype" w:eastAsia="Palatino Linotype" w:hAnsi="Palatino Linotype"/>
                <w:color w:val="1D1B18"/>
                <w:sz w:val="17"/>
                <w:szCs w:val="17"/>
              </w:rPr>
              <w:t xml:space="preserve">Primary key. Hash of table, record, column and reason, so a repeat run adds nothing</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run_id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Id of the notebook or collector run</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batch_id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Collector batch</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silver_table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Silver table the record was meant for</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bronze_record_hash</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Points back to the Bronze row</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column_name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field that failed</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bad_value</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original value</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reason</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For example RATING_MISSING_OR_NOT_POSITIVE, DUPLICATE_BUSINESS_KEY</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raw_payload</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STRING</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The source record, up to 4,000 characters</w:t>
            </w:r>
          </w:p>
        </w:tc>
      </w:tr>
      <w:tr>
        <w:trPr>
          <w:cantSplit/>
        </w:trPr>
        <w:tc>
          <w:tcPr>
            <w:tcW w:type="dxa" w:w="2450"/>
            <w:tcBorders>
              <w:top w:val="none" w:color="FFFFFF" w:sz="0"/>
              <w:left w:val="none" w:color="FFFFFF" w:sz="0"/>
              <w:bottom w:val="dotted" w:color="BDB7A8" w:sz="4"/>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quarantined_at</w:t>
            </w:r>
          </w:p>
        </w:tc>
        <w:tc>
          <w:tcPr>
            <w:tcW w:type="dxa" w:w="105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dotted" w:color="BDB7A8" w:sz="4"/>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item was set aside</w:t>
            </w:r>
          </w:p>
        </w:tc>
      </w:tr>
      <w:tr>
        <w:trPr>
          <w:cantSplit/>
        </w:trPr>
        <w:tc>
          <w:tcPr>
            <w:tcW w:type="dxa" w:w="2450"/>
            <w:tcBorders>
              <w:top w:val="none" w:color="FFFFFF" w:sz="0"/>
              <w:left w:val="none" w:color="FFFFFF" w:sz="0"/>
              <w:bottom w:val="single" w:color="1D1B18" w:sz="8"/>
              <w:right w:val="none" w:color="FFFFFF" w:sz="0"/>
            </w:tcBorders>
            <w:tcMar>
              <w:top w:type="dxa" w:w="55"/>
              <w:left w:type="dxa" w:w="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load_timestamp</w:t>
            </w:r>
          </w:p>
        </w:tc>
        <w:tc>
          <w:tcPr>
            <w:tcW w:type="dxa" w:w="105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Consolas" w:cs="Consolas" w:eastAsia="Consolas" w:hAnsi="Consolas"/>
                <w:color w:val="1D1B18"/>
                <w:sz w:val="15"/>
                <w:szCs w:val="15"/>
              </w:rPr>
              <w:t xml:space="preserve">TIMESTAMP</w:t>
            </w:r>
          </w:p>
        </w:tc>
        <w:tc>
          <w:tcPr>
            <w:tcW w:type="dxa" w:w="5140"/>
            <w:tcBorders>
              <w:top w:val="none" w:color="FFFFFF" w:sz="0"/>
              <w:left w:val="none" w:color="FFFFFF" w:sz="0"/>
              <w:bottom w:val="single" w:color="1D1B18" w:sz="8"/>
              <w:right w:val="none" w:color="FFFFFF" w:sz="0"/>
            </w:tcBorders>
            <w:tcMar>
              <w:top w:type="dxa" w:w="55"/>
              <w:left w:type="dxa" w:w="90"/>
              <w:bottom w:type="dxa" w:w="55"/>
              <w:right w:type="dxa" w:w="90"/>
            </w:tcMar>
            <w:vAlign w:val="top"/>
          </w:tcPr>
          <w:p>
            <w:pPr>
              <w:keepNext w:val="false"/>
              <w:spacing w:after="0" w:before="0" w:line="264"/>
              <w:jc w:val="left"/>
            </w:pPr>
            <w:r>
              <w:rPr>
                <w:rFonts w:ascii="Palatino Linotype" w:cs="Palatino Linotype" w:eastAsia="Palatino Linotype" w:hAnsi="Palatino Linotype"/>
                <w:color w:val="1D1B18"/>
                <w:sz w:val="17"/>
                <w:szCs w:val="17"/>
              </w:rPr>
              <w:t xml:space="preserve">When the log row was written</w:t>
            </w:r>
          </w:p>
        </w:tc>
      </w:tr>
    </w:tbl>
    <w:p>
      <w:pPr>
        <w:spacing w:after="160" w:before="0"/>
      </w:pPr>
    </w:p>
    <w:sectPr>
      <w:pgSz w:w="12240" w:h="15840" w:orient="portrait"/>
      <w:pgMar w:top="1300" w:right="1440" w:bottom="13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D1B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tabs>
        <w:tab w:val="left" w:pos="0"/>
      </w:tabs>
      <w:spacing w:after="180" w:before="520"/>
      <w:ind w:left="0" w:hanging="720"/>
      <w:outlineLvl w:val="0"/>
    </w:pPr>
    <w:rPr>
      <w:rFonts w:ascii="Palatino Linotype" w:cs="Palatino Linotype" w:eastAsia="Palatino Linotype" w:hAnsi="Palatino Linotype"/>
      <w:b/>
      <w:bCs/>
      <w:color w:val="1D1B18"/>
      <w:sz w:val="30"/>
      <w:szCs w:val="30"/>
    </w:rPr>
  </w:style>
  <w:style w:type="paragraph" w:styleId="Heading2">
    <w:name w:val="Heading 2"/>
    <w:basedOn w:val="Normal"/>
    <w:next w:val="Normal"/>
    <w:qFormat/>
    <w:pPr>
      <w:keepNext/>
      <w:keepLines/>
      <w:spacing w:after="90" w:before="300"/>
      <w:outlineLvl w:val="1"/>
    </w:pPr>
    <w:rPr>
      <w:rFonts w:ascii="Palatino Linotype" w:cs="Palatino Linotype" w:eastAsia="Palatino Linotype" w:hAnsi="Palatino Linotype"/>
      <w:b/>
      <w:bCs/>
      <w:smallCaps/>
      <w:color w:val="3B5A4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80vtqikeco2ytvb4oqnv" Type="http://schemas.openxmlformats.org/officeDocument/2006/relationships/hyperlink" Target="https://github.com/zohaib-mzg/Frontier-AI-Observabilit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proposal</dc:title>
  <dc:creator>Frontier AI Observatory</dc:creator>
  <cp:lastModifiedBy>Un-named</cp:lastModifiedBy>
  <cp:revision>1</cp:revision>
  <dcterms:created xsi:type="dcterms:W3CDTF">2026-10-11T10:38:59.832Z</dcterms:created>
  <dcterms:modified xsi:type="dcterms:W3CDTF">2026-10-11T10:38:59.840Z</dcterms:modified>
</cp:coreProperties>
</file>

<file path=docProps/custom.xml><?xml version="1.0" encoding="utf-8"?>
<Properties xmlns="http://schemas.openxmlformats.org/officeDocument/2006/custom-properties" xmlns:vt="http://schemas.openxmlformats.org/officeDocument/2006/docPropsVTypes"/>
</file>