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atLeast" w:line="600" w:before="0" w:after="40"/>
        <w:rPr/>
      </w:pPr>
      <w:r>
        <w:rPr>
          <w:rFonts w:eastAsia="Georgia" w:cs="Georgia"/>
          <w:b/>
          <w:bCs/>
          <w:color w:val="2A2321"/>
          <w:sz w:val="60"/>
          <w:szCs w:val="60"/>
        </w:rPr>
        <w:t>Frontier AI Observatory</w:t>
      </w:r>
    </w:p>
    <w:p>
      <w:pPr>
        <w:pStyle w:val="Normal"/>
        <w:keepNext w:val="true"/>
        <w:spacing w:before="0" w:after="200"/>
        <w:rPr/>
      </w:pPr>
      <w:r>
        <w:rPr>
          <w:rFonts w:eastAsia="Trebuchet MS" w:cs="Trebuchet MS" w:ascii="Trebuchet MS" w:hAnsi="Trebuchet MS"/>
          <w:caps/>
          <w:color w:val="8A3A32"/>
          <w:spacing w:val="60"/>
          <w:sz w:val="20"/>
          <w:szCs w:val="20"/>
        </w:rPr>
        <w:t>Project proposal</w:t>
      </w:r>
    </w:p>
    <w:p>
      <w:pPr>
        <w:pStyle w:val="Normal"/>
        <w:keepNext w:val="true"/>
        <w:spacing w:lineRule="auto" w:line="300" w:before="0" w:after="100"/>
        <w:rPr/>
      </w:pPr>
      <w:r>
        <w:rPr>
          <w:rFonts w:eastAsia="Trebuchet MS" w:cs="Trebuchet MS" w:ascii="Trebuchet MS" w:hAnsi="Trebuchet MS"/>
          <w:color w:val="3E4540"/>
          <w:sz w:val="19"/>
          <w:szCs w:val="19"/>
        </w:rPr>
        <w:t>Muhammad Ali Aamir (24L-2558)</w:t>
      </w:r>
      <w:r>
        <w:rPr/>
        <w:br/>
      </w:r>
      <w:r>
        <w:rPr>
          <w:rFonts w:eastAsia="Trebuchet MS" w:cs="Trebuchet MS" w:ascii="Trebuchet MS" w:hAnsi="Trebuchet MS"/>
          <w:color w:val="3E4540"/>
          <w:sz w:val="19"/>
          <w:szCs w:val="19"/>
        </w:rPr>
        <w:t>Muhammad Zohaib (24L-2530)</w:t>
      </w:r>
    </w:p>
    <w:p>
      <w:pPr>
        <w:pStyle w:val="Normal"/>
        <w:pBdr>
          <w:bottom w:val="single" w:sz="8" w:space="14" w:color="B5593A"/>
        </w:pBdr>
        <w:spacing w:before="0" w:after="120"/>
        <w:ind w:start="0"/>
        <w:rPr/>
      </w:pPr>
      <w:hyperlink r:id="rId2">
        <w:r>
          <w:rPr>
            <w:rStyle w:val="Hyperlink"/>
            <w:rFonts w:eastAsia="Trebuchet MS" w:cs="Trebuchet MS" w:ascii="Trebuchet MS" w:hAnsi="Trebuchet MS"/>
            <w:color w:val="8A3A32"/>
            <w:sz w:val="19"/>
            <w:szCs w:val="19"/>
            <w:u w:val="single" w:color="D9B8AE"/>
          </w:rPr>
          <w:t>Frontier AI Observability on GitHub</w:t>
        </w:r>
      </w:hyperlink>
    </w:p>
    <w:p>
      <w:pPr>
        <w:pStyle w:val="Heading2"/>
        <w:keepNext w:val="true"/>
        <w:keepLines/>
        <w:spacing w:before="300" w:after="100"/>
        <w:rPr/>
      </w:pPr>
      <w:r>
        <w:rPr>
          <w:rFonts w:eastAsia="Georgia" w:cs="Georgia" w:ascii="Georgia" w:hAnsi="Georgia"/>
          <w:b/>
          <w:bCs/>
          <w:color w:val="744354"/>
          <w:sz w:val="24"/>
          <w:szCs w:val="24"/>
        </w:rPr>
        <w:t xml:space="preserve">Project overview</w:t>
      </w:r>
    </w:p>
    <w:p>
      <w:pPr>
        <w:pStyle w:val="Normal"/>
        <w:widowControl/>
        <w:spacing w:lineRule="auto" w:line="336" w:before="0" w:after="150"/>
        <w:rPr/>
      </w:pPr>
      <w:r>
        <w:rPr>
          <w:rFonts w:eastAsia="Georgia" w:cs="Georgia"/>
          <w:color w:val="2E2926"/>
          <w:sz w:val="20"/>
          <w:szCs w:val="20"/>
        </w:rPr>
        <w:t xml:space="preserve">We propose an automated platform for examining published AI model evaluations, model releases, and API pricing. Apache Spark brings the source records into a Medallion lakehouse, and a business intelligence dashboard will make the resulting comparisons accessible to researchers and developers.</w:t>
      </w:r>
    </w:p>
    <w:p>
      <w:pPr>
        <w:pStyle w:val="Normal"/>
        <w:widowControl/>
        <w:spacing w:lineRule="auto" w:line="336" w:before="0" w:after="150"/>
        <w:rPr/>
      </w:pPr>
      <w:r>
        <w:rPr>
          <w:rFonts w:eastAsia="Georgia" w:cs="Georgia"/>
          <w:color w:val="2E2926"/>
          <w:sz w:val="20"/>
          <w:szCs w:val="20"/>
        </w:rPr>
        <w:t xml:space="preserve">Choosing an AI model requires checking sources that use different names, units, and evaluation methods. A high score may describe only one task, while a low token price may say little about an agent’s reliability or execution time. The Observatory will organize this evidence around model configurations and organizations, with a clear distinction between measured results and estimated costs.</w:t>
      </w:r>
    </w:p>
    <w:p>
      <w:pPr>
        <w:pStyle w:val="Normal"/>
        <w:widowControl/>
        <w:spacing w:lineRule="auto" w:line="336" w:before="0" w:after="150"/>
        <w:rPr/>
      </w:pPr>
      <w:r>
        <w:rPr>
          <w:rFonts w:eastAsia="Georgia" w:cs="Georgia"/>
          <w:color w:val="2E2926"/>
          <w:sz w:val="20"/>
          <w:szCs w:val="20"/>
        </w:rPr>
        <w:t xml:space="preserve">The initial scope combines Arena evaluation histories with a published CooperBench study of coding-agent coordination. BenchLM supplies benchmark and pricing context, while Epoch AI provides model release metadata. The project will analyze existing public evidence without paid inference or benchmark execution.</w:t>
      </w:r>
    </w:p>
    <w:p>
      <w:pPr>
        <w:pStyle w:val="Normal"/>
        <w:widowControl/>
        <w:spacing w:lineRule="auto" w:line="336" w:before="0" w:after="150"/>
        <w:rPr/>
      </w:pPr>
      <w:r>
        <w:rPr>
          <w:rFonts w:eastAsia="Georgia" w:cs="Georgia"/>
          <w:color w:val="2E2926"/>
          <w:sz w:val="20"/>
          <w:szCs w:val="20"/>
        </w:rPr>
        <w:t xml:space="preserve">Collection, the Bronze layer and the Silver layer are built and have run on the full historical load. The Gold layer and the dashboard are designed below and are still to be built.</w:t>
      </w:r>
    </w:p>
    <w:p>
      <w:pPr>
        <w:pStyle w:val="Heading2"/>
        <w:keepNext w:val="true"/>
        <w:keepLines/>
        <w:spacing w:before="300" w:after="100"/>
        <w:rPr/>
      </w:pPr>
      <w:r>
        <w:rPr>
          <w:rFonts w:eastAsia="Georgia" w:cs="Georgia" w:ascii="Georgia" w:hAnsi="Georgia"/>
          <w:b/>
          <w:bCs/>
          <w:color w:val="744354"/>
          <w:sz w:val="24"/>
          <w:szCs w:val="24"/>
        </w:rPr>
        <w:t xml:space="preserve">Research and practical value</w:t>
      </w:r>
    </w:p>
    <w:p>
      <w:pPr>
        <w:pStyle w:val="Normal"/>
        <w:widowControl/>
        <w:spacing w:lineRule="auto" w:line="336" w:before="0" w:after="150"/>
        <w:rPr/>
      </w:pPr>
      <w:r>
        <w:rPr>
          <w:rFonts w:eastAsia="Georgia" w:cs="Georgia"/>
          <w:color w:val="2E2926"/>
          <w:sz w:val="20"/>
          <w:szCs w:val="20"/>
        </w:rPr>
        <w:t xml:space="preserve">The research will examine changes in published capability, sensitivity to evaluation style, and the relationship between agent coordination, task success, and duration. The dashboard will help developers compare eligible models under explicit workload assumptions. Every comparison will retain its source and measurement context so readers can judge the evidence for themselves.</w:t>
      </w:r>
    </w:p>
    <w:p>
      <w:pPr>
        <w:pStyle w:val="Heading1"/>
        <w:keepNext w:val="true"/>
        <w:keepLines/>
        <w:pBdr>
          <w:bottom w:val="single" w:sz="8" w:space="6" w:color="B5593A"/>
        </w:pBdr>
        <w:spacing w:before="520" w:after="200"/>
        <w:rPr/>
      </w:pPr>
      <w:r>
        <w:rPr>
          <w:rFonts w:eastAsia="Georgia" w:cs="Georgia" w:ascii="Georgia" w:hAnsi="Georgia"/>
          <w:b/>
          <w:bCs/>
          <w:color w:val="B5593A"/>
          <w:sz w:val="34"/>
          <w:szCs w:val="34"/>
        </w:rPr>
        <w:t xml:space="preserve">1</w:t>
      </w:r>
      <w:r>
        <w:rPr>
          <w:rFonts w:eastAsia="Georgia" w:cs="Georgia" w:ascii="Georgia" w:hAnsi="Georgia"/>
          <w:b/>
          <w:bCs/>
          <w:color w:val="2A2321"/>
          <w:sz w:val="34"/>
          <w:szCs w:val="34"/>
        </w:rPr>
        <w:t xml:space="preserve"> Domain and source identification</w:t>
      </w:r>
    </w:p>
    <w:p>
      <w:pPr>
        <w:pStyle w:val="Normal"/>
        <w:widowControl/>
        <w:spacing w:lineRule="auto" w:line="336" w:before="0" w:after="150"/>
        <w:rPr/>
      </w:pPr>
      <w:r>
        <w:rPr>
          <w:rFonts w:eastAsia="Georgia" w:cs="Georgia"/>
          <w:color w:val="2E2926"/>
          <w:sz w:val="20"/>
          <w:szCs w:val="20"/>
        </w:rPr>
        <w:t xml:space="preserve">The domain is AI model evaluation and cost analytics. Four complementary sources will supply historical observations, subsequent publications, task-level outcomes, and model metadata. The links below identify the exact datasets and exports selected for ingestion.</w:t>
      </w:r>
    </w:p>
    <w:p>
      <w:pPr>
        <w:pStyle w:val="Heading2"/>
        <w:keepNext w:val="true"/>
        <w:keepLines/>
        <w:spacing w:before="300" w:after="100"/>
        <w:rPr/>
      </w:pPr>
      <w:r>
        <w:rPr>
          <w:rFonts w:eastAsia="Georgia" w:cs="Georgia" w:ascii="Georgia" w:hAnsi="Georgia"/>
          <w:b/>
          <w:bCs/>
          <w:color w:val="744354"/>
          <w:sz w:val="24"/>
          <w:szCs w:val="24"/>
        </w:rPr>
        <w:t xml:space="preserve">Arena evaluation data</w:t>
      </w:r>
    </w:p>
    <w:p>
      <w:pPr>
        <w:pStyle w:val="Normal"/>
        <w:spacing w:before="0" w:after="220"/>
        <w:ind w:start="200"/>
        <w:rPr/>
      </w:pPr>
      <w:hyperlink r:id="rId3">
        <w:r>
          <w:rPr>
            <w:rStyle w:val="Hyperlink"/>
            <w:rFonts w:eastAsia="Trebuchet MS" w:cs="Trebuchet MS" w:ascii="Trebuchet MS" w:hAnsi="Trebuchet MS"/>
            <w:color w:val="8A3A32"/>
            <w:sz w:val="18"/>
            <w:szCs w:val="18"/>
            <w:u w:val="single" w:color="D9B8AE"/>
          </w:rPr>
          <w:t xml:space="preserve">Arena leaderboard dataset</w:t>
        </w:r>
      </w:hyperlink>
    </w:p>
    <w:p>
      <w:pPr>
        <w:pStyle w:val="Normal"/>
        <w:widowControl/>
        <w:spacing w:lineRule="auto" w:line="336" w:before="0" w:after="150"/>
        <w:rPr/>
      </w:pPr>
      <w:r>
        <w:rPr>
          <w:rFonts w:eastAsia="Georgia" w:cs="Georgia"/>
          <w:color w:val="2E2926"/>
          <w:sz w:val="20"/>
          <w:szCs w:val="20"/>
        </w:rPr>
        <w:t xml:space="preserve">The full load ingests standard text, style-controlled text, web development, and agent evaluation histories. These subsets support capability trends and comparison of ranking sensitivity to style. Standard and style-controlled results remain separate because they describe related evaluation evidence.</w:t>
      </w:r>
    </w:p>
    <w:p>
      <w:pPr>
        <w:pStyle w:val="Normal"/>
        <w:spacing w:before="0" w:after="50"/>
        <w:ind w:start="200"/>
        <w:rPr/>
      </w:pPr>
      <w:hyperlink r:id="rId4">
        <w:r>
          <w:rPr>
            <w:rStyle w:val="Hyperlink"/>
            <w:rFonts w:eastAsia="Trebuchet MS" w:cs="Trebuchet MS" w:ascii="Trebuchet MS" w:hAnsi="Trebuchet MS"/>
            <w:color w:val="8A3A32"/>
            <w:sz w:val="18"/>
            <w:szCs w:val="18"/>
            <w:u w:val="single" w:color="D9B8AE"/>
          </w:rPr>
          <w:t xml:space="preserve">Standard text full load</w:t>
        </w:r>
      </w:hyperlink>
    </w:p>
    <w:p>
      <w:pPr>
        <w:pStyle w:val="Normal"/>
        <w:spacing w:before="0" w:after="50"/>
        <w:ind w:start="200"/>
        <w:rPr/>
      </w:pPr>
      <w:hyperlink r:id="rId5">
        <w:r>
          <w:rPr>
            <w:rStyle w:val="Hyperlink"/>
            <w:rFonts w:eastAsia="Trebuchet MS" w:cs="Trebuchet MS" w:ascii="Trebuchet MS" w:hAnsi="Trebuchet MS"/>
            <w:color w:val="8A3A32"/>
            <w:sz w:val="18"/>
            <w:szCs w:val="18"/>
            <w:u w:val="single" w:color="D9B8AE"/>
          </w:rPr>
          <w:t xml:space="preserve">Style-controlled text full load</w:t>
        </w:r>
      </w:hyperlink>
    </w:p>
    <w:p>
      <w:pPr>
        <w:pStyle w:val="Normal"/>
        <w:spacing w:before="0" w:after="50"/>
        <w:ind w:start="200"/>
        <w:rPr/>
      </w:pPr>
      <w:hyperlink r:id="rId6">
        <w:r>
          <w:rPr>
            <w:rStyle w:val="Hyperlink"/>
            <w:rFonts w:eastAsia="Trebuchet MS" w:cs="Trebuchet MS" w:ascii="Trebuchet MS" w:hAnsi="Trebuchet MS"/>
            <w:color w:val="8A3A32"/>
            <w:sz w:val="18"/>
            <w:szCs w:val="18"/>
            <w:u w:val="single" w:color="D9B8AE"/>
          </w:rPr>
          <w:t xml:space="preserve">Web development full load</w:t>
        </w:r>
      </w:hyperlink>
    </w:p>
    <w:p>
      <w:pPr>
        <w:pStyle w:val="Normal"/>
        <w:spacing w:before="0" w:after="220"/>
        <w:ind w:start="200"/>
        <w:rPr/>
      </w:pPr>
      <w:hyperlink r:id="rId7">
        <w:r>
          <w:rPr>
            <w:rStyle w:val="Hyperlink"/>
            <w:rFonts w:eastAsia="Trebuchet MS" w:cs="Trebuchet MS" w:ascii="Trebuchet MS" w:hAnsi="Trebuchet MS"/>
            <w:color w:val="8A3A32"/>
            <w:sz w:val="18"/>
            <w:szCs w:val="18"/>
            <w:u w:val="single" w:color="D9B8AE"/>
          </w:rPr>
          <w:t xml:space="preserve">Agent evaluation full load</w:t>
        </w:r>
      </w:hyperlink>
    </w:p>
    <w:p>
      <w:pPr>
        <w:pStyle w:val="Normal"/>
        <w:widowControl/>
        <w:spacing w:lineRule="auto" w:line="336" w:before="0" w:after="150"/>
        <w:rPr/>
      </w:pPr>
      <w:r>
        <w:rPr>
          <w:rFonts w:eastAsia="Georgia" w:cs="Georgia"/>
          <w:color w:val="2E2926"/>
          <w:sz w:val="20"/>
          <w:szCs w:val="20"/>
        </w:rPr>
        <w:t xml:space="preserve">Incremental collection compares each latest Parquet file with the SHA-256 recorded on the previous run and stages only the files that changed. Original Parquet payloads stay intact. Arena labels the dataset CC BY 4.0.</w:t>
      </w:r>
    </w:p>
    <w:p>
      <w:pPr>
        <w:pStyle w:val="Heading2"/>
        <w:keepNext w:val="true"/>
        <w:keepLines/>
        <w:spacing w:before="300" w:after="100"/>
        <w:rPr/>
      </w:pPr>
      <w:r>
        <w:rPr>
          <w:rFonts w:eastAsia="Georgia" w:cs="Georgia" w:ascii="Georgia" w:hAnsi="Georgia"/>
          <w:b/>
          <w:bCs/>
          <w:color w:val="744354"/>
          <w:sz w:val="24"/>
          <w:szCs w:val="24"/>
        </w:rPr>
        <w:t xml:space="preserve">CooperBench agent coordination study</w:t>
      </w:r>
    </w:p>
    <w:p>
      <w:pPr>
        <w:pStyle w:val="Normal"/>
        <w:spacing w:before="0" w:after="220"/>
        <w:ind w:start="200"/>
        <w:rPr/>
      </w:pPr>
      <w:hyperlink r:id="rId8">
        <w:r>
          <w:rPr>
            <w:rStyle w:val="Hyperlink"/>
            <w:rFonts w:eastAsia="Trebuchet MS" w:cs="Trebuchet MS" w:ascii="Trebuchet MS" w:hAnsi="Trebuchet MS"/>
            <w:color w:val="8A3A32"/>
            <w:sz w:val="18"/>
            <w:szCs w:val="18"/>
            <w:u w:val="single" w:color="D9B8AE"/>
          </w:rPr>
          <w:t xml:space="preserve">CooperBench original study archives</w:t>
        </w:r>
      </w:hyperlink>
    </w:p>
    <w:p>
      <w:pPr>
        <w:pStyle w:val="Normal"/>
        <w:widowControl/>
        <w:spacing w:lineRule="auto" w:line="336" w:before="0" w:after="150"/>
        <w:rPr/>
      </w:pPr>
      <w:r>
        <w:rPr>
          <w:rFonts w:eastAsia="Georgia" w:cs="Georgia"/>
          <w:color w:val="2E2926"/>
          <w:sz w:val="20"/>
          <w:szCs w:val="20"/>
        </w:rPr>
        <w:t xml:space="preserve">The full load acquires four complete study settings: a single agent, cooperation through shared Git, a full team harness, and a team harness without protocol verbs. The study is intended to cover 652 task pairs per setting. Results, evaluations, and traces make it possible to compare task completion, duration, and merge outcomes within one study.</w:t>
      </w:r>
    </w:p>
    <w:p>
      <w:pPr>
        <w:pStyle w:val="Normal"/>
        <w:spacing w:before="0" w:after="50"/>
        <w:ind w:start="200"/>
        <w:rPr/>
      </w:pPr>
      <w:hyperlink r:id="rId9">
        <w:r>
          <w:rPr>
            <w:rStyle w:val="Hyperlink"/>
            <w:rFonts w:eastAsia="Trebuchet MS" w:cs="Trebuchet MS" w:ascii="Trebuchet MS" w:hAnsi="Trebuchet MS"/>
            <w:color w:val="8A3A32"/>
            <w:sz w:val="18"/>
            <w:szCs w:val="18"/>
            <w:u w:val="single" w:color="D9B8AE"/>
          </w:rPr>
          <w:t xml:space="preserve">Single agent archive</w:t>
        </w:r>
      </w:hyperlink>
    </w:p>
    <w:p>
      <w:pPr>
        <w:pStyle w:val="Normal"/>
        <w:spacing w:before="0" w:after="50"/>
        <w:ind w:start="200"/>
        <w:rPr/>
      </w:pPr>
      <w:hyperlink r:id="rId10">
        <w:r>
          <w:rPr>
            <w:rStyle w:val="Hyperlink"/>
            <w:rFonts w:eastAsia="Trebuchet MS" w:cs="Trebuchet MS" w:ascii="Trebuchet MS" w:hAnsi="Trebuchet MS"/>
            <w:color w:val="8A3A32"/>
            <w:sz w:val="18"/>
            <w:szCs w:val="18"/>
            <w:u w:val="single" w:color="D9B8AE"/>
          </w:rPr>
          <w:t xml:space="preserve">Shared Git cooperation archive</w:t>
        </w:r>
      </w:hyperlink>
    </w:p>
    <w:p>
      <w:pPr>
        <w:pStyle w:val="Normal"/>
        <w:spacing w:before="0" w:after="50"/>
        <w:ind w:start="200"/>
        <w:rPr/>
      </w:pPr>
      <w:hyperlink r:id="rId11">
        <w:r>
          <w:rPr>
            <w:rStyle w:val="Hyperlink"/>
            <w:rFonts w:eastAsia="Trebuchet MS" w:cs="Trebuchet MS" w:ascii="Trebuchet MS" w:hAnsi="Trebuchet MS"/>
            <w:color w:val="8A3A32"/>
            <w:sz w:val="18"/>
            <w:szCs w:val="18"/>
            <w:u w:val="single" w:color="D9B8AE"/>
          </w:rPr>
          <w:t xml:space="preserve">Full team archive</w:t>
        </w:r>
      </w:hyperlink>
    </w:p>
    <w:p>
      <w:pPr>
        <w:pStyle w:val="Normal"/>
        <w:spacing w:before="0" w:after="220"/>
        <w:ind w:start="200"/>
        <w:rPr/>
      </w:pPr>
      <w:hyperlink r:id="rId12">
        <w:r>
          <w:rPr>
            <w:rStyle w:val="Hyperlink"/>
            <w:rFonts w:eastAsia="Trebuchet MS" w:cs="Trebuchet MS" w:ascii="Trebuchet MS" w:hAnsi="Trebuchet MS"/>
            <w:color w:val="8A3A32"/>
            <w:sz w:val="18"/>
            <w:szCs w:val="18"/>
            <w:u w:val="single" w:color="D9B8AE"/>
          </w:rPr>
          <w:t xml:space="preserve">Team without protocol archive</w:t>
        </w:r>
      </w:hyperlink>
    </w:p>
    <w:p>
      <w:pPr>
        <w:pStyle w:val="Normal"/>
        <w:widowControl/>
        <w:spacing w:lineRule="auto" w:line="336" w:before="0" w:after="150"/>
        <w:rPr/>
      </w:pPr>
      <w:r>
        <w:rPr>
          <w:rFonts w:eastAsia="Georgia" w:cs="Georgia"/>
          <w:color w:val="2E2926"/>
          <w:sz w:val="20"/>
          <w:szCs w:val="20"/>
        </w:rPr>
        <w:t xml:space="preserve">The original compressed archives are preserved, and their JSON members are extracted without changing the source values. Each run checks the archives for a corrected revision. This historical study has no guaranteed regular additions, so most runs add nothing. The dataset card specifies Apache 2.0.</w:t>
      </w:r>
    </w:p>
    <w:p>
      <w:pPr>
        <w:pStyle w:val="Heading2"/>
        <w:keepNext w:val="true"/>
        <w:keepLines/>
        <w:spacing w:before="300" w:after="100"/>
        <w:rPr/>
      </w:pPr>
      <w:r>
        <w:rPr>
          <w:rFonts w:eastAsia="Georgia" w:cs="Georgia" w:ascii="Georgia" w:hAnsi="Georgia"/>
          <w:b/>
          <w:bCs/>
          <w:color w:val="744354"/>
          <w:sz w:val="24"/>
          <w:szCs w:val="24"/>
        </w:rPr>
        <w:t xml:space="preserve">BenchLM models, benchmarks and pricing</w:t>
      </w:r>
    </w:p>
    <w:p>
      <w:pPr>
        <w:pStyle w:val="Normal"/>
        <w:spacing w:before="0" w:after="50"/>
        <w:ind w:start="200"/>
        <w:rPr/>
      </w:pPr>
      <w:hyperlink r:id="rId13">
        <w:r>
          <w:rPr>
            <w:rStyle w:val="Hyperlink"/>
            <w:rFonts w:eastAsia="Trebuchet MS" w:cs="Trebuchet MS" w:ascii="Trebuchet MS" w:hAnsi="Trebuchet MS"/>
            <w:color w:val="8A3A32"/>
            <w:sz w:val="18"/>
            <w:szCs w:val="18"/>
            <w:u w:val="single" w:color="D9B8AE"/>
          </w:rPr>
          <w:t xml:space="preserve">BenchLM models JSON export</w:t>
        </w:r>
      </w:hyperlink>
    </w:p>
    <w:p>
      <w:pPr>
        <w:pStyle w:val="Normal"/>
        <w:spacing w:before="0" w:after="50"/>
        <w:ind w:start="200"/>
        <w:rPr/>
      </w:pPr>
      <w:hyperlink r:id="rId14">
        <w:r>
          <w:rPr>
            <w:rStyle w:val="Hyperlink"/>
            <w:rFonts w:eastAsia="Trebuchet MS" w:cs="Trebuchet MS" w:ascii="Trebuchet MS" w:hAnsi="Trebuchet MS"/>
            <w:color w:val="8A3A32"/>
            <w:sz w:val="18"/>
            <w:szCs w:val="18"/>
            <w:u w:val="single" w:color="D9B8AE"/>
          </w:rPr>
          <w:t xml:space="preserve">BenchLM benchmarks JSON export</w:t>
        </w:r>
      </w:hyperlink>
    </w:p>
    <w:p>
      <w:pPr>
        <w:pStyle w:val="Normal"/>
        <w:spacing w:before="0" w:after="50"/>
        <w:ind w:start="200"/>
        <w:rPr/>
      </w:pPr>
      <w:hyperlink r:id="rId15">
        <w:r>
          <w:rPr>
            <w:rStyle w:val="Hyperlink"/>
            <w:rFonts w:eastAsia="Trebuchet MS" w:cs="Trebuchet MS" w:ascii="Trebuchet MS" w:hAnsi="Trebuchet MS"/>
            <w:color w:val="8A3A32"/>
            <w:sz w:val="18"/>
            <w:szCs w:val="18"/>
            <w:u w:val="single" w:color="D9B8AE"/>
          </w:rPr>
          <w:t xml:space="preserve">BenchLM pricing JSON export</w:t>
        </w:r>
      </w:hyperlink>
    </w:p>
    <w:p>
      <w:pPr>
        <w:pStyle w:val="Normal"/>
        <w:spacing w:before="0" w:after="220"/>
        <w:ind w:start="200"/>
        <w:rPr/>
      </w:pPr>
      <w:hyperlink r:id="rId16">
        <w:r>
          <w:rPr>
            <w:rStyle w:val="Hyperlink"/>
            <w:rFonts w:eastAsia="Trebuchet MS" w:cs="Trebuchet MS" w:ascii="Trebuchet MS" w:hAnsi="Trebuchet MS"/>
            <w:color w:val="8A3A32"/>
            <w:sz w:val="18"/>
            <w:szCs w:val="18"/>
            <w:u w:val="single" w:color="D9B8AE"/>
          </w:rPr>
          <w:t xml:space="preserve">BenchLM download documentation and licence</w:t>
        </w:r>
      </w:hyperlink>
    </w:p>
    <w:p>
      <w:pPr>
        <w:pStyle w:val="Normal"/>
        <w:widowControl/>
        <w:spacing w:lineRule="auto" w:line="336" w:before="0" w:after="150"/>
        <w:rPr/>
      </w:pPr>
      <w:r>
        <w:rPr>
          <w:rFonts w:eastAsia="Georgia" w:cs="Georgia"/>
          <w:color w:val="2E2926"/>
          <w:sz w:val="20"/>
          <w:szCs w:val="20"/>
        </w:rPr>
        <w:t xml:space="preserve">The initial load takes the complete exports. Later snapshots are compared by the SHA-256 of the whole file, so a changed export becomes a new snapshot and an unchanged one adds nothing. Silver then compares record content to find new or changed models, benchmark definitions, and prices. Price history begins with the observations collected by the platform; current prices cannot reconstruct earlier tariffs. Website exports carry CC BY-NC 4.0 and are used for noncommercial analysis.</w:t>
      </w:r>
    </w:p>
    <w:p>
      <w:pPr>
        <w:pStyle w:val="Heading2"/>
        <w:keepNext w:val="true"/>
        <w:keepLines/>
        <w:spacing w:before="300" w:after="100"/>
        <w:rPr/>
      </w:pPr>
      <w:r>
        <w:rPr>
          <w:rFonts w:eastAsia="Georgia" w:cs="Georgia" w:ascii="Georgia" w:hAnsi="Georgia"/>
          <w:b/>
          <w:bCs/>
          <w:color w:val="744354"/>
          <w:sz w:val="24"/>
          <w:szCs w:val="24"/>
        </w:rPr>
        <w:t xml:space="preserve">Epoch AI model releases</w:t>
      </w:r>
    </w:p>
    <w:p>
      <w:pPr>
        <w:pStyle w:val="Normal"/>
        <w:spacing w:before="0" w:after="50"/>
        <w:ind w:start="200"/>
        <w:rPr/>
      </w:pPr>
      <w:hyperlink r:id="rId17">
        <w:r>
          <w:rPr>
            <w:rStyle w:val="Hyperlink"/>
            <w:rFonts w:eastAsia="Trebuchet MS" w:cs="Trebuchet MS" w:ascii="Trebuchet MS" w:hAnsi="Trebuchet MS"/>
            <w:color w:val="8A3A32"/>
            <w:sz w:val="18"/>
            <w:szCs w:val="18"/>
            <w:u w:val="single" w:color="D9B8AE"/>
          </w:rPr>
          <w:t xml:space="preserve">Epoch AI model CSV export</w:t>
        </w:r>
      </w:hyperlink>
    </w:p>
    <w:p>
      <w:pPr>
        <w:pStyle w:val="Normal"/>
        <w:spacing w:before="0" w:after="50"/>
        <w:ind w:start="200"/>
        <w:rPr/>
      </w:pPr>
      <w:hyperlink r:id="rId18">
        <w:r>
          <w:rPr>
            <w:rStyle w:val="Hyperlink"/>
            <w:rFonts w:eastAsia="Trebuchet MS" w:cs="Trebuchet MS" w:ascii="Trebuchet MS" w:hAnsi="Trebuchet MS"/>
            <w:color w:val="8A3A32"/>
            <w:sz w:val="18"/>
            <w:szCs w:val="18"/>
            <w:u w:val="single" w:color="D9B8AE"/>
          </w:rPr>
          <w:t xml:space="preserve">Epoch AI model documentation</w:t>
        </w:r>
      </w:hyperlink>
    </w:p>
    <w:p>
      <w:pPr>
        <w:pStyle w:val="Normal"/>
        <w:spacing w:before="0" w:after="220"/>
        <w:ind w:start="200"/>
        <w:rPr/>
      </w:pPr>
      <w:hyperlink r:id="rId19">
        <w:r>
          <w:rPr>
            <w:rStyle w:val="Hyperlink"/>
            <w:rFonts w:eastAsia="Trebuchet MS" w:cs="Trebuchet MS" w:ascii="Trebuchet MS" w:hAnsi="Trebuchet MS"/>
            <w:color w:val="8A3A32"/>
            <w:sz w:val="18"/>
            <w:szCs w:val="18"/>
            <w:u w:val="single" w:color="D9B8AE"/>
          </w:rPr>
          <w:t xml:space="preserve">Epoch AI update documentation</w:t>
        </w:r>
      </w:hyperlink>
    </w:p>
    <w:p>
      <w:pPr>
        <w:pStyle w:val="Normal"/>
        <w:widowControl/>
        <w:spacing w:lineRule="auto" w:line="336" w:before="0" w:after="150"/>
        <w:rPr/>
      </w:pPr>
      <w:r>
        <w:rPr>
          <w:rFonts w:eastAsia="Georgia" w:cs="Georgia"/>
          <w:color w:val="2E2926"/>
          <w:sz w:val="20"/>
          <w:szCs w:val="20"/>
        </w:rPr>
        <w:t xml:space="preserve">The full CSV supplies historical model and release metadata. Epoch documents daily updates, so most changed snapshots come from this source. Each snapshot is compared with the previous one and the source is attributed. Author fields and unreviewed free text are excluded from public samples.</w:t>
      </w:r>
    </w:p>
    <w:p>
      <w:pPr>
        <w:pStyle w:val="Heading2"/>
        <w:keepNext w:val="true"/>
        <w:keepLines/>
        <w:spacing w:before="300" w:after="100"/>
        <w:rPr/>
      </w:pPr>
      <w:r>
        <w:rPr>
          <w:rFonts w:eastAsia="Georgia" w:cs="Georgia" w:ascii="Georgia" w:hAnsi="Georgia"/>
          <w:b/>
          <w:bCs/>
          <w:color w:val="744354"/>
          <w:sz w:val="24"/>
          <w:szCs w:val="24"/>
        </w:rPr>
        <w:t xml:space="preserve">Collection schedule and record changes</w:t>
      </w:r>
    </w:p>
    <w:p>
      <w:pPr>
        <w:pStyle w:val="Normal"/>
        <w:widowControl/>
        <w:spacing w:lineRule="auto" w:line="336" w:before="0" w:after="150"/>
        <w:rPr/>
      </w:pPr>
      <w:r>
        <w:rPr>
          <w:rFonts w:eastAsia="Georgia" w:cs="Georgia"/>
          <w:color w:val="2E2926"/>
          <w:sz w:val="20"/>
          <w:szCs w:val="20"/>
        </w:rPr>
        <w:t xml:space="preserve">The collector runs on GitHub Actions every Monday, Wednesday and Friday at 03:00 UTC (08:00 in Pakistan) and uploads each batch, with a manifest, to a Databricks volume. The schedule follows how often the sources change: Epoch updates daily, BenchLM one to three times a week, and Arena and CooperBench irregularly. Three runs a week catch Epoch changes quickly without wasting compute.</w:t>
      </w:r>
    </w:p>
    <w:p>
      <w:pPr>
        <w:pStyle w:val="Normal"/>
        <w:widowControl/>
        <w:spacing w:lineRule="auto" w:line="336" w:before="0" w:after="150"/>
        <w:rPr/>
      </w:pPr>
      <w:r>
        <w:rPr>
          <w:rFonts w:eastAsia="Georgia" w:cs="Georgia"/>
          <w:color w:val="2E2926"/>
          <w:sz w:val="20"/>
          <w:szCs w:val="20"/>
        </w:rPr>
        <w:t xml:space="preserve">Each batch has an identifier built from its UTC time and a manifest that is uploaded last and marks the batch as complete, so a half-finished upload is never loaded. A full load must be at least 150 MB and an incremental batch at least 1 MB. The collector refuses a smaller incremental batch, logs it, and leaves its changes for the next run.</w:t>
      </w:r>
    </w:p>
    <w:p>
      <w:pPr>
        <w:pStyle w:val="Normal"/>
        <w:widowControl/>
        <w:spacing w:lineRule="auto" w:line="336" w:before="0" w:after="150"/>
        <w:rPr/>
      </w:pPr>
      <w:r>
        <w:rPr>
          <w:rFonts w:eastAsia="Georgia" w:cs="Georgia"/>
          <w:color w:val="2E2926"/>
          <w:sz w:val="20"/>
          <w:szCs w:val="20"/>
        </w:rPr>
        <w:t xml:space="preserve">Changed records are handled by upsert. A row in Silver is updated only when a newer batch carries different content, and an older batch loaded later cannot overwrite it. Deletions are not applied. A record that disappears from a later snapshot stays in Silver, and the Bronze snapshots keep the evidence of the change. A failed or incomplete download is never read as a deletion.</w:t>
      </w:r>
    </w:p>
    <w:p>
      <w:pPr>
        <w:pStyle w:val="Heading2"/>
        <w:keepNext w:val="true"/>
        <w:keepLines/>
        <w:spacing w:before="300" w:after="100"/>
        <w:rPr/>
      </w:pPr>
      <w:r>
        <w:rPr>
          <w:rFonts w:eastAsia="Georgia" w:cs="Georgia" w:ascii="Georgia" w:hAnsi="Georgia"/>
          <w:b/>
          <w:bCs/>
          <w:color w:val="744354"/>
          <w:sz w:val="24"/>
          <w:szCs w:val="24"/>
        </w:rPr>
        <w:t xml:space="preserve">Model identity and comparison boundaries</w:t>
      </w:r>
    </w:p>
    <w:p>
      <w:pPr>
        <w:pStyle w:val="Normal"/>
        <w:widowControl/>
        <w:spacing w:lineRule="auto" w:line="336" w:before="0" w:after="150"/>
        <w:rPr/>
      </w:pPr>
      <w:r>
        <w:rPr>
          <w:rFonts w:eastAsia="Georgia" w:cs="Georgia"/>
          <w:color w:val="2E2926"/>
          <w:sz w:val="20"/>
          <w:szCs w:val="20"/>
        </w:rPr>
        <w:t xml:space="preserve">Silver derives a normalized model key from each source's model name, in lower case with punctuation replaced by hyphens. Gold will connect these keys across sources through a reviewed alias table. Model versions, reasoning settings, deployment modes, and evaluation harnesses stay distinguishable. Exact matches are reviewed before prices or scores are combined, and unresolved identities keep their source-specific keys and remain visible in the dashboard.</w:t>
      </w:r>
    </w:p>
    <w:p>
      <w:pPr>
        <w:pStyle w:val="Normal"/>
        <w:widowControl/>
        <w:spacing w:lineRule="auto" w:line="336" w:before="0" w:after="150"/>
        <w:rPr/>
      </w:pPr>
      <w:r>
        <w:rPr>
          <w:rFonts w:eastAsia="Georgia" w:cs="Georgia"/>
          <w:color w:val="2E2926"/>
          <w:sz w:val="20"/>
          <w:szCs w:val="20"/>
        </w:rPr>
        <w:t xml:space="preserve">CooperBench identifies a Codex harness and an Azure OpenAI deployment named gpt-5.5-hao. This name will be retained as a deployment alias, with the source-reported organization recorded. It will not be assumed to match a public API pricing entry.</w:t>
      </w:r>
    </w:p>
    <w:p>
      <w:pPr>
        <w:pStyle w:val="Heading1"/>
        <w:keepNext w:val="true"/>
        <w:keepLines/>
        <w:pBdr>
          <w:bottom w:val="single" w:sz="8" w:space="6" w:color="B5593A"/>
        </w:pBdr>
        <w:spacing w:before="520" w:after="200"/>
        <w:rPr/>
      </w:pPr>
      <w:r>
        <w:rPr>
          <w:rFonts w:eastAsia="Georgia" w:cs="Georgia" w:ascii="Georgia" w:hAnsi="Georgia"/>
          <w:b/>
          <w:bCs/>
          <w:color w:val="B5593A"/>
          <w:sz w:val="34"/>
          <w:szCs w:val="34"/>
        </w:rPr>
        <w:t xml:space="preserve">2</w:t>
      </w:r>
      <w:r>
        <w:rPr>
          <w:rFonts w:eastAsia="Georgia" w:cs="Georgia" w:ascii="Georgia" w:hAnsi="Georgia"/>
          <w:b/>
          <w:bCs/>
          <w:color w:val="2A2321"/>
          <w:sz w:val="34"/>
          <w:szCs w:val="34"/>
        </w:rPr>
        <w:t xml:space="preserve"> Data samples and volume</w:t>
      </w:r>
    </w:p>
    <w:p>
      <w:pPr>
        <w:pStyle w:val="Heading2"/>
        <w:keepNext w:val="true"/>
        <w:keepLines/>
        <w:spacing w:before="300" w:after="100"/>
        <w:rPr/>
      </w:pPr>
      <w:r>
        <w:rPr>
          <w:rFonts w:eastAsia="Georgia" w:cs="Georgia" w:ascii="Georgia" w:hAnsi="Georgia"/>
          <w:b/>
          <w:bCs/>
          <w:color w:val="744354"/>
          <w:sz w:val="24"/>
          <w:szCs w:val="24"/>
        </w:rPr>
        <w:t xml:space="preserve">Representative raw files</w:t>
      </w:r>
    </w:p>
    <w:p>
      <w:pPr>
        <w:pStyle w:val="Normal"/>
        <w:widowControl/>
        <w:spacing w:lineRule="auto" w:line="336" w:before="0" w:after="150"/>
        <w:rPr/>
      </w:pPr>
      <w:r>
        <w:rPr>
          <w:rFonts w:eastAsia="Georgia" w:cs="Georgia"/>
          <w:color w:val="2E2926"/>
          <w:sz w:val="20"/>
          <w:szCs w:val="20"/>
        </w:rPr>
        <w:t xml:space="preserve">The sample package contains historical full-load examples and a subsequent incremental payload. Arena full-load samples contain 100 rows from each selected history, preserving source values and physical types. The incremental samples are complete, unchanged native Parquet files. CooperBench samples are unchanged result JSON members from each study setting.</w:t>
      </w:r>
    </w:p>
    <w:p>
      <w:pPr>
        <w:pStyle w:val="Normal"/>
        <w:widowControl/>
        <w:spacing w:lineRule="auto" w:line="336" w:before="0" w:after="150"/>
        <w:rPr/>
      </w:pPr>
      <w:r>
        <w:rPr>
          <w:rFonts w:eastAsia="Georgia" w:cs="Georgia"/>
          <w:color w:val="2E2926"/>
          <w:sz w:val="20"/>
          <w:szCs w:val="20"/>
        </w:rPr>
        <w:t xml:space="preserve">A manifest identifies the source revision, selection method, original file size, row count where applicable, and SHA-256 checksum. Historical subsets are representative samples; their serialization sizes are not used to measure the full baseline. The small samples and source notices are stored in the sample_data folder of the repository.</w:t>
      </w:r>
    </w:p>
    <w:p>
      <w:pPr>
        <w:pStyle w:val="Heading2"/>
        <w:keepNext w:val="true"/>
        <w:keepLines/>
        <w:spacing w:before="300" w:after="100"/>
        <w:rPr/>
      </w:pPr>
      <w:r>
        <w:rPr>
          <w:rFonts w:eastAsia="Georgia" w:cs="Georgia" w:ascii="Georgia" w:hAnsi="Georgia"/>
          <w:b/>
          <w:bCs/>
          <w:color w:val="744354"/>
          <w:sz w:val="24"/>
          <w:szCs w:val="24"/>
        </w:rPr>
        <w:t xml:space="preserve">Initial source volume</w:t>
      </w:r>
    </w:p>
    <w:tbl>
      <w:tblPr>
        <w:tblW w:w="9360" w:type="dxa"/>
        <w:jc w:val="center"/>
        <w:tblInd w:w="0" w:type="dxa"/>
        <w:tblLayout w:type="fixed"/>
        <w:tblCellMar>
          <w:top w:w="100" w:type="dxa"/>
          <w:start w:w="120" w:type="dxa"/>
          <w:bottom w:w="100" w:type="dxa"/>
          <w:end w:w="120" w:type="dxa"/>
        </w:tblCellMar>
      </w:tblPr>
      <w:tblGrid>
        <w:gridCol w:w="7060"/>
        <w:gridCol w:w="2300"/>
      </w:tblGrid>
      <w:tr>
        <w:trPr>
          <w:tblHeader w:val="true"/>
          <w:cantSplit/>
        </w:trPr>
        <w:tc>
          <w:tcPr>
            <w:tcW w:w="7060"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start"/>
              <w:rPr/>
            </w:pPr>
            <w:r>
              <w:rPr>
                <w:rFonts w:eastAsia="Trebuchet MS" w:cs="Trebuchet MS" w:ascii="Trebuchet MS" w:hAnsi="Trebuchet MS"/>
                <w:b/>
                <w:bCs/>
                <w:caps/>
                <w:color w:val="8A3A32"/>
                <w:spacing w:val="24"/>
                <w:sz w:val="16"/>
                <w:szCs w:val="16"/>
              </w:rPr>
              <w:t xml:space="preserve">Selected source payload</w:t>
            </w:r>
          </w:p>
        </w:tc>
        <w:tc>
          <w:tcPr>
            <w:tcW w:w="2300"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end"/>
              <w:rPr/>
            </w:pPr>
            <w:r>
              <w:rPr>
                <w:rFonts w:eastAsia="Trebuchet MS" w:cs="Trebuchet MS" w:ascii="Trebuchet MS" w:hAnsi="Trebuchet MS"/>
                <w:b/>
                <w:bCs/>
                <w:caps/>
                <w:color w:val="8A3A32"/>
                <w:spacing w:val="24"/>
                <w:sz w:val="16"/>
                <w:szCs w:val="16"/>
              </w:rPr>
              <w:t xml:space="preserve">Size MB</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Arena standard text history</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57.68</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Arena style-controlled text history</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51.09</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Arena web development history</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1.15</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Arena agent evaluation history</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0.07</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single agent archive</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14.53</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shared Git archive</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30.51</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full team archive</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30.63</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team without protocol archive</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30.70</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Core full load</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216.37</w:t>
            </w:r>
          </w:p>
        </w:tc>
      </w:tr>
      <w:tr>
        <w:trPr>
          <w:cantSplit/>
        </w:trPr>
        <w:tc>
          <w:tcPr>
            <w:tcW w:w="70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BenchLM and Epoch supplementary exports</w:t>
            </w:r>
          </w:p>
        </w:tc>
        <w:tc>
          <w:tcPr>
            <w:tcW w:w="23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10.18</w:t>
            </w:r>
          </w:p>
        </w:tc>
      </w:tr>
      <w:tr>
        <w:trPr>
          <w:cantSplit/>
        </w:trPr>
        <w:tc>
          <w:tcPr>
            <w:tcW w:w="7060" w:type="dxa"/>
            <w:tcBorders>
              <w:bottom w:val="single" w:sz="12" w:space="0" w:color="2A2321"/>
            </w:tcBorders>
            <w:shd w:color="auto" w:fill="F7F0EA" w:val="clear"/>
            <w:vAlign w:val="center"/>
          </w:tcPr>
          <w:p>
            <w:pPr>
              <w:pStyle w:val="Normal"/>
              <w:keepNext w:val="false"/>
              <w:spacing w:lineRule="auto" w:line="276" w:before="0" w:after="0"/>
              <w:jc w:val="start"/>
              <w:rPr/>
            </w:pPr>
            <w:r>
              <w:rPr>
                <w:rFonts w:eastAsia="Georgia" w:cs="Georgia"/>
                <w:b/>
                <w:bCs/>
                <w:color w:val="2A2321"/>
                <w:sz w:val="19"/>
                <w:szCs w:val="19"/>
              </w:rPr>
              <w:t xml:space="preserve">Expected combined initial acquisition</w:t>
            </w:r>
          </w:p>
        </w:tc>
        <w:tc>
          <w:tcPr>
            <w:tcW w:w="2300" w:type="dxa"/>
            <w:tcBorders>
              <w:bottom w:val="single" w:sz="12" w:space="0" w:color="2A2321"/>
            </w:tcBorders>
            <w:shd w:color="auto" w:fill="F7F0EA" w:val="clear"/>
            <w:vAlign w:val="center"/>
          </w:tcPr>
          <w:p>
            <w:pPr>
              <w:pStyle w:val="Normal"/>
              <w:keepNext w:val="false"/>
              <w:spacing w:lineRule="auto" w:line="276" w:before="0" w:after="0"/>
              <w:jc w:val="end"/>
              <w:rPr/>
            </w:pPr>
            <w:r>
              <w:rPr>
                <w:rFonts w:eastAsia="Trebuchet MS" w:cs="Trebuchet MS" w:ascii="Trebuchet MS" w:hAnsi="Trebuchet MS"/>
                <w:b/>
                <w:bCs/>
                <w:color w:val="2E2926"/>
                <w:sz w:val="18"/>
                <w:szCs w:val="18"/>
              </w:rPr>
              <w:t xml:space="preserve">Approximately 227</w:t>
            </w:r>
          </w:p>
        </w:tc>
      </w:tr>
    </w:tbl>
    <w:p>
      <w:pPr>
        <w:pStyle w:val="Normal"/>
        <w:spacing w:lineRule="exact" w:line="120" w:before="0" w:after="100"/>
        <w:rPr/>
      </w:pPr>
    </w:p>
    <w:p>
      <w:pPr>
        <w:pStyle w:val="Normal"/>
        <w:widowControl/>
        <w:spacing w:lineRule="auto" w:line="336" w:before="0" w:after="150"/>
        <w:rPr/>
      </w:pPr>
      <w:r>
        <w:rPr>
          <w:rFonts w:eastAsia="Georgia" w:cs="Georgia"/>
          <w:color w:val="2E2926"/>
          <w:sz w:val="20"/>
          <w:szCs w:val="20"/>
        </w:rPr>
        <w:t xml:space="preserve">All sizes use decimal MB. Arena sizes refer to original Parquet payloads, and CooperBench sizes refer to original compressed archives. The archives expand to approximately 1,044 MB of file contents; this decoded footprint is separate from the 106.37 MB received from the source.</w:t>
      </w:r>
    </w:p>
    <w:p>
      <w:pPr>
        <w:pStyle w:val="Normal"/>
        <w:widowControl/>
        <w:spacing w:lineRule="auto" w:line="336" w:before="0" w:after="150"/>
        <w:rPr/>
      </w:pPr>
      <w:r>
        <w:rPr>
          <w:rFonts w:eastAsia="Georgia" w:cs="Georgia"/>
          <w:color w:val="2E2926"/>
          <w:sz w:val="20"/>
          <w:szCs w:val="20"/>
        </w:rPr>
        <w:t xml:space="preserve">The first full load that reached the Databricks volume measured about 192 MB. The pipeline checks every full load against a 150 MB minimum before accepting it.</w:t>
      </w:r>
    </w:p>
    <w:p>
      <w:pPr>
        <w:pStyle w:val="Heading2"/>
        <w:keepNext w:val="true"/>
        <w:keepLines/>
        <w:spacing w:before="300" w:after="100"/>
        <w:rPr/>
      </w:pPr>
      <w:r>
        <w:rPr>
          <w:rFonts w:eastAsia="Georgia" w:cs="Georgia" w:ascii="Georgia" w:hAnsi="Georgia"/>
          <w:b/>
          <w:bCs/>
          <w:color w:val="744354"/>
          <w:sz w:val="24"/>
          <w:szCs w:val="24"/>
        </w:rPr>
        <w:t xml:space="preserve">Rows after the first full load</w:t>
      </w:r>
    </w:p>
    <w:p>
      <w:pPr>
        <w:pStyle w:val="Normal"/>
        <w:widowControl/>
        <w:spacing w:lineRule="auto" w:line="336" w:before="0" w:after="150"/>
        <w:rPr/>
      </w:pPr>
      <w:r>
        <w:rPr>
          <w:rFonts w:eastAsia="Georgia" w:cs="Georgia"/>
          <w:color w:val="2E2926"/>
          <w:sz w:val="20"/>
          <w:szCs w:val="20"/>
        </w:rPr>
        <w:t xml:space="preserve">Bronze holds one row per source record and Silver holds the cleaned rows. The difference is the set of records Silver set aside.</w:t>
      </w:r>
    </w:p>
    <w:tbl>
      <w:tblPr>
        <w:tblW w:w="9360" w:type="dxa"/>
        <w:jc w:val="center"/>
        <w:tblInd w:w="0" w:type="dxa"/>
        <w:tblLayout w:type="fixed"/>
        <w:tblCellMar>
          <w:top w:w="100" w:type="dxa"/>
          <w:start w:w="120" w:type="dxa"/>
          <w:bottom w:w="100" w:type="dxa"/>
          <w:end w:w="120" w:type="dxa"/>
        </w:tblCellMar>
      </w:tblPr>
      <w:tblGrid>
        <w:gridCol w:w="3360"/>
        <w:gridCol w:w="2000"/>
        <w:gridCol w:w="2000"/>
        <w:gridCol w:w="2000"/>
      </w:tblGrid>
      <w:tr>
        <w:trPr>
          <w:tblHeader w:val="true"/>
          <w:cantSplit/>
        </w:trPr>
        <w:tc>
          <w:tcPr>
            <w:tcW w:w="3360"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start"/>
              <w:rPr/>
            </w:pPr>
            <w:r>
              <w:rPr>
                <w:rFonts w:eastAsia="Trebuchet MS" w:cs="Trebuchet MS" w:ascii="Trebuchet MS" w:hAnsi="Trebuchet MS"/>
                <w:b/>
                <w:bCs/>
                <w:caps/>
                <w:color w:val="8A3A32"/>
                <w:spacing w:val="24"/>
                <w:sz w:val="16"/>
                <w:szCs w:val="16"/>
              </w:rPr>
              <w:t xml:space="preserve">Source</w:t>
            </w:r>
          </w:p>
        </w:tc>
        <w:tc>
          <w:tcPr>
            <w:tcW w:w="2000"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end"/>
              <w:rPr/>
            </w:pPr>
            <w:r>
              <w:rPr>
                <w:rFonts w:eastAsia="Trebuchet MS" w:cs="Trebuchet MS" w:ascii="Trebuchet MS" w:hAnsi="Trebuchet MS"/>
                <w:b/>
                <w:bCs/>
                <w:caps/>
                <w:color w:val="8A3A32"/>
                <w:spacing w:val="24"/>
                <w:sz w:val="16"/>
                <w:szCs w:val="16"/>
              </w:rPr>
              <w:t xml:space="preserve">Bronze rows</w:t>
            </w:r>
          </w:p>
        </w:tc>
        <w:tc>
          <w:tcPr>
            <w:tcW w:w="2000"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end"/>
              <w:rPr/>
            </w:pPr>
            <w:r>
              <w:rPr>
                <w:rFonts w:eastAsia="Trebuchet MS" w:cs="Trebuchet MS" w:ascii="Trebuchet MS" w:hAnsi="Trebuchet MS"/>
                <w:b/>
                <w:bCs/>
                <w:caps/>
                <w:color w:val="8A3A32"/>
                <w:spacing w:val="24"/>
                <w:sz w:val="16"/>
                <w:szCs w:val="16"/>
              </w:rPr>
              <w:t xml:space="preserve">Silver rows</w:t>
            </w:r>
          </w:p>
        </w:tc>
        <w:tc>
          <w:tcPr>
            <w:tcW w:w="2000"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end"/>
              <w:rPr/>
            </w:pPr>
            <w:r>
              <w:rPr>
                <w:rFonts w:eastAsia="Trebuchet MS" w:cs="Trebuchet MS" w:ascii="Trebuchet MS" w:hAnsi="Trebuchet MS"/>
                <w:b/>
                <w:bCs/>
                <w:caps/>
                <w:color w:val="8A3A32"/>
                <w:spacing w:val="24"/>
                <w:sz w:val="16"/>
                <w:szCs w:val="16"/>
              </w:rPr>
              <w:t xml:space="preserve">Set aside</w:t>
            </w:r>
          </w:p>
        </w:tc>
      </w:tr>
      <w:tr>
        <w:trPr>
          <w:cantSplit/>
        </w:trPr>
        <w:tc>
          <w:tcPr>
            <w:tcW w:w="33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Arena leaderboard</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2,200,800</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2,200,576</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224</w:t>
            </w:r>
          </w:p>
        </w:tc>
      </w:tr>
      <w:tr>
        <w:trPr>
          <w:cantSplit/>
        </w:trPr>
        <w:tc>
          <w:tcPr>
            <w:tcW w:w="33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archive files</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17,328</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17,327</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1</w:t>
            </w:r>
          </w:p>
        </w:tc>
      </w:tr>
      <w:tr>
        <w:trPr>
          <w:cantSplit/>
        </w:trPr>
        <w:tc>
          <w:tcPr>
            <w:tcW w:w="3360"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BenchLM records</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2,383</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2,383</w:t>
            </w:r>
          </w:p>
        </w:tc>
        <w:tc>
          <w:tcPr>
            <w:tcW w:w="2000" w:type="dxa"/>
            <w:tcBorders>
              <w:bottom w:val="single" w:sz="4" w:space="0" w:color="E4D8CE"/>
            </w:tcBorders>
            <w:vAlign w:val="center"/>
          </w:tcPr>
          <w:p>
            <w:pPr>
              <w:pStyle w:val="Normal"/>
              <w:keepNext w:val="true"/>
              <w:spacing w:lineRule="auto" w:line="276" w:before="0" w:after="0"/>
              <w:jc w:val="end"/>
              <w:rPr/>
            </w:pPr>
            <w:r>
              <w:rPr>
                <w:rFonts w:eastAsia="Trebuchet MS" w:cs="Trebuchet MS" w:ascii="Trebuchet MS" w:hAnsi="Trebuchet MS"/>
                <w:b w:val="false"/>
                <w:bCs w:val="false"/>
                <w:color w:val="2E2926"/>
                <w:sz w:val="18"/>
                <w:szCs w:val="18"/>
              </w:rPr>
              <w:t xml:space="preserve">0</w:t>
            </w:r>
          </w:p>
        </w:tc>
      </w:tr>
      <w:tr>
        <w:trPr>
          <w:cantSplit/>
        </w:trPr>
        <w:tc>
          <w:tcPr>
            <w:tcW w:w="3360" w:type="dxa"/>
            <w:tcBorders>
              <w:bottom w:val="single" w:sz="12" w:space="0" w:color="2A2321"/>
            </w:tcBorders>
            <w:vAlign w:val="center"/>
          </w:tcPr>
          <w:p>
            <w:pPr>
              <w:pStyle w:val="Normal"/>
              <w:keepNext w:val="false"/>
              <w:spacing w:lineRule="auto" w:line="276" w:before="0" w:after="0"/>
              <w:jc w:val="start"/>
              <w:rPr/>
            </w:pPr>
            <w:r>
              <w:rPr>
                <w:rFonts w:eastAsia="Georgia" w:cs="Georgia"/>
                <w:b/>
                <w:bCs/>
                <w:color w:val="2A2321"/>
                <w:sz w:val="19"/>
                <w:szCs w:val="19"/>
              </w:rPr>
              <w:t xml:space="preserve">Epoch models</w:t>
            </w:r>
          </w:p>
        </w:tc>
        <w:tc>
          <w:tcPr>
            <w:tcW w:w="2000" w:type="dxa"/>
            <w:tcBorders>
              <w:bottom w:val="single" w:sz="12" w:space="0" w:color="2A2321"/>
            </w:tcBorders>
            <w:vAlign w:val="center"/>
          </w:tcPr>
          <w:p>
            <w:pPr>
              <w:pStyle w:val="Normal"/>
              <w:keepNext w:val="false"/>
              <w:spacing w:lineRule="auto" w:line="276" w:before="0" w:after="0"/>
              <w:jc w:val="end"/>
              <w:rPr/>
            </w:pPr>
            <w:r>
              <w:rPr>
                <w:rFonts w:eastAsia="Trebuchet MS" w:cs="Trebuchet MS" w:ascii="Trebuchet MS" w:hAnsi="Trebuchet MS"/>
                <w:b w:val="false"/>
                <w:bCs w:val="false"/>
                <w:color w:val="2E2926"/>
                <w:sz w:val="18"/>
                <w:szCs w:val="18"/>
              </w:rPr>
              <w:t xml:space="preserve">3,626</w:t>
            </w:r>
          </w:p>
        </w:tc>
        <w:tc>
          <w:tcPr>
            <w:tcW w:w="2000" w:type="dxa"/>
            <w:tcBorders>
              <w:bottom w:val="single" w:sz="12" w:space="0" w:color="2A2321"/>
            </w:tcBorders>
            <w:vAlign w:val="center"/>
          </w:tcPr>
          <w:p>
            <w:pPr>
              <w:pStyle w:val="Normal"/>
              <w:keepNext w:val="false"/>
              <w:spacing w:lineRule="auto" w:line="276" w:before="0" w:after="0"/>
              <w:jc w:val="end"/>
              <w:rPr/>
            </w:pPr>
            <w:r>
              <w:rPr>
                <w:rFonts w:eastAsia="Trebuchet MS" w:cs="Trebuchet MS" w:ascii="Trebuchet MS" w:hAnsi="Trebuchet MS"/>
                <w:b w:val="false"/>
                <w:bCs w:val="false"/>
                <w:color w:val="2E2926"/>
                <w:sz w:val="18"/>
                <w:szCs w:val="18"/>
              </w:rPr>
              <w:t xml:space="preserve">3,614</w:t>
            </w:r>
          </w:p>
        </w:tc>
        <w:tc>
          <w:tcPr>
            <w:tcW w:w="2000" w:type="dxa"/>
            <w:tcBorders>
              <w:bottom w:val="single" w:sz="12" w:space="0" w:color="2A2321"/>
            </w:tcBorders>
            <w:vAlign w:val="center"/>
          </w:tcPr>
          <w:p>
            <w:pPr>
              <w:pStyle w:val="Normal"/>
              <w:keepNext w:val="false"/>
              <w:spacing w:lineRule="auto" w:line="276" w:before="0" w:after="0"/>
              <w:jc w:val="end"/>
              <w:rPr/>
            </w:pPr>
            <w:r>
              <w:rPr>
                <w:rFonts w:eastAsia="Trebuchet MS" w:cs="Trebuchet MS" w:ascii="Trebuchet MS" w:hAnsi="Trebuchet MS"/>
                <w:b w:val="false"/>
                <w:bCs w:val="false"/>
                <w:color w:val="2E2926"/>
                <w:sz w:val="18"/>
                <w:szCs w:val="18"/>
              </w:rPr>
              <w:t xml:space="preserve">12</w:t>
            </w:r>
          </w:p>
        </w:tc>
      </w:tr>
    </w:tbl>
    <w:p>
      <w:pPr>
        <w:pStyle w:val="Normal"/>
        <w:spacing w:lineRule="exact" w:line="120" w:before="0" w:after="100"/>
        <w:rPr/>
      </w:pPr>
    </w:p>
    <w:p>
      <w:pPr>
        <w:pStyle w:val="Normal"/>
        <w:widowControl/>
        <w:spacing w:lineRule="auto" w:line="336" w:before="0" w:after="150"/>
        <w:rPr/>
      </w:pPr>
      <w:r>
        <w:rPr>
          <w:rFonts w:eastAsia="Georgia" w:cs="Georgia"/>
          <w:color w:val="2E2926"/>
          <w:sz w:val="20"/>
          <w:szCs w:val="20"/>
        </w:rPr>
        <w:t xml:space="preserve">Arena holds 1,157,599 standard text rows, 1,016,009 style-controlled text rows, 25,712 web development rows and 1,480 agent rows. The CooperBench files also yield 2,584 evaluation records and 2,606 run records. Silver set aside 198 Arena rows that share a key with another entry and 26 Arena rows without a rating. The 12 Epoch rows have no publication date.</w:t>
      </w:r>
    </w:p>
    <w:p>
      <w:pPr>
        <w:pStyle w:val="Heading2"/>
        <w:keepNext w:val="true"/>
        <w:keepLines/>
        <w:spacing w:before="300" w:after="100"/>
        <w:rPr/>
      </w:pPr>
      <w:r>
        <w:rPr>
          <w:rFonts w:eastAsia="Georgia" w:cs="Georgia" w:ascii="Georgia" w:hAnsi="Georgia"/>
          <w:b/>
          <w:bCs/>
          <w:color w:val="744354"/>
          <w:sz w:val="24"/>
          <w:szCs w:val="24"/>
        </w:rPr>
        <w:t xml:space="preserve">Incremental volume and frequency</w:t>
      </w:r>
    </w:p>
    <w:p>
      <w:pPr>
        <w:pStyle w:val="Normal"/>
        <w:widowControl/>
        <w:spacing w:lineRule="auto" w:line="336" w:before="0" w:after="150"/>
        <w:rPr/>
      </w:pPr>
      <w:r>
        <w:rPr>
          <w:rFonts w:eastAsia="Georgia" w:cs="Georgia"/>
          <w:color w:val="2E2926"/>
          <w:sz w:val="20"/>
          <w:szCs w:val="20"/>
        </w:rPr>
        <w:t xml:space="preserve">The supplied incremental batch contains 10,923 standard text records, 10,923 style-controlled text records, and 50 agent records. Its three original Parquet files total 1,219,849 bytes, or 1.22 MB. These observations follow the selected historical baseline.</w:t>
      </w:r>
    </w:p>
    <w:p>
      <w:pPr>
        <w:pStyle w:val="Normal"/>
        <w:widowControl/>
        <w:spacing w:lineRule="auto" w:line="336" w:before="0" w:after="150"/>
        <w:rPr/>
      </w:pPr>
      <w:r>
        <w:rPr>
          <w:rFonts w:eastAsia="Georgia" w:cs="Georgia"/>
          <w:color w:val="2E2926"/>
          <w:sz w:val="20"/>
          <w:szCs w:val="20"/>
        </w:rPr>
        <w:t xml:space="preserve">Collection runs three times a week. Around 1 to 10 MB per batch is the planning estimate, based on the measured publication size and source activity, and a batch below 1 MB waits for the next run. Actual increments may be smaller or larger. Catalog snapshot downloads are additional transfers, not a guaranteed amount of new evidence.</w:t>
      </w:r>
    </w:p>
    <w:p>
      <w:pPr>
        <w:pStyle w:val="Heading1"/>
        <w:keepNext w:val="true"/>
        <w:keepLines/>
        <w:pBdr>
          <w:bottom w:val="single" w:sz="8" w:space="6" w:color="B5593A"/>
        </w:pBdr>
        <w:spacing w:before="520" w:after="200"/>
        <w:rPr/>
      </w:pPr>
      <w:r>
        <w:rPr>
          <w:rFonts w:eastAsia="Georgia" w:cs="Georgia" w:ascii="Georgia" w:hAnsi="Georgia"/>
          <w:b/>
          <w:bCs/>
          <w:color w:val="B5593A"/>
          <w:sz w:val="34"/>
          <w:szCs w:val="34"/>
        </w:rPr>
        <w:t xml:space="preserve">3</w:t>
      </w:r>
      <w:r>
        <w:rPr>
          <w:rFonts w:eastAsia="Georgia" w:cs="Georgia" w:ascii="Georgia" w:hAnsi="Georgia"/>
          <w:b/>
          <w:bCs/>
          <w:color w:val="2A2321"/>
          <w:sz w:val="34"/>
          <w:szCs w:val="34"/>
        </w:rPr>
        <w:t xml:space="preserve"> Security and compliance</w:t>
      </w:r>
    </w:p>
    <w:p>
      <w:pPr>
        <w:pStyle w:val="Heading2"/>
        <w:keepNext w:val="true"/>
        <w:keepLines/>
        <w:spacing w:before="300" w:after="100"/>
        <w:rPr/>
      </w:pPr>
      <w:r>
        <w:rPr>
          <w:rFonts w:eastAsia="Georgia" w:cs="Georgia" w:ascii="Georgia" w:hAnsi="Georgia"/>
          <w:b/>
          <w:bCs/>
          <w:color w:val="744354"/>
          <w:sz w:val="24"/>
          <w:szCs w:val="24"/>
        </w:rPr>
        <w:t xml:space="preserve">Personal and sensitive information</w:t>
      </w:r>
    </w:p>
    <w:p>
      <w:pPr>
        <w:pStyle w:val="Normal"/>
        <w:widowControl/>
        <w:spacing w:lineRule="auto" w:line="336" w:before="0" w:after="150"/>
        <w:rPr/>
      </w:pPr>
      <w:r>
        <w:rPr>
          <w:rFonts w:eastAsia="Georgia" w:cs="Georgia"/>
          <w:color w:val="2E2926"/>
          <w:sz w:val="20"/>
          <w:szCs w:val="20"/>
        </w:rPr>
        <w:t xml:space="preserve">The inspected Arena samples contain model and organization names, aggregate evaluation measures, counts, categories, and publication metadata. They contain no participant identities, email addresses, exact IP addresses, payment details, or individual prompts. Their fields describe models and aggregate results rather than people.</w:t>
      </w:r>
    </w:p>
    <w:p>
      <w:pPr>
        <w:pStyle w:val="Normal"/>
        <w:widowControl/>
        <w:spacing w:lineRule="auto" w:line="336" w:before="0" w:after="150"/>
        <w:rPr/>
      </w:pPr>
      <w:r>
        <w:rPr>
          <w:rFonts w:eastAsia="Georgia" w:cs="Georgia"/>
          <w:color w:val="2E2926"/>
          <w:sz w:val="20"/>
          <w:szCs w:val="20"/>
        </w:rPr>
        <w:t xml:space="preserve">The selected CooperBench result samples contain task identifiers, configuration details, status, and duration. Their contents have been inspected for public release. The complete archives require different handling: traces, test output, patches, and inherited repository text can contain names, email addresses, file paths, or other sensitive text. An email-pattern scan identified candidate strings in 1,760 archive members; these are not a count of unique people.</w:t>
      </w:r>
    </w:p>
    <w:p>
      <w:pPr>
        <w:pStyle w:val="Normal"/>
        <w:widowControl/>
        <w:spacing w:lineRule="auto" w:line="336" w:before="0" w:after="150"/>
        <w:rPr/>
      </w:pPr>
      <w:r>
        <w:rPr>
          <w:rFonts w:eastAsia="Georgia" w:cs="Georgia"/>
          <w:color w:val="2E2926"/>
          <w:sz w:val="20"/>
          <w:szCs w:val="20"/>
        </w:rPr>
        <w:t xml:space="preserve">Epoch model data includes author names and potential contact information in free text. Inspection found populated author fields in 2,696 of 3,626 records and 15 email-pattern occurrences. BenchLM source credits can also name contributors. Published API tariffs are service prices and do not represent personal financial transactions.</w:t>
      </w:r>
    </w:p>
    <w:p>
      <w:pPr>
        <w:pStyle w:val="Heading2"/>
        <w:keepNext w:val="true"/>
        <w:keepLines/>
        <w:spacing w:before="300" w:after="100"/>
        <w:rPr/>
      </w:pPr>
      <w:r>
        <w:rPr>
          <w:rFonts w:eastAsia="Georgia" w:cs="Georgia" w:ascii="Georgia" w:hAnsi="Georgia"/>
          <w:b/>
          <w:bCs/>
          <w:color w:val="744354"/>
          <w:sz w:val="24"/>
          <w:szCs w:val="24"/>
        </w:rPr>
        <w:t xml:space="preserve">Handling strategy</w:t>
      </w:r>
    </w:p>
    <w:p>
      <w:pPr>
        <w:pStyle w:val="Normal"/>
        <w:widowControl/>
        <w:spacing w:lineRule="auto" w:line="336" w:before="0" w:after="150"/>
        <w:rPr/>
      </w:pPr>
      <w:r>
        <w:rPr>
          <w:rFonts w:eastAsia="Georgia" w:cs="Georgia"/>
          <w:color w:val="2E2926"/>
          <w:sz w:val="20"/>
          <w:szCs w:val="20"/>
        </w:rPr>
        <w:t xml:space="preserve">Original files, complete Epoch exports and the Bronze tables stay inside the Databricks workspace, which only the two project collaborators can open. Public samples are limited to inspected aggregate records and clean study result members. Raw prompts, test logs, repository author details, and unnecessary paths are not published.</w:t>
      </w:r>
    </w:p>
    <w:p>
      <w:pPr>
        <w:pStyle w:val="Normal"/>
        <w:widowControl/>
        <w:spacing w:lineRule="auto" w:line="336" w:before="0" w:after="150"/>
        <w:rPr/>
      </w:pPr>
      <w:r>
        <w:rPr>
          <w:rFonts w:eastAsia="Georgia" w:cs="Georgia"/>
          <w:color w:val="2E2926"/>
          <w:sz w:val="20"/>
          <w:szCs w:val="20"/>
        </w:rPr>
        <w:t xml:space="preserve">The CooperBench Silver tables hold identifiers, paths, outcomes, durations and costs. They hold no trace text, test output or patches, and the file contents stay in Bronze. The Epoch and BenchLM Silver tables carry an authors column listing the people credited on published models and papers. These are public bibliographic names. They stay in Silver for traceability and will be dropped before Gold, so Gold and the dashboard carry no personal names, email addresses, contact details or free text.</w:t>
      </w:r>
    </w:p>
    <w:p>
      <w:pPr>
        <w:pStyle w:val="Normal"/>
        <w:widowControl/>
        <w:spacing w:lineRule="auto" w:line="336" w:before="0" w:after="150"/>
        <w:rPr/>
      </w:pPr>
      <w:r>
        <w:rPr>
          <w:rFonts w:eastAsia="Georgia" w:cs="Georgia"/>
          <w:color w:val="2E2926"/>
          <w:sz w:val="20"/>
          <w:szCs w:val="20"/>
        </w:rPr>
        <w:t xml:space="preserve">Before Gold is built, the free-text columns that Silver keeps from Epoch, such as the reference and notability notes, will be scanned for email patterns and any match will be masked. Removal is preferable to hashing, because personal identifiers do not contribute to the planned metrics.</w:t>
      </w:r>
    </w:p>
    <w:p>
      <w:pPr>
        <w:pStyle w:val="Normal"/>
        <w:widowControl/>
        <w:spacing w:lineRule="auto" w:line="336" w:before="0" w:after="150"/>
        <w:rPr/>
      </w:pPr>
      <w:r>
        <w:rPr>
          <w:rFonts w:eastAsia="Georgia" w:cs="Georgia"/>
          <w:color w:val="2E2926"/>
          <w:sz w:val="20"/>
          <w:szCs w:val="20"/>
        </w:rPr>
        <w:t xml:space="preserve">Credentials are held in GitHub Actions secrets and workspace secrets, never in Git. Public samples are reviewed whenever a source adds fields or changes its structure.</w:t>
      </w:r>
    </w:p>
    <w:p>
      <w:pPr>
        <w:pStyle w:val="Heading2"/>
        <w:keepNext w:val="true"/>
        <w:keepLines/>
        <w:spacing w:before="300" w:after="100"/>
        <w:rPr/>
      </w:pPr>
      <w:r>
        <w:rPr>
          <w:rFonts w:eastAsia="Georgia" w:cs="Georgia" w:ascii="Georgia" w:hAnsi="Georgia"/>
          <w:b/>
          <w:bCs/>
          <w:color w:val="744354"/>
          <w:sz w:val="24"/>
          <w:szCs w:val="24"/>
        </w:rPr>
        <w:t xml:space="preserve">Source licences and valid interpretation</w:t>
      </w:r>
    </w:p>
    <w:p>
      <w:pPr>
        <w:pStyle w:val="Normal"/>
        <w:widowControl/>
        <w:spacing w:lineRule="auto" w:line="336" w:before="0" w:after="150"/>
        <w:rPr/>
      </w:pPr>
      <w:r>
        <w:rPr>
          <w:rFonts w:eastAsia="Georgia" w:cs="Georgia"/>
          <w:color w:val="2E2926"/>
          <w:sz w:val="20"/>
          <w:szCs w:val="20"/>
        </w:rPr>
        <w:t xml:space="preserve">Arena attribution will follow CC BY 4.0. CooperBench’s Apache 2.0 source licence and applicable inherited notices will be retained. Epoch will receive its requested attribution. BenchLM exports will remain subject to CC BY-NC 4.0. The repository’s MIT licence will apply to project code rather than replace upstream data licences.</w:t>
      </w:r>
    </w:p>
    <w:p>
      <w:pPr>
        <w:pStyle w:val="Normal"/>
        <w:widowControl/>
        <w:spacing w:lineRule="auto" w:line="336" w:before="0" w:after="150"/>
        <w:rPr/>
      </w:pPr>
      <w:r>
        <w:rPr>
          <w:rFonts w:eastAsia="Georgia" w:cs="Georgia"/>
          <w:color w:val="2E2926"/>
          <w:sz w:val="20"/>
          <w:szCs w:val="20"/>
        </w:rPr>
        <w:t xml:space="preserve">Missing prices and measurements will remain missing. CooperBench’s zero-filled token and cost fields will be treated as unmeasured unless other trace evidence establishes valid values. Preference ratings, benchmark scores, and agent success rates will retain their own units and will not be combined into one universal ranking.</w:t>
      </w:r>
    </w:p>
    <w:p>
      <w:pPr>
        <w:pStyle w:val="Heading1"/>
        <w:keepNext w:val="true"/>
        <w:keepLines/>
        <w:pBdr>
          <w:bottom w:val="single" w:sz="8" w:space="6" w:color="B5593A"/>
        </w:pBdr>
        <w:spacing w:before="520" w:after="200"/>
        <w:rPr/>
      </w:pPr>
      <w:r>
        <w:rPr>
          <w:rFonts w:eastAsia="Georgia" w:cs="Georgia" w:ascii="Georgia" w:hAnsi="Georgia"/>
          <w:b/>
          <w:bCs/>
          <w:color w:val="B5593A"/>
          <w:sz w:val="34"/>
          <w:szCs w:val="34"/>
        </w:rPr>
        <w:t xml:space="preserve">4</w:t>
      </w:r>
      <w:r>
        <w:rPr>
          <w:rFonts w:eastAsia="Georgia" w:cs="Georgia" w:ascii="Georgia" w:hAnsi="Georgia"/>
          <w:b/>
          <w:bCs/>
          <w:color w:val="2A2321"/>
          <w:sz w:val="34"/>
          <w:szCs w:val="34"/>
        </w:rPr>
        <w:t xml:space="preserve"> High level Medallion data modeling</w:t>
      </w:r>
    </w:p>
    <w:p>
      <w:pPr>
        <w:pStyle w:val="Heading2"/>
        <w:keepNext w:val="true"/>
        <w:keepLines/>
        <w:spacing w:before="300" w:after="100"/>
        <w:rPr/>
      </w:pPr>
      <w:r>
        <w:rPr>
          <w:rFonts w:eastAsia="Georgia" w:cs="Georgia" w:ascii="Georgia" w:hAnsi="Georgia"/>
          <w:b/>
          <w:bCs/>
          <w:color w:val="744354"/>
          <w:sz w:val="24"/>
          <w:szCs w:val="24"/>
        </w:rPr>
        <w:t xml:space="preserve">Bronze original evidence</w:t>
      </w:r>
    </w:p>
    <w:p>
      <w:pPr>
        <w:pStyle w:val="Normal"/>
        <w:widowControl/>
        <w:spacing w:lineRule="auto" w:line="336" w:before="0" w:after="150"/>
        <w:rPr/>
      </w:pPr>
      <w:r>
        <w:rPr>
          <w:rFonts w:eastAsia="Georgia" w:cs="Georgia"/>
          <w:color w:val="2E2926"/>
          <w:sz w:val="20"/>
          <w:szCs w:val="20"/>
        </w:rPr>
        <w:t xml:space="preserve">The collector lands the original files unchanged in a Databricks volume: Arena Parquet, CooperBench compressed archives, BenchLM JSON and Epoch CSV, each with a SHA-256 checksum in a manifest. Loaded files move to a processed folder and stay there, so Bronze can be rebuilt batch by batch without downloading anything again.</w:t>
      </w:r>
    </w:p>
    <w:p>
      <w:pPr>
        <w:pStyle w:val="Normal"/>
        <w:widowControl/>
        <w:spacing w:lineRule="auto" w:line="336" w:before="0" w:after="150"/>
        <w:rPr/>
      </w:pPr>
      <w:r>
        <w:rPr>
          <w:rFonts w:eastAsia="Georgia" w:cs="Georgia"/>
          <w:color w:val="2E2926"/>
          <w:sz w:val="20"/>
          <w:szCs w:val="20"/>
        </w:rPr>
        <w:t xml:space="preserve">Four Bronze Delta tables hold one row per source record, one table for each source. Bronze is schema on read: every source column is stored as text, so a type change in a source can never reject a file. Each row keeps its provenance (batch, source file, collection time and load time) and a record hash. Arena, BenchLM and Epoch rows also keep the whole original record as JSON, and CooperBench member files are stored as raw text. Bronze is insert-only. Loading the same file twice adds no rows, and a new source column is added to the table as text and logged.</w:t>
      </w:r>
    </w:p>
    <w:p>
      <w:pPr>
        <w:pStyle w:val="Heading2"/>
        <w:keepNext w:val="true"/>
        <w:keepLines/>
        <w:spacing w:before="300" w:after="100"/>
        <w:rPr/>
      </w:pPr>
      <w:r>
        <w:rPr>
          <w:rFonts w:eastAsia="Georgia" w:cs="Georgia" w:ascii="Georgia" w:hAnsi="Georgia"/>
          <w:b/>
          <w:bCs/>
          <w:color w:val="744354"/>
          <w:sz w:val="24"/>
          <w:szCs w:val="24"/>
        </w:rPr>
        <w:t xml:space="preserve">Silver cleaning and consolidation</w:t>
      </w:r>
    </w:p>
    <w:p>
      <w:pPr>
        <w:pStyle w:val="Normal"/>
        <w:widowControl/>
        <w:spacing w:lineRule="auto" w:line="336" w:before="0" w:after="150"/>
        <w:rPr/>
      </w:pPr>
      <w:r>
        <w:rPr>
          <w:rFonts w:eastAsia="Georgia" w:cs="Georgia"/>
          <w:color w:val="2E2926"/>
          <w:sz w:val="20"/>
          <w:szCs w:val="20"/>
        </w:rPr>
        <w:t xml:space="preserve">Silver reads the Bronze tables batch by batch, oldest first, and writes typed, validated and current tables with one row per business key. Text is trimmed, and empty strings and markers such as NaN, null and n/a become null. Values are cast with try_cast, so a bad value becomes null instead of stopping the batch. The casts cover decimals, whole numbers (29.0 is accepted, 29.5 is not), dates in year-month-day form, timestamps, scientific notation such as 3.55e+24, and yes or no flags.</w:t>
      </w:r>
    </w:p>
    <w:p>
      <w:pPr>
        <w:pStyle w:val="Normal"/>
        <w:widowControl/>
        <w:spacing w:lineRule="auto" w:line="336" w:before="0" w:after="150"/>
        <w:rPr/>
      </w:pPr>
      <w:r>
        <w:rPr>
          <w:rFonts w:eastAsia="Georgia" w:cs="Georgia"/>
          <w:color w:val="2E2926"/>
          <w:sz w:val="20"/>
          <w:szCs w:val="20"/>
        </w:rPr>
        <w:t xml:space="preserve">A record that fails a required rule, such as a missing key, an unreadable date or a missing rating, goes to a quarantine table with the reason and the bad value, and the rest of the batch loads. A bad optional value is set to null and counted in the log. Agent scores in Arena can be negative, so the rating rule differs for that subset. Missing values stay distinct from zeros.</w:t>
      </w:r>
    </w:p>
    <w:p>
      <w:pPr>
        <w:pStyle w:val="Normal"/>
        <w:widowControl/>
        <w:spacing w:lineRule="auto" w:line="336" w:before="0" w:after="150"/>
        <w:rPr/>
      </w:pPr>
      <w:r>
        <w:rPr>
          <w:rFonts w:eastAsia="Georgia" w:cs="Georgia"/>
          <w:color w:val="2E2926"/>
          <w:sz w:val="20"/>
          <w:szCs w:val="20"/>
        </w:rPr>
        <w:t xml:space="preserve">Duplicates are identified through stable source keys, and a conflicting record is never dropped silently: the entry with more votes stays and the other goes to the quarantine table. Silver writes only through MERGE INTO, which inserts new keys and updates a key only when its content changed in a newer batch, so the same batch twice changes nothing. After each load a key check counts duplicate and null keys in every table, and an execution log records rows read, inserted, updated, skipped and quarantined. New source columns are not promoted automatically; they are logged and added through the column map.</w:t>
      </w:r>
    </w:p>
    <w:tbl>
      <w:tblPr>
        <w:tblW w:w="9360" w:type="dxa"/>
        <w:jc w:val="center"/>
        <w:tblInd w:w="0" w:type="dxa"/>
        <w:tblLayout w:type="fixed"/>
        <w:tblCellMar>
          <w:top w:w="100" w:type="dxa"/>
          <w:start w:w="120" w:type="dxa"/>
          <w:bottom w:w="100" w:type="dxa"/>
          <w:end w:w="120" w:type="dxa"/>
        </w:tblCellMar>
      </w:tblPr>
      <w:tblGrid>
        <w:gridCol w:w="2999"/>
        <w:gridCol w:w="6361"/>
      </w:tblGrid>
      <w:tr>
        <w:trPr>
          <w:tblHeader w:val="true"/>
          <w:cantSplit/>
        </w:trPr>
        <w:tc>
          <w:tcPr>
            <w:tcW w:w="2999"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start"/>
              <w:rPr/>
            </w:pPr>
            <w:r>
              <w:rPr>
                <w:rFonts w:eastAsia="Trebuchet MS" w:cs="Trebuchet MS" w:ascii="Trebuchet MS" w:hAnsi="Trebuchet MS"/>
                <w:b/>
                <w:bCs/>
                <w:caps/>
                <w:color w:val="8A3A32"/>
                <w:spacing w:val="24"/>
                <w:sz w:val="16"/>
                <w:szCs w:val="16"/>
              </w:rPr>
              <w:t xml:space="preserve">Silver table</w:t>
            </w:r>
          </w:p>
        </w:tc>
        <w:tc>
          <w:tcPr>
            <w:tcW w:w="6361" w:type="dxa"/>
            <w:tcBorders>
              <w:top w:val="single" w:sz="12" w:space="0" w:color="2A2321"/>
              <w:bottom w:val="single" w:sz="6" w:space="0" w:color="2A2321"/>
            </w:tcBorders>
            <w:shd w:color="auto" w:fill="F7F0EA" w:val="clear"/>
            <w:vAlign w:val="center"/>
          </w:tcPr>
          <w:p>
            <w:pPr>
              <w:pStyle w:val="Normal"/>
              <w:keepNext w:val="true"/>
              <w:spacing w:lineRule="auto" w:line="276" w:before="0" w:after="0"/>
              <w:jc w:val="start"/>
              <w:rPr/>
            </w:pPr>
            <w:r>
              <w:rPr>
                <w:rFonts w:eastAsia="Trebuchet MS" w:cs="Trebuchet MS" w:ascii="Trebuchet MS" w:hAnsi="Trebuchet MS"/>
                <w:b/>
                <w:bCs/>
                <w:caps/>
                <w:color w:val="8A3A32"/>
                <w:spacing w:val="24"/>
                <w:sz w:val="16"/>
                <w:szCs w:val="16"/>
              </w:rPr>
              <w:t xml:space="preserve">Record grain and key</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Arena leaderboard</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One model rating in one subset and category on one publication date. Key: subset, category, model name and publication date.</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Epoch models</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The latest version of one model in Epoch's database. Key: model and publication date.</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BenchLM models</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One model in BenchLM's ranking, with its scores kept as JSON. Key: slug.</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BenchLM benchmarks</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One benchmark in one category. Key: benchmark key and category.</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BenchLM pricing</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One model's price record. Key: canonical model key.</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members</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One file in a study archive, with path parts, validity and a content hash. Key: study setting and file path.</w:t>
            </w:r>
          </w:p>
        </w:tc>
      </w:tr>
      <w:tr>
        <w:trPr>
          <w:cantSplit/>
        </w:trPr>
        <w:tc>
          <w:tcPr>
            <w:tcW w:w="2999" w:type="dxa"/>
            <w:tcBorders>
              <w:bottom w:val="single" w:sz="4" w:space="0" w:color="E4D8CE"/>
            </w:tcBorders>
            <w:vAlign w:val="center"/>
          </w:tcPr>
          <w:p>
            <w:pPr>
              <w:pStyle w:val="Normal"/>
              <w:keepNext w:val="true"/>
              <w:spacing w:lineRule="auto" w:line="276" w:before="0" w:after="0"/>
              <w:jc w:val="start"/>
              <w:rPr/>
            </w:pPr>
            <w:r>
              <w:rPr>
                <w:rFonts w:eastAsia="Georgia" w:cs="Georgia"/>
                <w:b/>
                <w:bCs/>
                <w:color w:val="2A2321"/>
                <w:sz w:val="19"/>
                <w:szCs w:val="19"/>
              </w:rPr>
              <w:t xml:space="preserve">CooperBench evaluations</w:t>
            </w:r>
          </w:p>
        </w:tc>
        <w:tc>
          <w:tcPr>
            <w:tcW w:w="6361" w:type="dxa"/>
            <w:tcBorders>
              <w:bottom w:val="single" w:sz="4" w:space="0" w:color="E4D8CE"/>
            </w:tcBorders>
            <w:vAlign w:val="center"/>
          </w:tcPr>
          <w:p>
            <w:pPr>
              <w:pStyle w:val="Normal"/>
              <w:keepNext w:val="true"/>
              <w:spacing w:lineRule="auto" w:line="276" w:before="0" w:after="0"/>
              <w:jc w:val="start"/>
              <w:rPr/>
            </w:pPr>
            <w:r>
              <w:rPr>
                <w:rFonts w:eastAsia="Georgia" w:cs="Georgia"/>
                <w:b w:val="false"/>
                <w:bCs w:val="false"/>
                <w:color w:val="2E2926"/>
                <w:sz w:val="19"/>
                <w:szCs w:val="19"/>
              </w:rPr>
              <w:t xml:space="preserve">One evaluated task run, with pass results per feature and merge status. Key: study setting and file path.</w:t>
            </w:r>
          </w:p>
        </w:tc>
      </w:tr>
      <w:tr>
        <w:trPr>
          <w:cantSplit/>
        </w:trPr>
        <w:tc>
          <w:tcPr>
            <w:tcW w:w="2999" w:type="dxa"/>
            <w:tcBorders>
              <w:bottom w:val="single" w:sz="12" w:space="0" w:color="2A2321"/>
            </w:tcBorders>
            <w:vAlign w:val="center"/>
          </w:tcPr>
          <w:p>
            <w:pPr>
              <w:pStyle w:val="Normal"/>
              <w:keepNext w:val="false"/>
              <w:spacing w:lineRule="auto" w:line="276" w:before="0" w:after="0"/>
              <w:jc w:val="start"/>
              <w:rPr/>
            </w:pPr>
            <w:r>
              <w:rPr>
                <w:rFonts w:eastAsia="Georgia" w:cs="Georgia"/>
                <w:b/>
                <w:bCs/>
                <w:color w:val="2A2321"/>
                <w:sz w:val="19"/>
                <w:szCs w:val="19"/>
              </w:rPr>
              <w:t xml:space="preserve">CooperBench runs</w:t>
            </w:r>
          </w:p>
        </w:tc>
        <w:tc>
          <w:tcPr>
            <w:tcW w:w="6361" w:type="dxa"/>
            <w:tcBorders>
              <w:bottom w:val="single" w:sz="12" w:space="0" w:color="2A2321"/>
            </w:tcBorders>
            <w:vAlign w:val="center"/>
          </w:tcPr>
          <w:p>
            <w:pPr>
              <w:pStyle w:val="Normal"/>
              <w:keepNext w:val="false"/>
              <w:spacing w:lineRule="auto" w:line="276" w:before="0" w:after="0"/>
              <w:jc w:val="start"/>
              <w:rPr/>
            </w:pPr>
            <w:r>
              <w:rPr>
                <w:rFonts w:eastAsia="Georgia" w:cs="Georgia"/>
                <w:b w:val="false"/>
                <w:bCs w:val="false"/>
                <w:color w:val="2E2926"/>
                <w:sz w:val="19"/>
                <w:szCs w:val="19"/>
              </w:rPr>
              <w:t xml:space="preserve">One task run, with duration, cost, steps and messages. Key: study setting and file path.</w:t>
            </w:r>
          </w:p>
        </w:tc>
      </w:tr>
    </w:tbl>
    <w:p>
      <w:pPr>
        <w:pStyle w:val="Normal"/>
        <w:spacing w:lineRule="exact" w:line="120" w:before="0" w:after="100"/>
        <w:rPr/>
      </w:pPr>
    </w:p>
    <w:p>
      <w:pPr>
        <w:pStyle w:val="Heading2"/>
        <w:keepNext w:val="true"/>
        <w:keepLines/>
        <w:spacing w:before="300" w:after="100"/>
        <w:rPr/>
      </w:pPr>
      <w:r>
        <w:rPr>
          <w:rFonts w:eastAsia="Georgia" w:cs="Georgia" w:ascii="Georgia" w:hAnsi="Georgia"/>
          <w:b/>
          <w:bCs/>
          <w:color w:val="744354"/>
          <w:sz w:val="24"/>
          <w:szCs w:val="24"/>
        </w:rPr>
        <w:t xml:space="preserve">Gold analytical model</w:t>
      </w:r>
    </w:p>
    <w:p>
      <w:pPr>
        <w:pStyle w:val="Normal"/>
        <w:widowControl/>
        <w:spacing w:lineRule="auto" w:line="336" w:before="0" w:after="150"/>
        <w:rPr/>
      </w:pPr>
      <w:r>
        <w:rPr>
          <w:rFonts w:eastAsia="Georgia" w:cs="Georgia"/>
          <w:color w:val="2E2926"/>
          <w:sz w:val="20"/>
          <w:szCs w:val="20"/>
        </w:rPr>
        <w:t xml:space="preserve">Gold will use model configuration, organization, benchmark, methodology, and time dimensions. Agent facts will also use task and study-setting dimensions. Consolidated tables will provide comparable capability trends, model price and score comparisons, workload cost scenarios, and coordination outcomes.</w:t>
      </w:r>
    </w:p>
    <w:p>
      <w:pPr>
        <w:pStyle w:val="Normal"/>
        <w:widowControl/>
        <w:spacing w:lineRule="auto" w:line="336" w:before="0" w:after="150"/>
        <w:rPr/>
      </w:pPr>
      <w:r>
        <w:rPr>
          <w:rFonts w:eastAsia="Georgia" w:cs="Georgia"/>
          <w:color w:val="2E2926"/>
          <w:sz w:val="20"/>
          <w:szCs w:val="20"/>
        </w:rPr>
        <w:t xml:space="preserve">Agent summaries will compare matched task pairs and report success, duration, merge failures, and evaluation coverage. Study results and evaluations will be joined through study setting, repository, task and feature pair, with message counts per agent taken from the line counts of the agent message files. Missing evaluations will remain visible, with completion and evaluation coverage reported separately. Price comparisons will require a compatible configuration and an appropriate observed tariff. Unknown historical prices and unresolved deployment aliases will remain unmatched.</w:t>
      </w:r>
    </w:p>
    <w:p>
      <w:pPr>
        <w:pStyle w:val="Heading1"/>
        <w:keepNext w:val="true"/>
        <w:keepLines/>
        <w:pBdr>
          <w:bottom w:val="single" w:sz="8" w:space="6" w:color="B5593A"/>
        </w:pBdr>
        <w:spacing w:before="520" w:after="200"/>
        <w:rPr/>
      </w:pPr>
      <w:r>
        <w:rPr>
          <w:rFonts w:eastAsia="Georgia" w:cs="Georgia" w:ascii="Georgia" w:hAnsi="Georgia"/>
          <w:b/>
          <w:bCs/>
          <w:color w:val="B5593A"/>
          <w:sz w:val="34"/>
          <w:szCs w:val="34"/>
        </w:rPr>
        <w:t xml:space="preserve">5</w:t>
      </w:r>
      <w:r>
        <w:rPr>
          <w:rFonts w:eastAsia="Georgia" w:cs="Georgia" w:ascii="Georgia" w:hAnsi="Georgia"/>
          <w:b/>
          <w:bCs/>
          <w:color w:val="2A2321"/>
          <w:sz w:val="34"/>
          <w:szCs w:val="34"/>
        </w:rPr>
        <w:t xml:space="preserve"> Business intelligence and dashboards</w:t>
      </w:r>
    </w:p>
    <w:p>
      <w:pPr>
        <w:pStyle w:val="Normal"/>
        <w:widowControl/>
        <w:spacing w:lineRule="auto" w:line="336" w:before="0" w:after="150"/>
        <w:rPr/>
      </w:pPr>
      <w:r>
        <w:rPr>
          <w:rFonts w:eastAsia="Georgia" w:cs="Georgia"/>
          <w:color w:val="2E2926"/>
          <w:sz w:val="20"/>
          <w:szCs w:val="20"/>
        </w:rPr>
        <w:t xml:space="preserve">The preferred dashboard will use Databricks SQL over Gold tables. A local dashboard using exported Gold data is the free fallback. Filters will cover source, organization, model configuration, evaluation series, observation period, and study setting. Three views will answer the main analytical questions.</w:t>
      </w:r>
    </w:p>
    <w:p>
      <w:pPr>
        <w:pStyle w:val="Heading2"/>
        <w:keepNext w:val="true"/>
        <w:keepLines/>
        <w:spacing w:before="300" w:after="100"/>
        <w:rPr/>
      </w:pPr>
      <w:r>
        <w:rPr>
          <w:rFonts w:eastAsia="Georgia" w:cs="Georgia" w:ascii="Georgia" w:hAnsi="Georgia"/>
          <w:b/>
          <w:bCs/>
          <w:color w:val="744354"/>
          <w:sz w:val="24"/>
          <w:szCs w:val="24"/>
        </w:rPr>
        <w:t xml:space="preserve">Capability and estimated cost</w:t>
      </w:r>
    </w:p>
    <w:p>
      <w:pPr>
        <w:pStyle w:val="Normal"/>
        <w:widowControl/>
        <w:spacing w:lineRule="auto" w:line="336" w:before="0" w:after="150"/>
        <w:rPr/>
      </w:pPr>
      <w:r>
        <w:rPr>
          <w:rFonts w:eastAsia="Georgia" w:cs="Georgia"/>
          <w:color w:val="2E2926"/>
          <w:sz w:val="20"/>
          <w:szCs w:val="20"/>
        </w:rPr>
        <w:t xml:space="preserve">A scatterplot will compare an eligible evaluation score against estimated token expenditure for a defined workload. Separate panels will preserve benchmark families and measurement units. The view will identify models for which no comparable alternative has both a better score and a lower estimated cost.</w:t>
      </w:r>
    </w:p>
    <w:p>
      <w:pPr>
        <w:pStyle w:val="Normal"/>
        <w:widowControl/>
        <w:spacing w:lineRule="auto" w:line="336" w:before="0" w:after="150"/>
        <w:rPr/>
      </w:pPr>
      <w:r>
        <w:rPr>
          <w:rFonts w:eastAsia="Georgia" w:cs="Georgia"/>
          <w:color w:val="2E2926"/>
          <w:sz w:val="20"/>
          <w:szCs w:val="20"/>
        </w:rPr>
        <w:t xml:space="preserve">Business question: which models offer a favorable capability and cost trade-off for a stated workload? The estimate will use request volume, input tokens, billable output tokens, and observed tariffs. Missing prices will remain visible, and incompatible configurations will be excluded from the comparison.</w:t>
      </w:r>
    </w:p>
    <w:p>
      <w:pPr>
        <w:pStyle w:val="Heading2"/>
        <w:keepNext w:val="true"/>
        <w:keepLines/>
        <w:spacing w:before="300" w:after="100"/>
        <w:rPr/>
      </w:pPr>
      <w:r>
        <w:rPr>
          <w:rFonts w:eastAsia="Georgia" w:cs="Georgia" w:ascii="Georgia" w:hAnsi="Georgia"/>
          <w:b/>
          <w:bCs/>
          <w:color w:val="744354"/>
          <w:sz w:val="24"/>
          <w:szCs w:val="24"/>
        </w:rPr>
        <w:t xml:space="preserve">Coding agent coordination</w:t>
      </w:r>
    </w:p>
    <w:p>
      <w:pPr>
        <w:pStyle w:val="Normal"/>
        <w:widowControl/>
        <w:spacing w:lineRule="auto" w:line="336" w:before="0" w:after="150"/>
        <w:rPr/>
      </w:pPr>
      <w:r>
        <w:rPr>
          <w:rFonts w:eastAsia="Georgia" w:cs="Georgia"/>
          <w:color w:val="2E2926"/>
          <w:sz w:val="20"/>
          <w:szCs w:val="20"/>
        </w:rPr>
        <w:t xml:space="preserve">Paired outcome bars will compare single-agent execution, shared Git cooperation, the full team harness, and the team harness without protocol verbs. A duration distribution will show the accompanying execution-time overhead. Metrics will include both-feature pass rate, evaluated task count, missing evaluation rate, and recorded merge failures.</w:t>
      </w:r>
    </w:p>
    <w:p>
      <w:pPr>
        <w:pStyle w:val="Normal"/>
        <w:widowControl/>
        <w:spacing w:lineRule="auto" w:line="336" w:before="0" w:after="150"/>
        <w:rPr/>
      </w:pPr>
      <w:r>
        <w:rPr>
          <w:rFonts w:eastAsia="Georgia" w:cs="Georgia"/>
          <w:color w:val="2E2926"/>
          <w:sz w:val="20"/>
          <w:szCs w:val="20"/>
        </w:rPr>
        <w:t xml:space="preserve">Business question: when did coordination improve task completion in the published study, and what additional execution time accompanied it? Results will be limited to the study’s deployment and harness. Zero-filled cost or token fields will not be presented as measured spending.</w:t>
      </w:r>
    </w:p>
    <w:p>
      <w:pPr>
        <w:pStyle w:val="Heading2"/>
        <w:keepNext w:val="true"/>
        <w:keepLines/>
        <w:spacing w:before="300" w:after="100"/>
        <w:rPr/>
      </w:pPr>
      <w:r>
        <w:rPr>
          <w:rFonts w:eastAsia="Georgia" w:cs="Georgia" w:ascii="Georgia" w:hAnsi="Georgia"/>
          <w:b/>
          <w:bCs/>
          <w:color w:val="744354"/>
          <w:sz w:val="24"/>
          <w:szCs w:val="24"/>
        </w:rPr>
        <w:t xml:space="preserve">Published capability over time</w:t>
      </w:r>
    </w:p>
    <w:p>
      <w:pPr>
        <w:pStyle w:val="Normal"/>
        <w:widowControl/>
        <w:spacing w:lineRule="auto" w:line="336" w:before="0" w:after="150"/>
        <w:rPr/>
      </w:pPr>
      <w:r>
        <w:rPr>
          <w:rFonts w:eastAsia="Georgia" w:cs="Georgia"/>
          <w:color w:val="2E2926"/>
          <w:sz w:val="20"/>
          <w:szCs w:val="20"/>
        </w:rPr>
        <w:t xml:space="preserve">A timeline will show leading published results within a comparable evaluation series. Methodology changes and observation coverage will be made visible. Standard and style-controlled text will be available as separate series to inspect sensitivity to presentation style.</w:t>
      </w:r>
    </w:p>
    <w:p>
      <w:pPr>
        <w:pStyle w:val="Normal"/>
        <w:widowControl/>
        <w:spacing w:lineRule="auto" w:line="336" w:before="0" w:after="150"/>
        <w:rPr/>
      </w:pPr>
      <w:r>
        <w:rPr>
          <w:rFonts w:eastAsia="Georgia" w:cs="Georgia"/>
          <w:color w:val="2E2926"/>
          <w:sz w:val="20"/>
          <w:szCs w:val="20"/>
        </w:rPr>
        <w:t xml:space="preserve">Business question: how has the published frontier changed, and are apparent gains supported by comparable evidence? Source links, measurement units, uncertainty where available, and matching coverage will help readers judge each comparison.</w:t>
      </w:r>
    </w:p>
    <w:p>
      <w:pPr>
        <w:pStyle w:val="Heading2"/>
        <w:keepNext w:val="true"/>
        <w:keepLines/>
        <w:spacing w:before="300" w:after="100"/>
        <w:rPr/>
      </w:pPr>
      <w:r>
        <w:rPr>
          <w:rFonts w:eastAsia="Georgia" w:cs="Georgia" w:ascii="Georgia" w:hAnsi="Georgia"/>
          <w:b/>
          <w:bCs/>
          <w:color w:val="744354"/>
          <w:sz w:val="24"/>
          <w:szCs w:val="24"/>
        </w:rPr>
        <w:t xml:space="preserve">Interpretation of cost estimates</w:t>
      </w:r>
    </w:p>
    <w:p>
      <w:pPr>
        <w:pStyle w:val="Normal"/>
        <w:widowControl/>
        <w:spacing w:lineRule="auto" w:line="336" w:before="0" w:after="150"/>
        <w:rPr/>
      </w:pPr>
      <w:r>
        <w:rPr>
          <w:rFonts w:eastAsia="Georgia" w:cs="Georgia"/>
          <w:color w:val="2E2926"/>
          <w:sz w:val="20"/>
          <w:szCs w:val="20"/>
        </w:rPr>
        <w:t xml:space="preserve">Workload assumptions will be adjustable. Cached input and reasoning tokens will be included only when their billing semantics are known. Base estimates cover token expenditure; they exclude tools, retries, subscriptions, taxes, hardware, and migration effort. They will not be presented as actual agent-run bills or proof of production suitability.</w:t>
      </w:r>
    </w:p>
    <w:p>
      <w:pPr>
        <w:pStyle w:val="Heading1"/>
        <w:keepNext w:val="true"/>
        <w:keepLines/>
        <w:pBdr>
          <w:bottom w:val="single" w:sz="8" w:space="6" w:color="B5593A"/>
        </w:pBdr>
        <w:spacing w:before="520" w:after="200"/>
        <w:rPr/>
      </w:pPr>
      <w:r>
        <w:rPr>
          <w:rFonts w:eastAsia="Georgia" w:cs="Georgia" w:ascii="Georgia" w:hAnsi="Georgia"/>
          <w:b/>
          <w:bCs/>
          <w:color w:val="B5593A"/>
          <w:sz w:val="34"/>
          <w:szCs w:val="34"/>
        </w:rPr>
        <w:t xml:space="preserve">6</w:t>
      </w:r>
      <w:r>
        <w:rPr>
          <w:rFonts w:eastAsia="Georgia" w:cs="Georgia" w:ascii="Georgia" w:hAnsi="Georgia"/>
          <w:b/>
          <w:bCs/>
          <w:color w:val="2A2321"/>
          <w:sz w:val="34"/>
          <w:szCs w:val="34"/>
        </w:rPr>
        <w:t xml:space="preserve"> Engineering setup and FinOps</w:t>
      </w:r>
    </w:p>
    <w:p>
      <w:pPr>
        <w:pStyle w:val="Heading2"/>
        <w:keepNext w:val="true"/>
        <w:keepLines/>
        <w:spacing w:before="300" w:after="100"/>
        <w:rPr/>
      </w:pPr>
      <w:r>
        <w:rPr>
          <w:rFonts w:eastAsia="Georgia" w:cs="Georgia" w:ascii="Georgia" w:hAnsi="Georgia"/>
          <w:b/>
          <w:bCs/>
          <w:color w:val="744354"/>
          <w:sz w:val="24"/>
          <w:szCs w:val="24"/>
        </w:rPr>
        <w:t xml:space="preserve">Infrastructure</w:t>
      </w:r>
    </w:p>
    <w:p>
      <w:pPr>
        <w:pStyle w:val="Normal"/>
        <w:widowControl/>
        <w:spacing w:lineRule="auto" w:line="336" w:before="0" w:after="150"/>
        <w:rPr/>
      </w:pPr>
      <w:r>
        <w:rPr>
          <w:rFonts w:eastAsia="Georgia" w:cs="Georgia"/>
          <w:color w:val="2E2926"/>
          <w:sz w:val="20"/>
          <w:szCs w:val="20"/>
        </w:rPr>
        <w:t xml:space="preserve">Databricks Free Edition is the cloud environment for Apache Spark processing and Delta lakehouse storage, using serverless compute. Collection runs outside the workspace on GitHub Actions, which downloads the public source files, checks them and uploads each batch to a Databricks volume with the Databricks CLI. Spark performs the Bronze, Silver and Gold transformations. The plan requires no GPU, paid inference API, or paid benchmark execution.</w:t>
      </w:r>
    </w:p>
    <w:p>
      <w:pPr>
        <w:pStyle w:val="Normal"/>
        <w:spacing w:before="0" w:after="220"/>
        <w:ind w:start="200"/>
        <w:rPr/>
      </w:pPr>
      <w:hyperlink r:id="rId20">
        <w:r>
          <w:rPr>
            <w:rStyle w:val="Hyperlink"/>
            <w:rFonts w:eastAsia="Trebuchet MS" w:cs="Trebuchet MS" w:ascii="Trebuchet MS" w:hAnsi="Trebuchet MS"/>
            <w:color w:val="8A3A32"/>
            <w:sz w:val="18"/>
            <w:szCs w:val="18"/>
            <w:u w:val="single" w:color="D9B8AE"/>
          </w:rPr>
          <w:t xml:space="preserve">Databricks Free Edition limitations</w:t>
        </w:r>
      </w:hyperlink>
    </w:p>
    <w:p>
      <w:pPr>
        <w:pStyle w:val="Normal"/>
        <w:widowControl/>
        <w:spacing w:lineRule="auto" w:line="336" w:before="0" w:after="150"/>
        <w:rPr/>
      </w:pPr>
      <w:r>
        <w:rPr>
          <w:rFonts w:eastAsia="Georgia" w:cs="Georgia"/>
          <w:color w:val="2E2926"/>
          <w:sz w:val="20"/>
          <w:szCs w:val="20"/>
        </w:rPr>
        <w:t xml:space="preserve">Source access and dashboard availability are tested against the workspace's compute quotas and network restrictions. Running the collector outside the workspace means the size and checksum checks happen before anything reaches Databricks, and the notebook repeats the size check on arrival.</w:t>
      </w:r>
    </w:p>
    <w:p>
      <w:pPr>
        <w:pStyle w:val="Heading2"/>
        <w:keepNext w:val="true"/>
        <w:keepLines/>
        <w:spacing w:before="300" w:after="100"/>
        <w:rPr/>
      </w:pPr>
      <w:r>
        <w:rPr>
          <w:rFonts w:eastAsia="Georgia" w:cs="Georgia" w:ascii="Georgia" w:hAnsi="Georgia"/>
          <w:b/>
          <w:bCs/>
          <w:color w:val="744354"/>
          <w:sz w:val="24"/>
          <w:szCs w:val="24"/>
        </w:rPr>
        <w:t xml:space="preserve">Version control and project materials</w:t>
      </w:r>
    </w:p>
    <w:p>
      <w:pPr>
        <w:pStyle w:val="Normal"/>
        <w:spacing w:before="0" w:after="220"/>
        <w:ind w:start="200"/>
        <w:rPr/>
      </w:pPr>
      <w:hyperlink r:id="rId21">
        <w:r>
          <w:rPr>
            <w:rStyle w:val="Hyperlink"/>
            <w:rFonts w:eastAsia="Trebuchet MS" w:cs="Trebuchet MS" w:ascii="Trebuchet MS" w:hAnsi="Trebuchet MS"/>
            <w:color w:val="8A3A32"/>
            <w:sz w:val="18"/>
            <w:szCs w:val="18"/>
            <w:u w:val="single" w:color="D9B8AE"/>
          </w:rPr>
          <w:t xml:space="preserve">https://github.com/zohaib-mzg/Frontier-AI-Observability</w:t>
        </w:r>
      </w:hyperlink>
    </w:p>
    <w:p>
      <w:pPr>
        <w:pStyle w:val="Normal"/>
        <w:widowControl/>
        <w:spacing w:lineRule="auto" w:line="336" w:before="0" w:after="150"/>
        <w:rPr/>
      </w:pPr>
      <w:r>
        <w:rPr>
          <w:rFonts w:eastAsia="Georgia" w:cs="Georgia"/>
          <w:color w:val="2E2926"/>
          <w:sz w:val="20"/>
          <w:szCs w:val="20"/>
        </w:rPr>
        <w:t xml:space="preserve">GitHub holds the proposal in the proposals folder, the README, the collector and its workflow, the Databricks notebooks, the run guides, the executed proof notebooks, and the small full-load and incremental samples with their manifest and data notices. Bronze and Silver run as two dependent tasks of one Databricks job with a single concurrent run, so two loads never write at the same time.</w:t>
      </w:r>
    </w:p>
    <w:p>
      <w:pPr>
        <w:pStyle w:val="Normal"/>
        <w:widowControl/>
        <w:spacing w:lineRule="auto" w:line="336" w:before="0" w:after="150"/>
        <w:rPr/>
      </w:pPr>
      <w:r>
        <w:rPr>
          <w:rFonts w:eastAsia="Georgia" w:cs="Georgia"/>
          <w:color w:val="2E2926"/>
          <w:sz w:val="20"/>
          <w:szCs w:val="20"/>
        </w:rPr>
        <w:t xml:space="preserve">Complete histories, compressed study archives, restricted Epoch data, credentials, and temporary exports remain outside version control. Source references and checksums identify the ingestion inputs without placing large or sensitive payloads in the repository.</w:t>
      </w:r>
    </w:p>
    <w:p>
      <w:pPr>
        <w:pStyle w:val="Heading2"/>
        <w:keepNext w:val="true"/>
        <w:keepLines/>
        <w:spacing w:before="300" w:after="100"/>
        <w:rPr/>
      </w:pPr>
      <w:r>
        <w:rPr>
          <w:rFonts w:eastAsia="Georgia" w:cs="Georgia" w:ascii="Georgia" w:hAnsi="Georgia"/>
          <w:b/>
          <w:bCs/>
          <w:color w:val="744354"/>
          <w:sz w:val="24"/>
          <w:szCs w:val="24"/>
        </w:rPr>
        <w:t xml:space="preserve">Data volume and compute controls</w:t>
      </w:r>
    </w:p>
    <w:p>
      <w:pPr>
        <w:pStyle w:val="Normal"/>
        <w:widowControl/>
        <w:spacing w:lineRule="auto" w:line="336" w:before="0" w:after="150"/>
        <w:rPr/>
      </w:pPr>
      <w:r>
        <w:rPr>
          <w:rFonts w:eastAsia="Georgia" w:cs="Georgia"/>
          <w:color w:val="2E2926"/>
          <w:sz w:val="20"/>
          <w:szCs w:val="20"/>
        </w:rPr>
        <w:t xml:space="preserve">Development began with a smoke test and representative samples, and the full acquisition of about 192 MB was loaded once the source contracts and cleaning rules were checked. Collection runs three times a week, unchanged files are skipped by checksum, a batch under 1 MB is refused and left for the next run, and Silver processes only the batches it has not already logged.</w:t>
      </w:r>
    </w:p>
    <w:p>
      <w:pPr>
        <w:pStyle w:val="Normal"/>
        <w:widowControl/>
        <w:spacing w:lineRule="auto" w:line="336" w:before="0" w:after="150"/>
        <w:rPr/>
      </w:pPr>
      <w:r>
        <w:rPr>
          <w:rFonts w:eastAsia="Georgia" w:cs="Georgia"/>
          <w:color w:val="2E2926"/>
          <w:sz w:val="20"/>
          <w:szCs w:val="20"/>
        </w:rPr>
        <w:t xml:space="preserve">A full pass of Silver over all eight tables takes about four minutes on serverless compute, and every load can be repeated safely because of the MERGE. Bronze can also be rebuilt from the processed files without new downloads. Rows read, inserted, updated, skipped and quarantined, together with durations and failures, are written to the operations tables for every file, batch and run.</w:t>
      </w:r>
    </w:p>
    <w:p>
      <w:pPr>
        <w:pStyle w:val="Normal"/>
        <w:widowControl/>
        <w:spacing w:lineRule="auto" w:line="336" w:before="0" w:after="150"/>
        <w:rPr/>
      </w:pPr>
      <w:r>
        <w:rPr>
          <w:rFonts w:eastAsia="Georgia" w:cs="Georgia"/>
          <w:color w:val="2E2926"/>
          <w:sz w:val="20"/>
          <w:szCs w:val="20"/>
        </w:rPr>
        <w:t xml:space="preserve">A 3 GB working-storage target leaves room for the landed files, the Bronze and Silver Delta tables and rejected records; it is an internal planning allowance rather than a provider guarantee. Temporary extracts are removed after successful ingestion, and the original archives are retained for reproducibility. Jobs use bounded retries and execution time, and optional refreshes wait if the free compute allowance is exhausted. GitHub disables scheduled workflows after 60 days without repository activity, so the schedule is re-enabled from the Actions page if that happens. Development stays within free resources, with no billing-enabled service required.</w:t>
      </w:r>
    </w:p>
    <w:sectPr>
      <w:type w:val="nextPage"/>
      <w:pgSz w:w="12240" w:h="15840"/>
      <w:pgMar w:left="1440" w:right="1440" w:gutter="0" w:header="0" w:top="1300" w:footer="0"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Georgia">
    <w:charset w:val="00" w:characterSet="windows-1252"/>
    <w:family w:val="swiss"/>
    <w:pitch w:val="variable"/>
  </w:font>
  <w:font w:name="Liberation Sans">
    <w:altName w:val="Arial"/>
    <w:charset w:val="00" w:characterSet="windows-1252"/>
    <w:family w:val="swiss"/>
    <w:pitch w:val="variable"/>
  </w:font>
  <w:font w:name="Trebuchet MS">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2E2926"/>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2E2926"/>
      <w:kern w:val="0"/>
      <w:sz w:val="20"/>
      <w:szCs w:val="20"/>
      <w:lang w:val="en-US" w:eastAsia="zh-CN" w:bidi="hi-IN"/>
    </w:rPr>
  </w:style>
  <w:style w:type="paragraph" w:styleId="Heading1">
    <w:name w:val="heading 1"/>
    <w:basedOn w:val="Heading"/>
    <w:qFormat/>
    <w:pPr>
      <w:outlineLvl w:val="0"/>
    </w:pPr>
    <w:rPr>
      <w:rFonts w:ascii="Georgia" w:hAnsi="Georgia" w:eastAsia="Georgia" w:cs="Georgia"/>
      <w:b/>
      <w:bCs/>
      <w:color w:val="2A2321"/>
      <w:sz w:val="34"/>
      <w:szCs w:val="34"/>
    </w:rPr>
  </w:style>
  <w:style w:type="paragraph" w:styleId="Heading2">
    <w:name w:val="heading 2"/>
    <w:basedOn w:val="Heading"/>
    <w:qFormat/>
    <w:pPr>
      <w:outlineLvl w:val="1"/>
    </w:pPr>
    <w:rPr>
      <w:rFonts w:ascii="Georgia" w:hAnsi="Georgia" w:eastAsia="Georgia" w:cs="Georgia"/>
      <w:b/>
      <w:bCs/>
      <w:color w:val="74435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2E2926"/>
      <w:kern w:val="0"/>
      <w:sz w:val="20"/>
      <w:szCs w:val="20"/>
      <w:lang w:val="en-US" w:eastAsia="zh-CN" w:bidi="hi-IN"/>
    </w:rPr>
  </w:style>
  <w:style w:type="paragraph" w:styleId="ListParagraph">
    <w:name w:val="List Paragraph"/>
    <w:qFormat/>
    <w:pPr>
      <w:widowControl/>
      <w:bidi w:val="0"/>
      <w:spacing w:before="0" w:after="0"/>
      <w:jc w:val="start"/>
    </w:pPr>
    <w:rPr>
      <w:rFonts w:ascii="Georgia" w:hAnsi="Georgia" w:eastAsia="Georgia" w:cs="Georgia"/>
      <w:color w:val="2E2926"/>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zohaib-mzg/Frontier-AI-Observability" TargetMode="External"/><Relationship Id="rId3" Type="http://schemas.openxmlformats.org/officeDocument/2006/relationships/hyperlink" Target="https://huggingface.co/datasets/lmarena-ai/leaderboard-dataset" TargetMode="External"/><Relationship Id="rId4" Type="http://schemas.openxmlformats.org/officeDocument/2006/relationships/hyperlink" Target="https://huggingface.co/datasets/lmarena-ai/leaderboard-dataset/resolve/7d2d9009b2ba84383deb6f1b70e66f85b7cda4e7/text/full-00000-of-00001.parquet" TargetMode="External"/><Relationship Id="rId5" Type="http://schemas.openxmlformats.org/officeDocument/2006/relationships/hyperlink" Target="https://huggingface.co/datasets/lmarena-ai/leaderboard-dataset/resolve/7d2d9009b2ba84383deb6f1b70e66f85b7cda4e7/text_style_control/full-00000-of-00001.parquet" TargetMode="External"/><Relationship Id="rId6" Type="http://schemas.openxmlformats.org/officeDocument/2006/relationships/hyperlink" Target="https://huggingface.co/datasets/lmarena-ai/leaderboard-dataset/resolve/7d2d9009b2ba84383deb6f1b70e66f85b7cda4e7/webdev/full-00000-of-00001.parquet" TargetMode="External"/><Relationship Id="rId7" Type="http://schemas.openxmlformats.org/officeDocument/2006/relationships/hyperlink" Target="https://huggingface.co/datasets/lmarena-ai/leaderboard-dataset/resolve/7d2d9009b2ba84383deb6f1b70e66f85b7cda4e7/agent/full-00000-of-00001.parquet" TargetMode="External"/><Relationship Id="rId8" Type="http://schemas.openxmlformats.org/officeDocument/2006/relationships/hyperlink" Target="https://huggingface.co/datasets/CooperBench/team-trajectories" TargetMode="External"/><Relationship Id="rId9" Type="http://schemas.openxmlformats.org/officeDocument/2006/relationships/hyperlink" Target="https://huggingface.co/datasets/CooperBench/team-trajectories/resolve/dd371629174a226ecd251672af315699b77de05d/cmp-full-solo.tar.gz" TargetMode="External"/><Relationship Id="rId10" Type="http://schemas.openxmlformats.org/officeDocument/2006/relationships/hyperlink" Target="https://huggingface.co/datasets/CooperBench/team-trajectories/resolve/dd371629174a226ecd251672af315699b77de05d/cmp-full-coopgit.tar.gz" TargetMode="External"/><Relationship Id="rId11" Type="http://schemas.openxmlformats.org/officeDocument/2006/relationships/hyperlink" Target="https://huggingface.co/datasets/CooperBench/team-trajectories/resolve/dd371629174a226ecd251672af315699b77de05d/cmp-full-team.tar.gz" TargetMode="External"/><Relationship Id="rId12" Type="http://schemas.openxmlformats.org/officeDocument/2006/relationships/hyperlink" Target="https://huggingface.co/datasets/CooperBench/team-trajectories/resolve/dd371629174a226ecd251672af315699b77de05d/cmp-full-team-noproto.tar.gz" TargetMode="External"/><Relationship Id="rId13" Type="http://schemas.openxmlformats.org/officeDocument/2006/relationships/hyperlink" Target="https://benchlm.ai/data/models.json" TargetMode="External"/><Relationship Id="rId14" Type="http://schemas.openxmlformats.org/officeDocument/2006/relationships/hyperlink" Target="https://benchlm.ai/data/benchmarks.json" TargetMode="External"/><Relationship Id="rId15" Type="http://schemas.openxmlformats.org/officeDocument/2006/relationships/hyperlink" Target="https://benchlm.ai/data/pricing.json" TargetMode="External"/><Relationship Id="rId16" Type="http://schemas.openxmlformats.org/officeDocument/2006/relationships/hyperlink" Target="https://benchlm.ai/data" TargetMode="External"/><Relationship Id="rId17" Type="http://schemas.openxmlformats.org/officeDocument/2006/relationships/hyperlink" Target="https://epoch.ai/data/all_ai_models.csv" TargetMode="External"/><Relationship Id="rId18" Type="http://schemas.openxmlformats.org/officeDocument/2006/relationships/hyperlink" Target="https://epoch.ai/data/ai-models" TargetMode="External"/><Relationship Id="rId19" Type="http://schemas.openxmlformats.org/officeDocument/2006/relationships/hyperlink" Target="https://epoch.ai/data/ai-models-documentation/database-updates" TargetMode="External"/><Relationship Id="rId20" Type="http://schemas.openxmlformats.org/officeDocument/2006/relationships/hyperlink" Target="https://docs.databricks.com/aws/en/getting-started/free-edition-limitations" TargetMode="External"/><Relationship Id="rId21" Type="http://schemas.openxmlformats.org/officeDocument/2006/relationships/hyperlink" Target="https://github.com/zohaib-mzg/Frontier-AI-Observability"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LibreOffice/26.2.6.3$Windows_X86_64 LibreOffice_project/8221e31b3ac356a1623c672912a3d2b492f7e3d1</Application>
  <AppVersion>15.0000</AppVersion>
  <Pages>8</Pages>
  <Words>2509</Words>
  <Characters>15714</Characters>
  <CharactersWithSpaces>18080</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2026-10-03T19:26:33Z</dcterms:created>
  <dc:creator>Muhammad Ali Aamir and Muhammad Zohaib</dc:creator>
  <dc:description/>
  <dc:language>en-US</dc:language>
  <cp:lastModifiedBy/>
  <dcterms:modified xsi:type="dcterms:W3CDTF">2026-10-10T21:23:47Z</dcterms:modified>
  <cp:revision>2</cp:revision>
  <dc:subject>Data platform proposal</dc:subject>
  <dc:title>Frontier AI Observatory Proposal</dc:title>
</cp:coreProperties>
</file>