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PaperSonar</w:t>
      </w:r>
    </w:p>
    <w:p>
      <w:pPr>
        <w:spacing w:after="240"/>
      </w:pPr>
      <w:r>
        <w:rPr>
          <w:b/>
          <w:sz w:val="36"/>
        </w:rPr>
        <w:t>Model design</w:t>
      </w:r>
    </w:p>
    <w:p>
      <w:pPr>
        <w:spacing w:after="280"/>
      </w:pPr>
      <w:r>
        <w:rPr>
          <w:sz w:val="20"/>
        </w:rPr>
        <w:t>Design baseline 1.0   /   25 October 2026</w:t>
      </w:r>
    </w:p>
    <w:p>
      <w:r>
        <w:t>PaperSonar uses a dimensional fact constellation. Publication, work observation and citation relationship facts share conformed dimensions. Multivalued topics, authors and institutions are represented by bridges. The physical definitions are supplied in the Excel data dictionary, PostgreSQL DDL and editable DBML.</w:t>
      </w:r>
    </w:p>
    <w:p>
      <w:pPr>
        <w:pStyle w:val="Heading1"/>
      </w:pPr>
      <w:r>
        <w:t>Conceptual model</w:t>
      </w:r>
    </w:p>
    <w:p>
      <w:r>
        <w:t>A scholarly work can be written by several authors, be affiliated with several institutions and be assigned several topics. It has at most one indexed primary source. A work may cite many other works and be observed repeatedly. Publication output and later observations therefore require separate facts.</w:t>
      </w:r>
    </w:p>
    <w:p>
      <w:r>
        <w:drawing>
          <wp:inline xmlns:a="http://schemas.openxmlformats.org/drawingml/2006/main" xmlns:pic="http://schemas.openxmlformats.org/drawingml/2006/picture">
            <wp:extent cx="6080760" cy="4560570"/>
            <wp:docPr id="1" name="Picture 1"/>
            <wp:cNvGraphicFramePr>
              <a:graphicFrameLocks noChangeAspect="1"/>
            </wp:cNvGraphicFramePr>
            <a:graphic>
              <a:graphicData uri="http://schemas.openxmlformats.org/drawingml/2006/picture">
                <pic:pic>
                  <pic:nvPicPr>
                    <pic:cNvPr id="0" name="02_Conceptual_model.png"/>
                    <pic:cNvPicPr/>
                  </pic:nvPicPr>
                  <pic:blipFill>
                    <a:blip r:embed="rId10"/>
                    <a:stretch>
                      <a:fillRect/>
                    </a:stretch>
                  </pic:blipFill>
                  <pic:spPr>
                    <a:xfrm>
                      <a:off x="0" y="0"/>
                      <a:ext cx="6080760" cy="4560570"/>
                    </a:xfrm>
                    <a:prstGeom prst="rect"/>
                  </pic:spPr>
                </pic:pic>
              </a:graphicData>
            </a:graphic>
          </wp:inline>
        </w:drawing>
      </w:r>
    </w:p>
    <w:p>
      <w:r>
        <w:t>Conceptual relationships are optional when metadata is absent. A source affiliation is a relationship observed on a work, not proof of an author's current employment.</w:t>
      </w:r>
    </w:p>
    <w:p>
      <w:r>
        <w:br w:type="page"/>
      </w:r>
    </w:p>
    <w:p>
      <w:pPr>
        <w:pStyle w:val="Heading1"/>
      </w:pPr>
      <w:r>
        <w:t>Logical dimensional model</w:t>
      </w:r>
    </w:p>
    <w:p>
      <w:r>
        <w:drawing>
          <wp:inline xmlns:a="http://schemas.openxmlformats.org/drawingml/2006/main" xmlns:pic="http://schemas.openxmlformats.org/drawingml/2006/picture">
            <wp:extent cx="6080760" cy="4560570"/>
            <wp:docPr id="2" name="Picture 2"/>
            <wp:cNvGraphicFramePr>
              <a:graphicFrameLocks noChangeAspect="1"/>
            </wp:cNvGraphicFramePr>
            <a:graphic>
              <a:graphicData uri="http://schemas.openxmlformats.org/drawingml/2006/picture">
                <pic:pic>
                  <pic:nvPicPr>
                    <pic:cNvPr id="0" name="03_Dimensional_schema.png"/>
                    <pic:cNvPicPr/>
                  </pic:nvPicPr>
                  <pic:blipFill>
                    <a:blip r:embed="rId11"/>
                    <a:stretch>
                      <a:fillRect/>
                    </a:stretch>
                  </pic:blipFill>
                  <pic:spPr>
                    <a:xfrm>
                      <a:off x="0" y="0"/>
                      <a:ext cx="6080760" cy="4560570"/>
                    </a:xfrm>
                    <a:prstGeom prst="rect"/>
                  </pic:spPr>
                </pic:pic>
              </a:graphicData>
            </a:graphic>
          </wp:inline>
        </w:drawing>
      </w:r>
    </w:p>
    <w:p>
      <w:r>
        <w:t>Each analytical fact has a declared grain and PK. Integer FKs connect facts to dimensions. The topic hierarchy is flattened, so the core model remains a set of stars. Bridges handle multivalued attributes without forcing one row per author or topic into the publication fact. Citation references use two roles of dim_work.</w:t>
      </w:r>
    </w:p>
    <w:p>
      <w:pPr>
        <w:pStyle w:val="Heading2"/>
      </w:pPr>
      <w:r>
        <w:t>Fact key constraints</w:t>
      </w:r>
    </w:p>
    <w:tbl>
      <w:tblPr>
        <w:tblW w:type="auto" w:w="0"/>
        <w:tblLayout w:type="fixed"/>
        <w:tblLook w:firstColumn="1" w:firstRow="1" w:lastColumn="0" w:lastRow="0" w:noHBand="0" w:noVBand="1" w:val="04A0"/>
      </w:tblPr>
      <w:tblGrid>
        <w:gridCol w:w="2232"/>
        <w:gridCol w:w="2952"/>
        <w:gridCol w:w="4536"/>
      </w:tblGrid>
      <w:tr>
        <w:trPr>
          <w:tblHeader/>
          <w:cantSplit/>
        </w:trPr>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Table</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Primary key</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Foreign key groups</w:t>
            </w:r>
          </w:p>
        </w:tc>
      </w:tr>
      <w:tr>
        <w:trPr>
          <w:cantSplit/>
        </w:trPr>
        <w:tc>
          <w:tcPr>
            <w:tcW w:type="dxa" w:w="223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fact_publication</w:t>
            </w:r>
          </w:p>
        </w:tc>
        <w:tc>
          <w:tcPr>
            <w:tcW w:type="dxa" w:w="29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work_key</w:t>
            </w:r>
          </w:p>
        </w:tc>
        <w:tc>
          <w:tcPr>
            <w:tcW w:type="dxa" w:w="45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work, publication date, primary topic, venue, work type, run</w:t>
            </w:r>
          </w:p>
        </w:tc>
      </w:tr>
      <w:tr>
        <w:trPr>
          <w:cantSplit/>
        </w:trPr>
        <w:tc>
          <w:tcPr>
            <w:tcW w:type="dxa" w:w="223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fact_work_snapshot</w:t>
            </w:r>
          </w:p>
        </w:tc>
        <w:tc>
          <w:tcPr>
            <w:tcW w:type="dxa" w:w="29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work_key + snapshot_date_key</w:t>
            </w:r>
          </w:p>
        </w:tc>
        <w:tc>
          <w:tcPr>
            <w:tcW w:type="dxa" w:w="45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work, observation date, access status, run</w:t>
            </w:r>
          </w:p>
        </w:tc>
      </w:tr>
      <w:tr>
        <w:trPr>
          <w:cantSplit/>
        </w:trPr>
        <w:tc>
          <w:tcPr>
            <w:tcW w:type="dxa" w:w="223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fact_citation</w:t>
            </w:r>
          </w:p>
        </w:tc>
        <w:tc>
          <w:tcPr>
            <w:tcW w:type="dxa" w:w="29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citing_work_key + cited_work_key</w:t>
            </w:r>
          </w:p>
        </w:tc>
        <w:tc>
          <w:tcPr>
            <w:tcW w:type="dxa" w:w="45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citing work, cited work, first-seen date, last-seen run</w:t>
            </w:r>
          </w:p>
        </w:tc>
      </w:tr>
    </w:tbl>
    <w:p>
      <w:pPr>
        <w:spacing w:after="0"/>
      </w:pPr>
    </w:p>
    <w:p>
      <w:r>
        <w:br w:type="page"/>
      </w:r>
    </w:p>
    <w:p>
      <w:pPr>
        <w:pStyle w:val="Heading1"/>
      </w:pPr>
      <w:r>
        <w:t>Physical dimension definitions</w:t>
      </w:r>
    </w:p>
    <w:p>
      <w:r>
        <w:drawing>
          <wp:inline xmlns:a="http://schemas.openxmlformats.org/drawingml/2006/main" xmlns:pic="http://schemas.openxmlformats.org/drawingml/2006/picture">
            <wp:extent cx="6080760" cy="4560570"/>
            <wp:docPr id="3" name="Picture 3"/>
            <wp:cNvGraphicFramePr>
              <a:graphicFrameLocks noChangeAspect="1"/>
            </wp:cNvGraphicFramePr>
            <a:graphic>
              <a:graphicData uri="http://schemas.openxmlformats.org/drawingml/2006/picture">
                <pic:pic>
                  <pic:nvPicPr>
                    <pic:cNvPr id="0" name="04_Physical_dimensions.png"/>
                    <pic:cNvPicPr/>
                  </pic:nvPicPr>
                  <pic:blipFill>
                    <a:blip r:embed="rId12"/>
                    <a:stretch>
                      <a:fillRect/>
                    </a:stretch>
                  </pic:blipFill>
                  <pic:spPr>
                    <a:xfrm>
                      <a:off x="0" y="0"/>
                      <a:ext cx="6080760" cy="4560570"/>
                    </a:xfrm>
                    <a:prstGeom prst="rect"/>
                  </pic:spPr>
                </pic:pic>
              </a:graphicData>
            </a:graphic>
          </wp:inline>
        </w:drawing>
      </w:r>
    </w:p>
    <w:p>
      <w:r>
        <w:t>Physical sheet 1 lists every dimension attribute and data type. The full-size PNG and PDF retain readable field labels. All column descriptions, nullable flags, natural identifiers and source mappings are in 07_PaperSonar_Data_dictionary.xlsx.</w:t>
      </w:r>
    </w:p>
    <w:p>
      <w:pPr>
        <w:pStyle w:val="Heading2"/>
      </w:pPr>
      <w:r>
        <w:t>Unknown members and dates</w:t>
      </w:r>
    </w:p>
    <w:p>
      <w:r>
        <w:t>Reserve key 0 for unknown members of date, topic, venue, work type, access, author and institution dimensions. The current bridge policy stores only actual supplied memberships, so it normally uses no unknown author or institution row. Full-date attributes for the unknown day are null. Work stubs retain actual source work IDs and do not use key 0.</w:t>
      </w:r>
    </w:p>
    <w:p>
      <w:r>
        <w:br w:type="page"/>
      </w:r>
    </w:p>
    <w:p>
      <w:pPr>
        <w:pStyle w:val="Heading1"/>
      </w:pPr>
      <w:r>
        <w:t>Physical facts and relationships</w:t>
      </w:r>
    </w:p>
    <w:p>
      <w:r>
        <w:drawing>
          <wp:inline xmlns:a="http://schemas.openxmlformats.org/drawingml/2006/main" xmlns:pic="http://schemas.openxmlformats.org/drawingml/2006/picture">
            <wp:extent cx="6080760" cy="4560570"/>
            <wp:docPr id="4" name="Picture 4"/>
            <wp:cNvGraphicFramePr>
              <a:graphicFrameLocks noChangeAspect="1"/>
            </wp:cNvGraphicFramePr>
            <a:graphic>
              <a:graphicData uri="http://schemas.openxmlformats.org/drawingml/2006/picture">
                <pic:pic>
                  <pic:nvPicPr>
                    <pic:cNvPr id="0" name="05_Physical_facts_and_bridges.png"/>
                    <pic:cNvPicPr/>
                  </pic:nvPicPr>
                  <pic:blipFill>
                    <a:blip r:embed="rId13"/>
                    <a:stretch>
                      <a:fillRect/>
                    </a:stretch>
                  </pic:blipFill>
                  <pic:spPr>
                    <a:xfrm>
                      <a:off x="0" y="0"/>
                      <a:ext cx="6080760" cy="4560570"/>
                    </a:xfrm>
                    <a:prstGeom prst="rect"/>
                  </pic:spPr>
                </pic:pic>
              </a:graphicData>
            </a:graphic>
          </wp:inline>
        </w:drawing>
      </w:r>
    </w:p>
    <w:p>
      <w:r>
        <w:t>Physical sheet 2 lists fact, bridge and run-log fields. PostgreSQL DDL defines all PKs, FKs, alternate identifiers and basic constraints. It also creates indices for topic and date analysis, snapshot dates and reference targets. Source-dependent validation and reconciliation remain ETL responsibilities.</w:t>
      </w:r>
    </w:p>
    <w:p>
      <w:pPr>
        <w:pStyle w:val="Heading2"/>
      </w:pPr>
      <w:r>
        <w:t>Physical integrity rules</w:t>
      </w:r>
    </w:p>
    <w:p>
      <w:r>
        <w:t>publication_count and observed_count equal 1. Citation counts and supplied source counts cannot be negative. Citation endpoints must differ. Allocation weights are positive and no greater than 1. The ETL checks per-work weight totals and a single primary-topic membership where a primary topic exists. DOI identity conflicts are quarantined before a unique DOI can be loaded.</w:t>
      </w:r>
    </w:p>
    <w:p>
      <w:r>
        <w:br w:type="page"/>
      </w:r>
    </w:p>
    <w:p>
      <w:pPr>
        <w:pStyle w:val="Heading1"/>
      </w:pPr>
      <w:r>
        <w:t>Relationship register</w:t>
      </w:r>
    </w:p>
    <w:tbl>
      <w:tblPr>
        <w:tblW w:type="auto" w:w="0"/>
        <w:tblLayout w:type="fixed"/>
        <w:tblLook w:firstColumn="1" w:firstRow="1" w:lastColumn="0" w:lastRow="0" w:noHBand="0" w:noVBand="1" w:val="04A0"/>
      </w:tblPr>
      <w:tblGrid>
        <w:gridCol w:w="5472"/>
        <w:gridCol w:w="4248"/>
      </w:tblGrid>
      <w:tr>
        <w:trPr>
          <w:tblHeader/>
          <w:cantSplit/>
        </w:trPr>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Foreign key</w:t>
            </w:r>
          </w:p>
        </w:tc>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Referenced primary 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dim_work.loaded_run_id</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etl_run.run_id</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fact_publication.work_key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dim_work.work_key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fact_publication.publication_date_key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dim_date.date_key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fact_publication.primary_topic_key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dim_topic.topic_key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fact_publication.venue_key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dim_venue.venue_key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fact_publication.work_type_key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dim_work_type.work_type_key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fact_publication.loaded_run_id</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etl_run.run_id</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fact_work_snapshot.work_key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dim_work.work_key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fact_work_snapshot.snapshot_date_key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dim_date.date_key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fact_work_snapshot.access_key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dim_access_status.access_key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fact_work_snapshot.loaded_run_id</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etl_run.run_id</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fact_citation.citing_work_key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dim_work.work_key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fact_citation.cited_work_key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dim_work.work_key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fact_citation.first_seen_date_key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dim_date.date_key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fact_citation.last_seen_run_id</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etl_run.run_id</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bridge_work_topic.work_key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dim_work.work_key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bridge_work_topic.topic_key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dim_topic.topic_key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bridge_work_author.work_key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dim_work.work_key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bridge_work_author.author_key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dim_author.author_key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bridge_work_institution.work_key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dim_work.work_key</w:t>
            </w:r>
          </w:p>
        </w:tc>
      </w:tr>
      <w:tr>
        <w:trPr>
          <w:cantSplit/>
        </w:trPr>
        <w:tc>
          <w:tcPr>
            <w:tcW w:type="dxa" w:w="54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bridge_work_institution.institution_key</w:t>
            </w:r>
          </w:p>
        </w:tc>
        <w:tc>
          <w:tcPr>
            <w:tcW w:type="dxa" w:w="42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dim_institution.institution_key</w:t>
            </w:r>
          </w:p>
        </w:tc>
      </w:tr>
    </w:tbl>
    <w:p>
      <w:pPr>
        <w:spacing w:after="0"/>
      </w:pPr>
    </w:p>
    <w:p>
      <w:r>
        <w:t>Every FK above is mandatory at the physical level. Unknown descriptive values resolve to key 0 rather than a broken FK. dim_work.loaded_run_id requires an existing run before loading work metadata. No direct fact-to-fact FK exists. The one-to-one publication identity is a special case: a dim_work row has zero or one fact_publication row, while admitted works have exactly one.</w:t>
      </w:r>
    </w:p>
    <w:sectPr w:rsidR="00FC693F" w:rsidRPr="0006063C" w:rsidSect="00034616">
      <w:footerReference w:type="default" r:id="rId9"/>
      <w:pgSz w:w="12240" w:h="15840"/>
      <w:pgMar w:top="1037" w:right="1224"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Palatino Linotype" w:hAnsi="Palatino Linotype" w:eastAsia="Palatino Linotype" w:cs="Palatino Linotype"/>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Palatino Linotype" w:hAnsi="Palatino Linotype" w:eastAsia="Palatino Linotype" w:cs="Palatino Linotype"/>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Palatino Linotype" w:hAnsi="Palatino Linotype" w:eastAsia="Palatino Linotype" w:cs="Palatino Linotype"/>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alatino Linotype" w:hAnsi="Palatino Linotype" w:eastAsia="Palatino Linotype" w:cs="Palatino Linotype"/>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Palatino Linotype" w:hAnsi="Palatino Linotype" w:eastAsia="Palatino Linotype" w:cs="Palatino Linotype"/>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Palatino Linotype" w:hAnsi="Palatino Linotype" w:eastAsia="Palatino Linotype" w:cs="Palatino Linotype"/>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PaperSonar Model design</dc:title>
  <dc:subject>Research intelligence platform design</dc:subject>
  <dc:creator/>
  <cp:keywords>PaperSonar</cp:keywords>
  <dc:description/>
  <cp:lastModifiedBy/>
  <cp:revision>1</cp:revision>
  <dcterms:created xsi:type="dcterms:W3CDTF">2013-12-23T23:15:00Z</dcterms:created>
  <dcterms:modified xsi:type="dcterms:W3CDTF">2013-12-23T23:15:00Z</dcterms:modified>
  <cp:category/>
</cp:coreProperties>
</file>