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PaperSonar</w:t>
      </w:r>
    </w:p>
    <w:p>
      <w:pPr>
        <w:spacing w:after="240"/>
      </w:pPr>
      <w:r>
        <w:rPr>
          <w:b/>
          <w:sz w:val="36"/>
        </w:rPr>
        <w:t>Fact and dimension identification</w:t>
      </w:r>
    </w:p>
    <w:p>
      <w:pPr>
        <w:spacing w:after="280"/>
      </w:pPr>
      <w:r>
        <w:rPr>
          <w:sz w:val="20"/>
        </w:rPr>
        <w:t>Design baseline 1.0   /   25 October 2026</w:t>
      </w:r>
    </w:p>
    <w:p>
      <w:r>
        <w:t>PaperSonar models three different processes: publishing a scholarly work, observing its current citation and access state, and recording a directed reference relationship. Separating these processes avoids mixing publication output with repeated observations or citation edges.</w:t>
      </w:r>
    </w:p>
    <w:p>
      <w:pPr>
        <w:pStyle w:val="Heading1"/>
      </w:pPr>
      <w:r>
        <w:t>Business processes and fact types</w:t>
      </w:r>
    </w:p>
    <w:tbl>
      <w:tblPr>
        <w:tblW w:type="auto" w:w="0"/>
        <w:tblLayout w:type="fixed"/>
        <w:tblLook w:firstColumn="1" w:firstRow="1" w:lastColumn="0" w:lastRow="0" w:noHBand="0" w:noVBand="1" w:val="04A0"/>
      </w:tblPr>
      <w:tblGrid>
        <w:gridCol w:w="2016"/>
        <w:gridCol w:w="2448"/>
        <w:gridCol w:w="5256"/>
      </w:tblGrid>
      <w:tr>
        <w:trPr>
          <w:tblHeader/>
          <w:cantSplit/>
        </w:trPr>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Process</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Fact table</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Type and grain</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Publication output</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fact_publication</w:t>
            </w:r>
          </w:p>
        </w:tc>
        <w:tc>
          <w:tcPr>
            <w:tcW w:type="dxa" w:w="525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Transaction fact. One admitted canonical work.</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Citation and access observation</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fact_work_snapshot</w:t>
            </w:r>
          </w:p>
        </w:tc>
        <w:tc>
          <w:tcPr>
            <w:tcW w:type="dxa" w:w="525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Periodic snapshot. One work on one successful UTC observation day.</w:t>
            </w:r>
          </w:p>
        </w:tc>
      </w:tr>
      <w:tr>
        <w:trPr>
          <w:cantSplit/>
        </w:trPr>
        <w:tc>
          <w:tcPr>
            <w:tcW w:type="dxa" w:w="201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Reference relationship</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fact_citation</w:t>
            </w:r>
          </w:p>
        </w:tc>
        <w:tc>
          <w:tcPr>
            <w:tcW w:type="dxa" w:w="5256"/>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Factless fact. One distinct directed citing and cited work pair.</w:t>
            </w:r>
          </w:p>
        </w:tc>
      </w:tr>
    </w:tbl>
    <w:p>
      <w:pPr>
        <w:spacing w:after="0"/>
      </w:pPr>
    </w:p>
    <w:p>
      <w:r>
        <w:t>The publication event is indexed using its source-reported publication date. A later metadata correction updates that work's current event attributes. It does not create another publication. Observation snapshots are recorded when the source is fetched, while the citation relationship records when PaperSonar first saw a pair.</w:t>
      </w:r>
    </w:p>
    <w:p>
      <w:pPr>
        <w:pStyle w:val="Heading1"/>
      </w:pPr>
      <w:r>
        <w:t>Measures and valid aggregation</w:t>
      </w:r>
    </w:p>
    <w:tbl>
      <w:tblPr>
        <w:tblW w:type="auto" w:w="0"/>
        <w:tblLayout w:type="fixed"/>
        <w:tblLook w:firstColumn="1" w:firstRow="1" w:lastColumn="0" w:lastRow="0" w:noHBand="0" w:noVBand="1" w:val="04A0"/>
      </w:tblPr>
      <w:tblGrid>
        <w:gridCol w:w="1584"/>
        <w:gridCol w:w="2448"/>
        <w:gridCol w:w="5688"/>
      </w:tblGrid>
      <w:tr>
        <w:trPr>
          <w:tblHeader/>
          <w:cantSplit/>
        </w:trPr>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Table</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Measure</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Aggregation rule</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Publication</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publication_count</w:t>
            </w:r>
          </w:p>
        </w:tc>
        <w:tc>
          <w:tcPr>
            <w:tcW w:type="dxa" w:w="568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Always 1. Sum over the publication grain. Deduplicate after any multivalued bridge join.</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Publication</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author_count and reference_count</w:t>
            </w:r>
          </w:p>
        </w:tc>
        <w:tc>
          <w:tcPr>
            <w:tcW w:type="dxa" w:w="568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Counts from source metadata. Sum only for aggregate involvement or reference volume. Average per work only after work-level deduplication.</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Snapshot</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cited_by_count</w:t>
            </w:r>
          </w:p>
        </w:tc>
        <w:tc>
          <w:tcPr>
            <w:tcW w:type="dxa" w:w="568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Sum across distinct works at one selected snapshot date. Do not sum over observation dates.</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Snapshot</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observed_count</w:t>
            </w:r>
          </w:p>
        </w:tc>
        <w:tc>
          <w:tcPr>
            <w:tcW w:type="dxa" w:w="568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Always 1. Counts observations, not new publications.</w:t>
            </w:r>
          </w:p>
        </w:tc>
      </w:tr>
      <w:tr>
        <w:trPr>
          <w:cantSplit/>
        </w:trPr>
        <w:tc>
          <w:tcPr>
            <w:tcW w:type="dxa" w:w="158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Citation</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No stored measure</w:t>
            </w:r>
          </w:p>
        </w:tc>
        <w:tc>
          <w:tcPr>
            <w:tcW w:type="dxa" w:w="568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Count distinct directed pairs. A COUNT result is derived, so the relationship fact remains factless.</w:t>
            </w:r>
          </w:p>
        </w:tc>
      </w:tr>
    </w:tbl>
    <w:p>
      <w:pPr>
        <w:spacing w:after="0"/>
      </w:pPr>
    </w:p>
    <w:p>
      <w:r>
        <w:br w:type="page"/>
      </w:r>
    </w:p>
    <w:p>
      <w:pPr>
        <w:pStyle w:val="Heading1"/>
      </w:pPr>
      <w:r>
        <w:t>Dimensions and hierarchies</w:t>
      </w:r>
    </w:p>
    <w:tbl>
      <w:tblPr>
        <w:tblW w:type="auto" w:w="0"/>
        <w:tblLayout w:type="fixed"/>
        <w:tblLook w:firstColumn="1" w:firstRow="1" w:lastColumn="0" w:lastRow="0" w:noHBand="0" w:noVBand="1" w:val="04A0"/>
      </w:tblPr>
      <w:tblGrid>
        <w:gridCol w:w="2304"/>
        <w:gridCol w:w="2448"/>
        <w:gridCol w:w="4968"/>
      </w:tblGrid>
      <w:tr>
        <w:trPr>
          <w:tblHeader/>
          <w:cantSplit/>
        </w:trPr>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Dimension</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Natural identity</w:t>
            </w:r>
          </w:p>
        </w:tc>
        <w:tc>
          <w:tcPr>
            <w:tcW w:type="dxa" w:w="324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Main attributes and hierarchy</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Canonical OpenAlex work ID</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DOI, title, publication year, language, precision, scope and stub flags.</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dim_date</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Calendar date</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Day to month to quarter to year. Role-played for publication, observation and first-seen dates.</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dim_topic</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OpenAlex topic ID</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Topic to subfield to field to domain. Higher levels are flattened attributes.</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dim_venue</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OpenAlex source ID</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Name, ISSN-L and source type. No unsupported venue quality rank.</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dim_work_type</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Source type code</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Publication type code and readable label.</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dim_access_status</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Source access status code</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Status and nullable open-access indicator.</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dim_author</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OpenAlex author ID</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Display name and supplied ORCID. Names are not identity keys.</w:t>
            </w:r>
          </w:p>
        </w:tc>
      </w:tr>
      <w:tr>
        <w:trPr>
          <w:cantSplit/>
        </w:trPr>
        <w:tc>
          <w:tcPr>
            <w:tcW w:type="dxa" w:w="2304"/>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dim_institution</w:t>
            </w:r>
          </w:p>
        </w:tc>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OpenAlex institution ID</w:t>
            </w:r>
          </w:p>
        </w:tc>
        <w:tc>
          <w:tcPr>
            <w:tcW w:type="dxa" w:w="496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Name, ROR ID, type and country. Institution to country roll-up.</w:t>
            </w:r>
          </w:p>
        </w:tc>
      </w:tr>
    </w:tbl>
    <w:p>
      <w:pPr>
        <w:spacing w:after="0"/>
      </w:pPr>
    </w:p>
    <w:p>
      <w:r>
        <w:t>All dimensions use integer surrogate keys. Date uses YYYYMMDD as its surrogate convention, with 0 for unknown. OpenAlex IDs are retained as unique alternate keys. DOI is a nullable unique alternate identifier after conflict resolution. A title or author name never becomes a natural key.</w:t>
      </w:r>
    </w:p>
    <w:p>
      <w:pPr>
        <w:pStyle w:val="Heading2"/>
      </w:pPr>
      <w:r>
        <w:t>Slowly changing attributes</w:t>
      </w:r>
    </w:p>
    <w:p>
      <w:r>
        <w:t>The first release uses Type 1 updates for current descriptive attributes and work-topic, work-author and work-institution memberships. Raw inputs and dated report exports preserve the evidence for old comparisons. The model does not claim that joining an old snapshot to current topic assignments reproduces a past classification state. Rebuild from archived inputs when that state is required. A versioned membership model is a future extension.</w:t>
      </w:r>
    </w:p>
    <w:p>
      <w:r>
        <w:br w:type="page"/>
      </w:r>
    </w:p>
    <w:p>
      <w:pPr>
        <w:pStyle w:val="Heading1"/>
      </w:pPr>
      <w:r>
        <w:t>Bridges and conformed use</w:t>
      </w:r>
    </w:p>
    <w:tbl>
      <w:tblPr>
        <w:tblW w:type="auto" w:w="0"/>
        <w:tblLayout w:type="fixed"/>
        <w:tblLook w:firstColumn="1" w:firstRow="1" w:lastColumn="0" w:lastRow="0" w:noHBand="0" w:noVBand="1" w:val="04A0"/>
      </w:tblPr>
      <w:tblGrid>
        <w:gridCol w:w="2448"/>
        <w:gridCol w:w="7272"/>
      </w:tblGrid>
      <w:tr>
        <w:trPr>
          <w:tblHeader/>
          <w:cantSplit/>
        </w:trPr>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Bridge</w:t>
            </w:r>
          </w:p>
        </w:tc>
        <w:tc>
          <w:tcPr>
            <w:tcW w:type="dxa" w:w="4860"/>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sz w:val="20"/>
              </w:rPr>
              <w:t>Relationship and policy</w:t>
            </w:r>
          </w:p>
        </w:tc>
      </w:tr>
      <w:tr>
        <w:trPr>
          <w:cantSplit/>
        </w:trPr>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bridge_work_topic</w:t>
            </w:r>
          </w:p>
        </w:tc>
        <w:tc>
          <w:tcPr>
            <w:tcW w:type="dxa" w:w="72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work to many supplied topics. Retain source score and primary flag. Equal allocation weights sum to 1 across all distinct supplied topics for the work.</w:t>
            </w:r>
          </w:p>
        </w:tc>
      </w:tr>
      <w:tr>
        <w:trPr>
          <w:cantSplit/>
        </w:trPr>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bridge_work_author</w:t>
            </w:r>
          </w:p>
        </w:tc>
        <w:tc>
          <w:tcPr>
            <w:tcW w:type="dxa" w:w="72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work to many distinct supplied authors. Retain source author position. Institution attribution is not joined through this bridge in reporting.</w:t>
            </w:r>
          </w:p>
        </w:tc>
      </w:tr>
      <w:tr>
        <w:trPr>
          <w:cantSplit/>
        </w:trPr>
        <w:tc>
          <w:tcPr>
            <w:tcW w:type="dxa" w:w="2448"/>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bridge_work_institution</w:t>
            </w:r>
          </w:p>
        </w:tc>
        <w:tc>
          <w:tcPr>
            <w:tcW w:type="dxa" w:w="7272"/>
            <w:tcMar>
              <w:top w:w="80" w:type="dxa"/>
              <w:left w:w="80" w:type="dxa"/>
              <w:bottom w:w="80" w:type="dxa"/>
              <w:right w:w="80" w:type="dxa"/>
            </w:tcMar>
            <w:tcBorders>
              <w:top w:val="single" w:sz="4" w:color="B5B5B5"/>
              <w:left w:val="single" w:sz="4" w:color="B5B5B5"/>
              <w:bottom w:val="single" w:sz="4" w:color="B5B5B5"/>
              <w:right w:val="single" w:sz="4" w:color="B5B5B5"/>
            </w:tcBorders>
          </w:tcPr>
          <w:p>
            <w:pPr>
              <w:spacing w:after="40" w:line="245" w:lineRule="auto"/>
            </w:pPr>
            <w:r>
              <w:rPr>
                <w:b w:val="0"/>
                <w:sz w:val="20"/>
              </w:rPr>
              <w:t>One work to many distinct institutions deduplicated across authors. Equal allocation weights sum to 1 across all distinct institutions for the work.</w:t>
            </w:r>
          </w:p>
        </w:tc>
      </w:tr>
    </w:tbl>
    <w:p>
      <w:pPr>
        <w:spacing w:after="0"/>
      </w:pPr>
    </w:p>
    <w:p>
      <w:r>
        <w:t>Weights are calculated over the complete supplied set before a report filter is applied. Do not renormalize the remaining weights after filtering institutions or topics. An absent membership set remains absent and is counted by a separate missingness measure. A source assignment score is not an allocation weight.</w:t>
      </w:r>
    </w:p>
    <w:p>
      <w:pPr>
        <w:pStyle w:val="Heading2"/>
      </w:pPr>
      <w:r>
        <w:t>Conformed dimensions and report paths</w:t>
      </w:r>
    </w:p>
    <w:p>
      <w:r>
        <w:t>The work and date dimensions are shared across publication and snapshot analysis. dim_work is role-played twice for citation analysis. For Q11, join each citation endpoint to its own publication fact alias to obtain the endpoint's primary topic. Citation targets that exist only as stubs are excluded from topic-flow analysis and counted separately as unresolved or out-of-scope targets.</w:t>
      </w:r>
    </w:p>
    <w:p>
      <w:r>
        <w:t>There are no direct foreign keys between fact tables. Combine facts only after selecting their intended grain and observation date. For publication output by primary topic, read fact_publication directly. For secondary-topic exploration, use the topic bridge and a distinct work count or fractional weights. Never multiply author, institution and topic bridges in one unrestricted join.</w:t>
      </w:r>
    </w:p>
    <w:p>
      <w:pPr>
        <w:pStyle w:val="Heading2"/>
      </w:pPr>
      <w:r>
        <w:t>Run lineage</w:t>
      </w:r>
    </w:p>
    <w:p>
      <w:r>
        <w:t>etl_run is an operational lineage table rather than a business dimension. It records corpus, mapping and metric versions, manifest path, timestamps, status and source-record counts. It is shown separately from the analytical constellation. Publication and observation rows retain a run FK, and citation pairs retain their last complete observation run.</w:t>
      </w:r>
    </w:p>
    <w:sectPr w:rsidR="00FC693F" w:rsidRPr="0006063C" w:rsidSect="00034616">
      <w:footerReference w:type="default" r:id="rId9"/>
      <w:pgSz w:w="12240" w:h="15840"/>
      <w:pgMar w:top="1037" w:right="1224" w:bottom="93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Palatino Linotype" w:hAnsi="Palatino Linotype" w:eastAsia="Palatino Linotype" w:cs="Palatino Linotype"/>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Palatino Linotype" w:hAnsi="Palatino Linotype" w:eastAsia="Palatino Linotype" w:cs="Palatino Linotype"/>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Palatino Linotype" w:hAnsi="Palatino Linotype" w:eastAsia="Palatino Linotype" w:cs="Palatino Linotype"/>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Palatino Linotype" w:hAnsi="Palatino Linotype" w:eastAsia="Palatino Linotype" w:cs="Palatino Linotype"/>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Palatino Linotype" w:hAnsi="Palatino Linotype" w:eastAsia="Palatino Linotype" w:cs="Palatino Linotype"/>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Palatino Linotype" w:hAnsi="Palatino Linotype" w:eastAsia="Palatino Linotype" w:cs="Palatino Linotype"/>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PaperSonar Fact and dimension identification</dc:title>
  <dc:subject>Research intelligence platform design</dc:subject>
  <dc:creator/>
  <cp:keywords>PaperSonar</cp:keywords>
  <dc:description/>
  <cp:lastModifiedBy/>
  <cp:revision>1</cp:revision>
  <dcterms:created xsi:type="dcterms:W3CDTF">2013-12-23T23:15:00Z</dcterms:created>
  <dcterms:modified xsi:type="dcterms:W3CDTF">2013-12-23T23:15:00Z</dcterms:modified>
  <cp:category/>
</cp:coreProperties>
</file>