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Change Scope: Enquiry Form and Second Opinion Page</w:t>
      </w:r>
    </w:p>
    <w:p>
      <w:pPr>
        <w:pBdr>
          <w:bottom w:val="single" w:color="D4A847" w:sz="8" w:space="6"/>
        </w:pBdr>
        <w:spacing w:after="240"/>
      </w:pPr>
      <w:r>
        <w:rPr>
          <w:color w:val="666666"/>
        </w:rPr>
        <w:t xml:space="preserve">LibaMed Ltd · Issued by Candacé Manske, Director · 29 September 2026</w:t>
      </w:r>
    </w:p>
    <w:p>
      <w:pPr>
        <w:pStyle w:val="Heading1"/>
      </w:pPr>
      <w:r>
        <w:t xml:space="preserve">1. Summary</w:t>
      </w:r>
    </w:p>
    <w:p>
      <w:pPr>
        <w:spacing w:after="120"/>
      </w:pPr>
      <w:r>
        <w:t xml:space="preserve">Seven changes to the live site. Items A1 and A2 correct the patient enquiry form as delivered and fall under your policy of fixing issues in your own features at no charge. Items B1 to B5 are new work: please send a time estimate for each before starting.</w:t>
      </w:r>
    </w:p>
    <w:p>
      <w:pPr>
        <w:spacing w:after="120"/>
      </w:pPr>
      <w:r>
        <w:t xml:space="preserve">Priority: A1 first, as Türkiye must not appear publicly until the Representative's Fee with Acıbadem is agreed.</w:t>
      </w:r>
    </w:p>
    <w:p>
      <w:pPr>
        <w:pStyle w:val="Heading1"/>
      </w:pPr>
      <w:r>
        <w:t xml:space="preserve">2.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126"/>
        <w:gridCol w:w="1600"/>
      </w:tblGrid>
      <w:tr>
        <w:trPr>
          <w:tblHeader/>
        </w:trPr>
        <w:tc>
          <w:tcPr>
            <w:tcW w:type="dxa" w:w="700"/>
            <w:shd w:fill="002F4D" w:color="auto" w:val="clear"/>
            <w:tcMar>
              <w:top w:type="dxa" w:w="80"/>
              <w:left w:type="dxa" w:w="100"/>
              <w:bottom w:type="dxa" w:w="80"/>
              <w:right w:type="dxa" w:w="100"/>
            </w:tcMar>
          </w:tcPr>
          <w:p>
            <w:r>
              <w:rPr>
                <w:b/>
                <w:bCs/>
                <w:color w:val="FFFFFF"/>
                <w:sz w:val="20"/>
                <w:szCs w:val="20"/>
              </w:rPr>
              <w:t xml:space="preserve">Ref</w:t>
            </w:r>
          </w:p>
        </w:tc>
        <w:tc>
          <w:tcPr>
            <w:tcW w:type="dxa" w:w="3600"/>
            <w:shd w:fill="002F4D" w:color="auto" w:val="clear"/>
            <w:tcMar>
              <w:top w:type="dxa" w:w="80"/>
              <w:left w:type="dxa" w:w="100"/>
              <w:bottom w:type="dxa" w:w="80"/>
              <w:right w:type="dxa" w:w="100"/>
            </w:tcMar>
          </w:tcPr>
          <w:p>
            <w:r>
              <w:rPr>
                <w:b/>
                <w:bCs/>
                <w:color w:val="FFFFFF"/>
                <w:sz w:val="20"/>
                <w:szCs w:val="20"/>
              </w:rPr>
              <w:t xml:space="preserve">Change</w:t>
            </w:r>
          </w:p>
        </w:tc>
        <w:tc>
          <w:tcPr>
            <w:tcW w:type="dxa" w:w="3126"/>
            <w:shd w:fill="002F4D" w:color="auto" w:val="clear"/>
            <w:tcMar>
              <w:top w:type="dxa" w:w="80"/>
              <w:left w:type="dxa" w:w="100"/>
              <w:bottom w:type="dxa" w:w="80"/>
              <w:right w:type="dxa" w:w="100"/>
            </w:tcMar>
          </w:tcPr>
          <w:p>
            <w:r>
              <w:rPr>
                <w:b/>
                <w:bCs/>
                <w:color w:val="FFFFFF"/>
                <w:sz w:val="20"/>
                <w:szCs w:val="20"/>
              </w:rPr>
              <w:t xml:space="preserve">Done when</w:t>
            </w:r>
          </w:p>
        </w:tc>
        <w:tc>
          <w:tcPr>
            <w:tcW w:type="dxa" w:w="1600"/>
            <w:shd w:fill="002F4D" w:color="auto" w:val="clear"/>
            <w:tcMar>
              <w:top w:type="dxa" w:w="80"/>
              <w:left w:type="dxa" w:w="100"/>
              <w:bottom w:type="dxa" w:w="80"/>
              <w:right w:type="dxa" w:w="100"/>
            </w:tcMar>
          </w:tcPr>
          <w:p>
            <w:r>
              <w:rPr>
                <w:b/>
                <w:bCs/>
                <w:color w:val="FFFFFF"/>
                <w:sz w:val="20"/>
                <w:szCs w:val="20"/>
              </w:rPr>
              <w:t xml:space="preserve">Charge</w:t>
            </w:r>
          </w:p>
        </w:tc>
      </w:tr>
      <w:tr>
        <w:trPr>
          <w:tblHeader w:val="false"/>
        </w:trPr>
        <w:tc>
          <w:tcPr>
            <w:tcW w:type="dxa" w:w="700"/>
            <w:tcMar>
              <w:top w:type="dxa" w:w="80"/>
              <w:left w:type="dxa" w:w="100"/>
              <w:bottom w:type="dxa" w:w="80"/>
              <w:right w:type="dxa" w:w="100"/>
            </w:tcMar>
          </w:tcPr>
          <w:p>
            <w:r>
              <w:rPr>
                <w:b w:val="false"/>
                <w:bCs w:val="false"/>
                <w:sz w:val="20"/>
                <w:szCs w:val="20"/>
              </w:rPr>
              <w:t xml:space="preserve">A1</w:t>
            </w:r>
          </w:p>
        </w:tc>
        <w:tc>
          <w:tcPr>
            <w:tcW w:type="dxa" w:w="3600"/>
            <w:tcMar>
              <w:top w:type="dxa" w:w="80"/>
              <w:left w:type="dxa" w:w="100"/>
              <w:bottom w:type="dxa" w:w="80"/>
              <w:right w:type="dxa" w:w="100"/>
            </w:tcMar>
          </w:tcPr>
          <w:p>
            <w:r>
              <w:rPr>
                <w:b w:val="false"/>
                <w:bCs w:val="false"/>
                <w:sz w:val="20"/>
                <w:szCs w:val="20"/>
              </w:rPr>
              <w:t xml:space="preserve">Remove Türkiye from "Where would you prefer to be treated?" on /en/for-patients. Preferably build this list from the corridors that are published, so a hidden corridor can never appear on the form again.</w:t>
            </w:r>
          </w:p>
        </w:tc>
        <w:tc>
          <w:tcPr>
            <w:tcW w:type="dxa" w:w="3126"/>
            <w:tcMar>
              <w:top w:type="dxa" w:w="80"/>
              <w:left w:type="dxa" w:w="100"/>
              <w:bottom w:type="dxa" w:w="80"/>
              <w:right w:type="dxa" w:w="100"/>
            </w:tcMar>
          </w:tcPr>
          <w:p>
            <w:r>
              <w:rPr>
                <w:b w:val="false"/>
                <w:bCs w:val="false"/>
                <w:sz w:val="20"/>
                <w:szCs w:val="20"/>
              </w:rPr>
              <w:t xml:space="preserve">The dropdown shows only Switzerland, No preference and Somewhere else. Türkiye appears nowhere on the public site.</w:t>
            </w:r>
          </w:p>
        </w:tc>
        <w:tc>
          <w:tcPr>
            <w:tcW w:type="dxa" w:w="1600"/>
            <w:tcMar>
              <w:top w:type="dxa" w:w="80"/>
              <w:left w:type="dxa" w:w="100"/>
              <w:bottom w:type="dxa" w:w="80"/>
              <w:right w:type="dxa" w:w="100"/>
            </w:tcMar>
          </w:tcPr>
          <w:p>
            <w:r>
              <w:rPr>
                <w:b w:val="false"/>
                <w:bCs w:val="false"/>
                <w:sz w:val="20"/>
                <w:szCs w:val="20"/>
              </w:rPr>
              <w:t xml:space="preserve">Fix, no charge</w:t>
            </w:r>
          </w:p>
        </w:tc>
      </w:tr>
      <w:tr>
        <w:trPr>
          <w:tblHeader w:val="false"/>
        </w:trPr>
        <w:tc>
          <w:tcPr>
            <w:tcW w:type="dxa" w:w="700"/>
            <w:tcMar>
              <w:top w:type="dxa" w:w="80"/>
              <w:left w:type="dxa" w:w="100"/>
              <w:bottom w:type="dxa" w:w="80"/>
              <w:right w:type="dxa" w:w="100"/>
            </w:tcMar>
          </w:tcPr>
          <w:p>
            <w:r>
              <w:rPr>
                <w:b w:val="false"/>
                <w:bCs w:val="false"/>
                <w:sz w:val="20"/>
                <w:szCs w:val="20"/>
              </w:rPr>
              <w:t xml:space="preserve">A2</w:t>
            </w:r>
          </w:p>
        </w:tc>
        <w:tc>
          <w:tcPr>
            <w:tcW w:type="dxa" w:w="3600"/>
            <w:tcMar>
              <w:top w:type="dxa" w:w="80"/>
              <w:left w:type="dxa" w:w="100"/>
              <w:bottom w:type="dxa" w:w="80"/>
              <w:right w:type="dxa" w:w="100"/>
            </w:tcMar>
          </w:tcPr>
          <w:p>
            <w:r>
              <w:rPr>
                <w:b w:val="false"/>
                <w:bCs w:val="false"/>
                <w:sz w:val="20"/>
                <w:szCs w:val="20"/>
              </w:rPr>
              <w:t xml:space="preserve">Make "Area of care" and "Rough budget" required, so "Select…" cannot be submitted.</w:t>
            </w:r>
          </w:p>
        </w:tc>
        <w:tc>
          <w:tcPr>
            <w:tcW w:type="dxa" w:w="3126"/>
            <w:tcMar>
              <w:top w:type="dxa" w:w="80"/>
              <w:left w:type="dxa" w:w="100"/>
              <w:bottom w:type="dxa" w:w="80"/>
              <w:right w:type="dxa" w:w="100"/>
            </w:tcMar>
          </w:tcPr>
          <w:p>
            <w:r>
              <w:rPr>
                <w:b w:val="false"/>
                <w:bCs w:val="false"/>
                <w:sz w:val="20"/>
                <w:szCs w:val="20"/>
              </w:rPr>
              <w:t xml:space="preserve">Submitting with "Select…" shows an error. No enquiry is stored with a blank value.</w:t>
            </w:r>
          </w:p>
        </w:tc>
        <w:tc>
          <w:tcPr>
            <w:tcW w:type="dxa" w:w="1600"/>
            <w:tcMar>
              <w:top w:type="dxa" w:w="80"/>
              <w:left w:type="dxa" w:w="100"/>
              <w:bottom w:type="dxa" w:w="80"/>
              <w:right w:type="dxa" w:w="100"/>
            </w:tcMar>
          </w:tcPr>
          <w:p>
            <w:r>
              <w:rPr>
                <w:b w:val="false"/>
                <w:bCs w:val="false"/>
                <w:sz w:val="20"/>
                <w:szCs w:val="20"/>
              </w:rPr>
              <w:t xml:space="preserve">Fix, no charge</w:t>
            </w:r>
          </w:p>
        </w:tc>
      </w:tr>
      <w:tr>
        <w:trPr>
          <w:tblHeader w:val="false"/>
        </w:trPr>
        <w:tc>
          <w:tcPr>
            <w:tcW w:type="dxa" w:w="700"/>
            <w:tcMar>
              <w:top w:type="dxa" w:w="80"/>
              <w:left w:type="dxa" w:w="100"/>
              <w:bottom w:type="dxa" w:w="80"/>
              <w:right w:type="dxa" w:w="100"/>
            </w:tcMar>
          </w:tcPr>
          <w:p>
            <w:r>
              <w:rPr>
                <w:b w:val="false"/>
                <w:bCs w:val="false"/>
                <w:sz w:val="20"/>
                <w:szCs w:val="20"/>
              </w:rPr>
              <w:t xml:space="preserve">B1</w:t>
            </w:r>
          </w:p>
        </w:tc>
        <w:tc>
          <w:tcPr>
            <w:tcW w:type="dxa" w:w="3600"/>
            <w:tcMar>
              <w:top w:type="dxa" w:w="80"/>
              <w:left w:type="dxa" w:w="100"/>
              <w:bottom w:type="dxa" w:w="80"/>
              <w:right w:type="dxa" w:w="100"/>
            </w:tcMar>
          </w:tcPr>
          <w:p>
            <w:r>
              <w:rPr>
                <w:b w:val="false"/>
                <w:bCs w:val="false"/>
                <w:sz w:val="20"/>
                <w:szCs w:val="20"/>
              </w:rPr>
              <w:t xml:space="preserve">Add a required question "Who is this enquiry for?" with options Me / Someone else. Replace the consent line with the wording in Appendix B.</w:t>
            </w:r>
          </w:p>
        </w:tc>
        <w:tc>
          <w:tcPr>
            <w:tcW w:type="dxa" w:w="3126"/>
            <w:tcMar>
              <w:top w:type="dxa" w:w="80"/>
              <w:left w:type="dxa" w:w="100"/>
              <w:bottom w:type="dxa" w:w="80"/>
              <w:right w:type="dxa" w:w="100"/>
            </w:tcMar>
          </w:tcPr>
          <w:p>
            <w:r>
              <w:rPr>
                <w:b w:val="false"/>
                <w:bCs w:val="false"/>
                <w:sz w:val="20"/>
                <w:szCs w:val="20"/>
              </w:rPr>
              <w:t xml:space="preserve">Question and new consent text are live. Admin → Patient enquiries shows a "For" column and can filter by it.</w:t>
            </w:r>
          </w:p>
        </w:tc>
        <w:tc>
          <w:tcPr>
            <w:tcW w:type="dxa" w:w="1600"/>
            <w:tcMar>
              <w:top w:type="dxa" w:w="80"/>
              <w:left w:type="dxa" w:w="100"/>
              <w:bottom w:type="dxa" w:w="80"/>
              <w:right w:type="dxa" w:w="100"/>
            </w:tcMar>
          </w:tcPr>
          <w:p>
            <w:r>
              <w:rPr>
                <w:b w:val="false"/>
                <w:bCs w:val="false"/>
                <w:sz w:val="20"/>
                <w:szCs w:val="20"/>
              </w:rPr>
              <w:t xml:space="preserve">Please quote</w:t>
            </w:r>
          </w:p>
        </w:tc>
      </w:tr>
      <w:tr>
        <w:trPr>
          <w:tblHeader w:val="false"/>
        </w:trPr>
        <w:tc>
          <w:tcPr>
            <w:tcW w:type="dxa" w:w="700"/>
            <w:tcMar>
              <w:top w:type="dxa" w:w="80"/>
              <w:left w:type="dxa" w:w="100"/>
              <w:bottom w:type="dxa" w:w="80"/>
              <w:right w:type="dxa" w:w="100"/>
            </w:tcMar>
          </w:tcPr>
          <w:p>
            <w:r>
              <w:rPr>
                <w:b w:val="false"/>
                <w:bCs w:val="false"/>
                <w:sz w:val="20"/>
                <w:szCs w:val="20"/>
              </w:rPr>
              <w:t xml:space="preserve">B2</w:t>
            </w:r>
          </w:p>
        </w:tc>
        <w:tc>
          <w:tcPr>
            <w:tcW w:type="dxa" w:w="3600"/>
            <w:tcMar>
              <w:top w:type="dxa" w:w="80"/>
              <w:left w:type="dxa" w:w="100"/>
              <w:bottom w:type="dxa" w:w="80"/>
              <w:right w:type="dxa" w:w="100"/>
            </w:tcMar>
          </w:tcPr>
          <w:p>
            <w:r>
              <w:rPr>
                <w:b w:val="false"/>
                <w:bCs w:val="false"/>
                <w:sz w:val="20"/>
                <w:szCs w:val="20"/>
              </w:rPr>
              <w:t xml:space="preserve">Add a new Area of care option: "Second opinion — digestive or liver cancer". Keep the existing six options unchanged.</w:t>
            </w:r>
          </w:p>
        </w:tc>
        <w:tc>
          <w:tcPr>
            <w:tcW w:type="dxa" w:w="3126"/>
            <w:tcMar>
              <w:top w:type="dxa" w:w="80"/>
              <w:left w:type="dxa" w:w="100"/>
              <w:bottom w:type="dxa" w:w="80"/>
              <w:right w:type="dxa" w:w="100"/>
            </w:tcMar>
          </w:tcPr>
          <w:p>
            <w:r>
              <w:rPr>
                <w:b w:val="false"/>
                <w:bCs w:val="false"/>
                <w:sz w:val="20"/>
                <w:szCs w:val="20"/>
              </w:rPr>
              <w:t xml:space="preserve">Option appears in the form, in admin, and in the campaign filter.</w:t>
            </w:r>
          </w:p>
        </w:tc>
        <w:tc>
          <w:tcPr>
            <w:tcW w:type="dxa" w:w="1600"/>
            <w:tcMar>
              <w:top w:type="dxa" w:w="80"/>
              <w:left w:type="dxa" w:w="100"/>
              <w:bottom w:type="dxa" w:w="80"/>
              <w:right w:type="dxa" w:w="100"/>
            </w:tcMar>
          </w:tcPr>
          <w:p>
            <w:r>
              <w:rPr>
                <w:b w:val="false"/>
                <w:bCs w:val="false"/>
                <w:sz w:val="20"/>
                <w:szCs w:val="20"/>
              </w:rPr>
              <w:t xml:space="preserve">Please quote</w:t>
            </w:r>
          </w:p>
        </w:tc>
      </w:tr>
      <w:tr>
        <w:trPr>
          <w:tblHeader w:val="false"/>
        </w:trPr>
        <w:tc>
          <w:tcPr>
            <w:tcW w:type="dxa" w:w="700"/>
            <w:tcMar>
              <w:top w:type="dxa" w:w="80"/>
              <w:left w:type="dxa" w:w="100"/>
              <w:bottom w:type="dxa" w:w="80"/>
              <w:right w:type="dxa" w:w="100"/>
            </w:tcMar>
          </w:tcPr>
          <w:p>
            <w:r>
              <w:rPr>
                <w:b w:val="false"/>
                <w:bCs w:val="false"/>
                <w:sz w:val="20"/>
                <w:szCs w:val="20"/>
              </w:rPr>
              <w:t xml:space="preserve">B3</w:t>
            </w:r>
          </w:p>
        </w:tc>
        <w:tc>
          <w:tcPr>
            <w:tcW w:type="dxa" w:w="3600"/>
            <w:tcMar>
              <w:top w:type="dxa" w:w="80"/>
              <w:left w:type="dxa" w:w="100"/>
              <w:bottom w:type="dxa" w:w="80"/>
              <w:right w:type="dxa" w:w="100"/>
            </w:tcMar>
          </w:tcPr>
          <w:p>
            <w:r>
              <w:rPr>
                <w:b w:val="false"/>
                <w:bCs w:val="false"/>
                <w:sz w:val="20"/>
                <w:szCs w:val="20"/>
              </w:rPr>
              <w:t xml:space="preserve">Build a new page at /en/second-opinion using the copy in Appendix A. The call-to-action opens the enquiry form with Area of care preset to the B2 option. Link it from /en/for-patients and the footer.</w:t>
            </w:r>
          </w:p>
        </w:tc>
        <w:tc>
          <w:tcPr>
            <w:tcW w:type="dxa" w:w="3126"/>
            <w:tcMar>
              <w:top w:type="dxa" w:w="80"/>
              <w:left w:type="dxa" w:w="100"/>
              <w:bottom w:type="dxa" w:w="80"/>
              <w:right w:type="dxa" w:w="100"/>
            </w:tcMar>
          </w:tcPr>
          <w:p>
            <w:r>
              <w:rPr>
                <w:b w:val="false"/>
                <w:bCs w:val="false"/>
                <w:sz w:val="20"/>
                <w:szCs w:val="20"/>
              </w:rPr>
              <w:t xml:space="preserve">Page is live, mobile layout checked, the CTA preset works, and campaign tracking carries through.</w:t>
            </w:r>
          </w:p>
        </w:tc>
        <w:tc>
          <w:tcPr>
            <w:tcW w:type="dxa" w:w="1600"/>
            <w:tcMar>
              <w:top w:type="dxa" w:w="80"/>
              <w:left w:type="dxa" w:w="100"/>
              <w:bottom w:type="dxa" w:w="80"/>
              <w:right w:type="dxa" w:w="100"/>
            </w:tcMar>
          </w:tcPr>
          <w:p>
            <w:r>
              <w:rPr>
                <w:b w:val="false"/>
                <w:bCs w:val="false"/>
                <w:sz w:val="20"/>
                <w:szCs w:val="20"/>
              </w:rPr>
              <w:t xml:space="preserve">Please quote</w:t>
            </w:r>
          </w:p>
        </w:tc>
      </w:tr>
      <w:tr>
        <w:trPr>
          <w:tblHeader w:val="false"/>
        </w:trPr>
        <w:tc>
          <w:tcPr>
            <w:tcW w:type="dxa" w:w="700"/>
            <w:tcMar>
              <w:top w:type="dxa" w:w="80"/>
              <w:left w:type="dxa" w:w="100"/>
              <w:bottom w:type="dxa" w:w="80"/>
              <w:right w:type="dxa" w:w="100"/>
            </w:tcMar>
          </w:tcPr>
          <w:p>
            <w:r>
              <w:rPr>
                <w:b w:val="false"/>
                <w:bCs w:val="false"/>
                <w:sz w:val="20"/>
                <w:szCs w:val="20"/>
              </w:rPr>
              <w:t xml:space="preserve">B4</w:t>
            </w:r>
          </w:p>
        </w:tc>
        <w:tc>
          <w:tcPr>
            <w:tcW w:type="dxa" w:w="3600"/>
            <w:tcMar>
              <w:top w:type="dxa" w:w="80"/>
              <w:left w:type="dxa" w:w="100"/>
              <w:bottom w:type="dxa" w:w="80"/>
              <w:right w:type="dxa" w:w="100"/>
            </w:tcMar>
          </w:tcPr>
          <w:p>
            <w:r>
              <w:rPr>
                <w:b w:val="false"/>
                <w:bCs w:val="false"/>
                <w:sz w:val="20"/>
                <w:szCs w:val="20"/>
              </w:rPr>
              <w:t xml:space="preserve">Update the fee wording on the Pledge page with the text in Appendix C.</w:t>
            </w:r>
          </w:p>
        </w:tc>
        <w:tc>
          <w:tcPr>
            <w:tcW w:type="dxa" w:w="3126"/>
            <w:tcMar>
              <w:top w:type="dxa" w:w="80"/>
              <w:left w:type="dxa" w:w="100"/>
              <w:bottom w:type="dxa" w:w="80"/>
              <w:right w:type="dxa" w:w="100"/>
            </w:tcMar>
          </w:tcPr>
          <w:p>
            <w:r>
              <w:rPr>
                <w:b w:val="false"/>
                <w:bCs w:val="false"/>
                <w:sz w:val="20"/>
                <w:szCs w:val="20"/>
              </w:rPr>
              <w:t xml:space="preserve">Pledge page shows the new wording. No other page says patients never pay anything.</w:t>
            </w:r>
          </w:p>
        </w:tc>
        <w:tc>
          <w:tcPr>
            <w:tcW w:type="dxa" w:w="1600"/>
            <w:tcMar>
              <w:top w:type="dxa" w:w="80"/>
              <w:left w:type="dxa" w:w="100"/>
              <w:bottom w:type="dxa" w:w="80"/>
              <w:right w:type="dxa" w:w="100"/>
            </w:tcMar>
          </w:tcPr>
          <w:p>
            <w:r>
              <w:rPr>
                <w:b w:val="false"/>
                <w:bCs w:val="false"/>
                <w:sz w:val="20"/>
                <w:szCs w:val="20"/>
              </w:rPr>
              <w:t xml:space="preserve">Please quote</w:t>
            </w:r>
          </w:p>
        </w:tc>
      </w:tr>
      <w:tr>
        <w:trPr>
          <w:tblHeader w:val="false"/>
        </w:trPr>
        <w:tc>
          <w:tcPr>
            <w:tcW w:type="dxa" w:w="700"/>
            <w:tcMar>
              <w:top w:type="dxa" w:w="80"/>
              <w:left w:type="dxa" w:w="100"/>
              <w:bottom w:type="dxa" w:w="80"/>
              <w:right w:type="dxa" w:w="100"/>
            </w:tcMar>
          </w:tcPr>
          <w:p>
            <w:r>
              <w:rPr>
                <w:b w:val="false"/>
                <w:bCs w:val="false"/>
                <w:sz w:val="20"/>
                <w:szCs w:val="20"/>
              </w:rPr>
              <w:t xml:space="preserve">B5</w:t>
            </w:r>
          </w:p>
        </w:tc>
        <w:tc>
          <w:tcPr>
            <w:tcW w:type="dxa" w:w="3600"/>
            <w:tcMar>
              <w:top w:type="dxa" w:w="80"/>
              <w:left w:type="dxa" w:w="100"/>
              <w:bottom w:type="dxa" w:w="80"/>
              <w:right w:type="dxa" w:w="100"/>
            </w:tcMar>
          </w:tcPr>
          <w:p>
            <w:r>
              <w:rPr>
                <w:b w:val="false"/>
                <w:bCs w:val="false"/>
                <w:sz w:val="20"/>
                <w:szCs w:val="20"/>
              </w:rPr>
              <w:t xml:space="preserve">Add the enquiry retention period to the privacy policy: "Patient enquiries are kept for 24 months and then deleted automatically."</w:t>
            </w:r>
          </w:p>
        </w:tc>
        <w:tc>
          <w:tcPr>
            <w:tcW w:type="dxa" w:w="3126"/>
            <w:tcMar>
              <w:top w:type="dxa" w:w="80"/>
              <w:left w:type="dxa" w:w="100"/>
              <w:bottom w:type="dxa" w:w="80"/>
              <w:right w:type="dxa" w:w="100"/>
            </w:tcMar>
          </w:tcPr>
          <w:p>
            <w:r>
              <w:rPr>
                <w:b w:val="false"/>
                <w:bCs w:val="false"/>
                <w:sz w:val="20"/>
                <w:szCs w:val="20"/>
              </w:rPr>
              <w:t xml:space="preserve">Line is in the privacy policy. The policy stays marked draft until solicitor review.</w:t>
            </w:r>
          </w:p>
        </w:tc>
        <w:tc>
          <w:tcPr>
            <w:tcW w:type="dxa" w:w="1600"/>
            <w:tcMar>
              <w:top w:type="dxa" w:w="80"/>
              <w:left w:type="dxa" w:w="100"/>
              <w:bottom w:type="dxa" w:w="80"/>
              <w:right w:type="dxa" w:w="100"/>
            </w:tcMar>
          </w:tcPr>
          <w:p>
            <w:r>
              <w:rPr>
                <w:b w:val="false"/>
                <w:bCs w:val="false"/>
                <w:sz w:val="20"/>
                <w:szCs w:val="20"/>
              </w:rPr>
              <w:t xml:space="preserve">Please quote</w:t>
            </w:r>
          </w:p>
        </w:tc>
      </w:tr>
    </w:tbl>
    <w:p>
      <w:pPr>
        <w:pStyle w:val="Heading1"/>
      </w:pPr>
      <w:r>
        <w:t xml:space="preserve">3. Out of scope</w:t>
      </w:r>
    </w:p>
    <w:p>
      <w:pPr>
        <w:pStyle w:val="ListParagraph"/>
        <w:numPr>
          <w:ilvl w:val="0"/>
          <w:numId w:val="2"/>
        </w:numPr>
        <w:spacing w:after="60"/>
      </w:pPr>
      <w:r>
        <w:t xml:space="preserve">Publishing the Türkiye corridor. It stays attached to Acıbadem in the backend and hidden, as now.</w:t>
      </w:r>
    </w:p>
    <w:p>
      <w:pPr>
        <w:pStyle w:val="ListParagraph"/>
        <w:numPr>
          <w:ilvl w:val="0"/>
          <w:numId w:val="2"/>
        </w:numPr>
        <w:spacing w:after="60"/>
      </w:pPr>
      <w:r>
        <w:t xml:space="preserve">Any payment or checkout on the site. LibaMed invoices its coordination fee separately, and patients pay the tumour board directly.</w:t>
      </w:r>
    </w:p>
    <w:p>
      <w:pPr>
        <w:pStyle w:val="ListParagraph"/>
        <w:numPr>
          <w:ilvl w:val="0"/>
          <w:numId w:val="2"/>
        </w:numPr>
        <w:spacing w:after="60"/>
      </w:pPr>
      <w:r>
        <w:t xml:space="preserve">Uploading or receiving medical records. The second-opinion page, like the enquiry form, must not accept files.</w:t>
      </w:r>
    </w:p>
    <w:p>
      <w:pPr>
        <w:pStyle w:val="ListParagraph"/>
        <w:numPr>
          <w:ilvl w:val="0"/>
          <w:numId w:val="2"/>
        </w:numPr>
        <w:spacing w:after="60"/>
      </w:pPr>
      <w:r>
        <w:t xml:space="preserve">Changes to the six existing Area of care options, the age ranges or the budget bands, which feed campaign reporting.</w:t>
      </w:r>
    </w:p>
    <w:p>
      <w:pPr>
        <w:pStyle w:val="Heading1"/>
      </w:pPr>
      <w:r>
        <w:t xml:space="preserve">4. What I need back</w:t>
      </w:r>
    </w:p>
    <w:p>
      <w:pPr>
        <w:pStyle w:val="ListParagraph"/>
        <w:numPr>
          <w:ilvl w:val="0"/>
          <w:numId w:val="3"/>
        </w:numPr>
        <w:spacing w:after="60"/>
      </w:pPr>
      <w:r>
        <w:t xml:space="preserve">Confirmation that A1 and A2 are covered by your no-charge fix policy.</w:t>
      </w:r>
    </w:p>
    <w:p>
      <w:pPr>
        <w:pStyle w:val="ListParagraph"/>
        <w:numPr>
          <w:ilvl w:val="0"/>
          <w:numId w:val="3"/>
        </w:numPr>
        <w:spacing w:after="60"/>
      </w:pPr>
      <w:r>
        <w:t xml:space="preserve">A time estimate for each of B1 to B5.</w:t>
      </w:r>
    </w:p>
    <w:p>
      <w:pPr>
        <w:pStyle w:val="ListParagraph"/>
        <w:numPr>
          <w:ilvl w:val="0"/>
          <w:numId w:val="3"/>
        </w:numPr>
        <w:spacing w:after="60"/>
      </w:pPr>
      <w:r>
        <w:t xml:space="preserve">A preview link for B3 before it goes live, so I can check the copy and the sterling total on the day.</w:t>
      </w:r>
    </w:p>
    <w:p>
      <w:pPr>
        <w:pStyle w:val="Heading1"/>
      </w:pPr>
      <w:r>
        <w:t xml:space="preserve">Appendix A — Second opinion page copy</w:t>
      </w:r>
    </w:p>
    <w:p>
      <w:pPr>
        <w:spacing w:after="120"/>
      </w:pPr>
      <w:r>
        <w:rPr>
          <w:b/>
          <w:bCs/>
        </w:rPr>
        <w:t xml:space="preserve">URL: </w:t>
      </w:r>
      <w:r>
        <w:t xml:space="preserve">/en/second-opinion</w:t>
      </w:r>
    </w:p>
    <w:p>
      <w:pPr>
        <w:pStyle w:val="Heading2"/>
      </w:pPr>
      <w:r>
        <w:t xml:space="preserve">Page title</w:t>
      </w:r>
    </w:p>
    <w:p>
      <w:pPr>
        <w:spacing w:after="120"/>
      </w:pPr>
      <w:r>
        <w:t xml:space="preserve">A second opinion from a Swiss cancer tumour board — arranged through your own doctor</w:t>
      </w:r>
    </w:p>
    <w:p>
      <w:pPr>
        <w:pStyle w:val="Heading2"/>
      </w:pPr>
      <w:r>
        <w:t xml:space="preserve">Intro</w:t>
      </w:r>
    </w:p>
    <w:p>
      <w:pPr>
        <w:spacing w:after="120"/>
      </w:pPr>
      <w:r>
        <w:t xml:space="preserve">If you or someone close to you has a cancer of the digestive system, liver, pancreas or bile ducts, a second opinion can confirm a plan or open up options. LibaMed arranges review of your case by a multidisciplinary tumour board in Zürich: surgeons, oncologists, radiologists and pathologists who discuss your case together and send a written opinion back to your doctor.</w:t>
      </w:r>
    </w:p>
    <w:p>
      <w:pPr>
        <w:spacing w:after="120"/>
      </w:pPr>
      <w:r>
        <w:t xml:space="preserve">You don't travel. Your records are sent by your doctor, and the opinion comes back to your doctor.</w:t>
      </w:r>
    </w:p>
    <w:p>
      <w:pPr>
        <w:pStyle w:val="Heading2"/>
      </w:pPr>
      <w:r>
        <w:t xml:space="preserve">Who it's for</w:t>
      </w:r>
    </w:p>
    <w:p>
      <w:pPr>
        <w:pStyle w:val="ListParagraph"/>
        <w:numPr>
          <w:ilvl w:val="0"/>
          <w:numId w:val="2"/>
        </w:numPr>
        <w:spacing w:after="60"/>
      </w:pPr>
      <w:r>
        <w:t xml:space="preserve">Adults with a diagnosed cancer of the stomach, bowel, oesophagus, liver, pancreas or bile ducts</w:t>
      </w:r>
    </w:p>
    <w:p>
      <w:pPr>
        <w:pStyle w:val="ListParagraph"/>
        <w:numPr>
          <w:ilvl w:val="0"/>
          <w:numId w:val="2"/>
        </w:numPr>
        <w:spacing w:after="60"/>
      </w:pPr>
      <w:r>
        <w:t xml:space="preserve">People who want an independent view before starting, changing or stopping treatment</w:t>
      </w:r>
    </w:p>
    <w:p>
      <w:pPr>
        <w:pStyle w:val="ListParagraph"/>
        <w:numPr>
          <w:ilvl w:val="0"/>
          <w:numId w:val="2"/>
        </w:numPr>
        <w:spacing w:after="60"/>
      </w:pPr>
      <w:r>
        <w:t xml:space="preserve">People whose UK doctor is willing to send their records and receive the report</w:t>
      </w:r>
    </w:p>
    <w:p>
      <w:pPr>
        <w:spacing w:after="120"/>
      </w:pPr>
      <w:r>
        <w:t xml:space="preserve">It is not for undiagnosed symptoms, emergencies, or replacing your NHS team. Your own doctor stays in charge of your care.</w:t>
      </w:r>
    </w:p>
    <w:p>
      <w:pPr>
        <w:pStyle w:val="Heading2"/>
      </w:pPr>
      <w:r>
        <w:t xml:space="preserve">How it works</w:t>
      </w:r>
    </w:p>
    <w:p>
      <w:pPr>
        <w:pStyle w:val="ListParagraph"/>
        <w:numPr>
          <w:ilvl w:val="0"/>
          <w:numId w:val="4"/>
        </w:numPr>
        <w:spacing w:after="60"/>
      </w:pPr>
      <w:r>
        <w:rPr>
          <w:b/>
          <w:bCs/>
        </w:rPr>
        <w:t xml:space="preserve">You or your doctor enquire. </w:t>
      </w:r>
      <w:r>
        <w:t xml:space="preserve">Tell us briefly what the question is. Please don't send medical records to us.</w:t>
      </w:r>
    </w:p>
    <w:p>
      <w:pPr>
        <w:pStyle w:val="ListParagraph"/>
        <w:numPr>
          <w:ilvl w:val="0"/>
          <w:numId w:val="4"/>
        </w:numPr>
        <w:spacing w:after="60"/>
      </w:pPr>
      <w:r>
        <w:rPr>
          <w:b/>
          <w:bCs/>
        </w:rPr>
        <w:t xml:space="preserve">Your doctor sends the records. </w:t>
      </w:r>
      <w:r>
        <w:t xml:space="preserve">Your GP or consultant sends the histology report, recent scans (ideally as DICOM files), biopsy results, current medicines and treatment history directly to the tumour board.</w:t>
      </w:r>
    </w:p>
    <w:p>
      <w:pPr>
        <w:pStyle w:val="ListParagraph"/>
        <w:numPr>
          <w:ilvl w:val="0"/>
          <w:numId w:val="4"/>
        </w:numPr>
        <w:spacing w:after="60"/>
      </w:pPr>
      <w:r>
        <w:rPr>
          <w:b/>
          <w:bCs/>
        </w:rPr>
        <w:t xml:space="preserve">The board meets. </w:t>
      </w:r>
      <w:r>
        <w:t xml:space="preserve">Cases received by Monday morning are discussed at the board meeting on Tuesday.</w:t>
      </w:r>
    </w:p>
    <w:p>
      <w:pPr>
        <w:pStyle w:val="ListParagraph"/>
        <w:numPr>
          <w:ilvl w:val="0"/>
          <w:numId w:val="4"/>
        </w:numPr>
        <w:spacing w:after="60"/>
      </w:pPr>
      <w:r>
        <w:rPr>
          <w:b/>
          <w:bCs/>
        </w:rPr>
        <w:t xml:space="preserve">The report comes back. </w:t>
      </w:r>
      <w:r>
        <w:t xml:space="preserve">A written opinion is sent to your doctor, normally on the Wednesday after the meeting.</w:t>
      </w:r>
    </w:p>
    <w:p>
      <w:pPr>
        <w:pStyle w:val="ListParagraph"/>
        <w:numPr>
          <w:ilvl w:val="0"/>
          <w:numId w:val="4"/>
        </w:numPr>
        <w:spacing w:after="60"/>
      </w:pPr>
      <w:r>
        <w:rPr>
          <w:b/>
          <w:bCs/>
        </w:rPr>
        <w:t xml:space="preserve">You decide with your doctor. </w:t>
      </w:r>
      <w:r>
        <w:t xml:space="preserve">Your doctor talks the report through with you. If the board suggests treatment in Switzerland, that is a separate conversation, and there is no obligation.</w:t>
      </w:r>
    </w:p>
    <w:p>
      <w:pPr>
        <w:pStyle w:val="Heading2"/>
      </w:pPr>
      <w:r>
        <w:t xml:space="preserve">What it costs</w:t>
      </w:r>
    </w:p>
    <w:p>
      <w:pPr>
        <w:spacing w:after="120"/>
      </w:pPr>
      <w:r>
        <w:t xml:space="preserve">You pay each provider directly. LibaMed never holds your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826"/>
        <w:gridCol w:w="2200"/>
      </w:tblGrid>
      <w:tr>
        <w:trPr>
          <w:tblHeader/>
        </w:trPr>
        <w:tc>
          <w:tcPr>
            <w:tcW w:type="dxa" w:w="4000"/>
            <w:shd w:fill="002F4D" w:color="auto" w:val="clear"/>
            <w:tcMar>
              <w:top w:type="dxa" w:w="80"/>
              <w:left w:type="dxa" w:w="100"/>
              <w:bottom w:type="dxa" w:w="80"/>
              <w:right w:type="dxa" w:w="100"/>
            </w:tcMar>
          </w:tcPr>
          <w:p>
            <w:r>
              <w:rPr>
                <w:b/>
                <w:bCs/>
                <w:color w:val="FFFFFF"/>
                <w:sz w:val="20"/>
                <w:szCs w:val="20"/>
              </w:rPr>
              <w:t xml:space="preserve">Item</w:t>
            </w:r>
          </w:p>
        </w:tc>
        <w:tc>
          <w:tcPr>
            <w:tcW w:type="dxa" w:w="2826"/>
            <w:shd w:fill="002F4D" w:color="auto" w:val="clear"/>
            <w:tcMar>
              <w:top w:type="dxa" w:w="80"/>
              <w:left w:type="dxa" w:w="100"/>
              <w:bottom w:type="dxa" w:w="80"/>
              <w:right w:type="dxa" w:w="100"/>
            </w:tcMar>
          </w:tcPr>
          <w:p>
            <w:r>
              <w:rPr>
                <w:b/>
                <w:bCs/>
                <w:color w:val="FFFFFF"/>
                <w:sz w:val="20"/>
                <w:szCs w:val="20"/>
              </w:rPr>
              <w:t xml:space="preserve">Paid to</w:t>
            </w:r>
          </w:p>
        </w:tc>
        <w:tc>
          <w:tcPr>
            <w:tcW w:type="dxa" w:w="2200"/>
            <w:shd w:fill="002F4D" w:color="auto" w:val="clear"/>
            <w:tcMar>
              <w:top w:type="dxa" w:w="80"/>
              <w:left w:type="dxa" w:w="100"/>
              <w:bottom w:type="dxa" w:w="80"/>
              <w:right w:type="dxa" w:w="100"/>
            </w:tcMar>
          </w:tcPr>
          <w:p>
            <w:r>
              <w:rPr>
                <w:b/>
                <w:bCs/>
                <w:color w:val="FFFFFF"/>
                <w:sz w:val="20"/>
                <w:szCs w:val="20"/>
              </w:rPr>
              <w:t xml:space="preserve">Price</w:t>
            </w:r>
          </w:p>
        </w:tc>
      </w:tr>
      <w:tr>
        <w:trPr>
          <w:tblHeader w:val="false"/>
        </w:trPr>
        <w:tc>
          <w:tcPr>
            <w:tcW w:type="dxa" w:w="4000"/>
            <w:tcMar>
              <w:top w:type="dxa" w:w="80"/>
              <w:left w:type="dxa" w:w="100"/>
              <w:bottom w:type="dxa" w:w="80"/>
              <w:right w:type="dxa" w:w="100"/>
            </w:tcMar>
          </w:tcPr>
          <w:p>
            <w:r>
              <w:rPr>
                <w:b w:val="false"/>
                <w:bCs w:val="false"/>
                <w:sz w:val="20"/>
                <w:szCs w:val="20"/>
              </w:rPr>
              <w:t xml:space="preserve">Tumour board review and written report</w:t>
            </w:r>
          </w:p>
        </w:tc>
        <w:tc>
          <w:tcPr>
            <w:tcW w:type="dxa" w:w="2826"/>
            <w:tcMar>
              <w:top w:type="dxa" w:w="80"/>
              <w:left w:type="dxa" w:w="100"/>
              <w:bottom w:type="dxa" w:w="80"/>
              <w:right w:type="dxa" w:w="100"/>
            </w:tcMar>
          </w:tcPr>
          <w:p>
            <w:r>
              <w:rPr>
                <w:b w:val="false"/>
                <w:bCs w:val="false"/>
                <w:sz w:val="20"/>
                <w:szCs w:val="20"/>
              </w:rPr>
              <w:t xml:space="preserve">The Zürich tumour board</w:t>
            </w:r>
          </w:p>
        </w:tc>
        <w:tc>
          <w:tcPr>
            <w:tcW w:type="dxa" w:w="2200"/>
            <w:tcMar>
              <w:top w:type="dxa" w:w="80"/>
              <w:left w:type="dxa" w:w="100"/>
              <w:bottom w:type="dxa" w:w="80"/>
              <w:right w:type="dxa" w:w="100"/>
            </w:tcMar>
          </w:tcPr>
          <w:p>
            <w:r>
              <w:rPr>
                <w:b w:val="false"/>
                <w:bCs w:val="false"/>
                <w:sz w:val="20"/>
                <w:szCs w:val="20"/>
              </w:rPr>
              <w:t xml:space="preserve">CHF 900 per case</w:t>
            </w:r>
          </w:p>
        </w:tc>
      </w:tr>
      <w:tr>
        <w:trPr>
          <w:tblHeader w:val="false"/>
        </w:trPr>
        <w:tc>
          <w:tcPr>
            <w:tcW w:type="dxa" w:w="4000"/>
            <w:tcMar>
              <w:top w:type="dxa" w:w="80"/>
              <w:left w:type="dxa" w:w="100"/>
              <w:bottom w:type="dxa" w:w="80"/>
              <w:right w:type="dxa" w:w="100"/>
            </w:tcMar>
          </w:tcPr>
          <w:p>
            <w:r>
              <w:rPr>
                <w:b w:val="false"/>
                <w:bCs w:val="false"/>
                <w:sz w:val="20"/>
                <w:szCs w:val="20"/>
              </w:rPr>
              <w:t xml:space="preserve">Review of your scans by a Swiss radiologist</w:t>
            </w:r>
          </w:p>
        </w:tc>
        <w:tc>
          <w:tcPr>
            <w:tcW w:type="dxa" w:w="2826"/>
            <w:tcMar>
              <w:top w:type="dxa" w:w="80"/>
              <w:left w:type="dxa" w:w="100"/>
              <w:bottom w:type="dxa" w:w="80"/>
              <w:right w:type="dxa" w:w="100"/>
            </w:tcMar>
          </w:tcPr>
          <w:p>
            <w:r>
              <w:rPr>
                <w:b w:val="false"/>
                <w:bCs w:val="false"/>
                <w:sz w:val="20"/>
                <w:szCs w:val="20"/>
              </w:rPr>
              <w:t xml:space="preserve">The radiology provider</w:t>
            </w:r>
          </w:p>
        </w:tc>
        <w:tc>
          <w:tcPr>
            <w:tcW w:type="dxa" w:w="2200"/>
            <w:tcMar>
              <w:top w:type="dxa" w:w="80"/>
              <w:left w:type="dxa" w:w="100"/>
              <w:bottom w:type="dxa" w:w="80"/>
              <w:right w:type="dxa" w:w="100"/>
            </w:tcMar>
          </w:tcPr>
          <w:p>
            <w:r>
              <w:rPr>
                <w:b w:val="false"/>
                <w:bCs w:val="false"/>
                <w:sz w:val="20"/>
                <w:szCs w:val="20"/>
              </w:rPr>
              <w:t xml:space="preserve">Up to about CHF 300</w:t>
            </w:r>
          </w:p>
        </w:tc>
      </w:tr>
      <w:tr>
        <w:trPr>
          <w:tblHeader w:val="false"/>
        </w:trPr>
        <w:tc>
          <w:tcPr>
            <w:tcW w:type="dxa" w:w="4000"/>
            <w:tcMar>
              <w:top w:type="dxa" w:w="80"/>
              <w:left w:type="dxa" w:w="100"/>
              <w:bottom w:type="dxa" w:w="80"/>
              <w:right w:type="dxa" w:w="100"/>
            </w:tcMar>
          </w:tcPr>
          <w:p>
            <w:r>
              <w:rPr>
                <w:b w:val="false"/>
                <w:bCs w:val="false"/>
                <w:sz w:val="20"/>
                <w:szCs w:val="20"/>
              </w:rPr>
              <w:t xml:space="preserve">Coordination: checking records are complete, liaising with your doctor and the board, keeping you updated</w:t>
            </w:r>
          </w:p>
        </w:tc>
        <w:tc>
          <w:tcPr>
            <w:tcW w:type="dxa" w:w="2826"/>
            <w:tcMar>
              <w:top w:type="dxa" w:w="80"/>
              <w:left w:type="dxa" w:w="100"/>
              <w:bottom w:type="dxa" w:w="80"/>
              <w:right w:type="dxa" w:w="100"/>
            </w:tcMar>
          </w:tcPr>
          <w:p>
            <w:r>
              <w:rPr>
                <w:b w:val="false"/>
                <w:bCs w:val="false"/>
                <w:sz w:val="20"/>
                <w:szCs w:val="20"/>
              </w:rPr>
              <w:t xml:space="preserve">LibaMed</w:t>
            </w:r>
          </w:p>
        </w:tc>
        <w:tc>
          <w:tcPr>
            <w:tcW w:type="dxa" w:w="2200"/>
            <w:tcMar>
              <w:top w:type="dxa" w:w="80"/>
              <w:left w:type="dxa" w:w="100"/>
              <w:bottom w:type="dxa" w:w="80"/>
              <w:right w:type="dxa" w:w="100"/>
            </w:tcMar>
          </w:tcPr>
          <w:p>
            <w:r>
              <w:rPr>
                <w:b w:val="false"/>
                <w:bCs w:val="false"/>
                <w:sz w:val="20"/>
                <w:szCs w:val="20"/>
              </w:rPr>
              <w:t xml:space="preserve">£300</w:t>
            </w:r>
          </w:p>
        </w:tc>
      </w:tr>
    </w:tbl>
    <w:p>
      <w:pPr>
        <w:spacing w:after="60"/>
      </w:pPr>
      <w:r>
        <w:t xml:space="preserve"/>
      </w:r>
    </w:p>
    <w:p>
      <w:pPr>
        <w:spacing w:after="120"/>
      </w:pPr>
      <w:r>
        <w:t xml:space="preserve">Typical total: about £[amount] at current exchange rates. (Candacé will supply the figure on the day of publication.)</w:t>
      </w:r>
    </w:p>
    <w:p>
      <w:pPr>
        <w:spacing w:after="120"/>
      </w:pPr>
      <w:r>
        <w:t xml:space="preserve">You will get a written quote before anything is booked, and you only pay once your doctor has agreed to send the records.</w:t>
      </w:r>
    </w:p>
    <w:p>
      <w:pPr>
        <w:pStyle w:val="Heading2"/>
      </w:pPr>
      <w:r>
        <w:t xml:space="preserve">How LibaMed is paid</w:t>
      </w:r>
    </w:p>
    <w:p>
      <w:pPr>
        <w:spacing w:after="120"/>
      </w:pPr>
      <w:r>
        <w:t xml:space="preserve">We charge a fixed coordination fee of £300 for this service. We receive no commission from the tumour board for second opinions. If you later go on to have treatment at a partner hospital, the hospital pays LibaMed a fee, and we will tell you what it is before you decide.</w:t>
      </w:r>
    </w:p>
    <w:p>
      <w:pPr>
        <w:pStyle w:val="Heading2"/>
      </w:pPr>
      <w:r>
        <w:t xml:space="preserve">What we can't do</w:t>
      </w:r>
    </w:p>
    <w:p>
      <w:pPr>
        <w:pStyle w:val="ListParagraph"/>
        <w:numPr>
          <w:ilvl w:val="0"/>
          <w:numId w:val="2"/>
        </w:numPr>
        <w:spacing w:after="60"/>
      </w:pPr>
      <w:r>
        <w:t xml:space="preserve">We can't tell you whether the second opinion is right for you — your doctor can.</w:t>
      </w:r>
    </w:p>
    <w:p>
      <w:pPr>
        <w:pStyle w:val="ListParagraph"/>
        <w:numPr>
          <w:ilvl w:val="0"/>
          <w:numId w:val="2"/>
        </w:numPr>
        <w:spacing w:after="60"/>
      </w:pPr>
      <w:r>
        <w:t xml:space="preserve">We can't guarantee the board will recommend a different treatment. Often a second opinion confirms the current plan, which is valuable too.</w:t>
      </w:r>
    </w:p>
    <w:p>
      <w:pPr>
        <w:pStyle w:val="ListParagraph"/>
        <w:numPr>
          <w:ilvl w:val="0"/>
          <w:numId w:val="2"/>
        </w:numPr>
        <w:spacing w:after="60"/>
      </w:pPr>
      <w:r>
        <w:t xml:space="preserve">If you need urgent help, contact your GP, call 111, or in an emergency call 999.</w:t>
      </w:r>
    </w:p>
    <w:p>
      <w:pPr>
        <w:pStyle w:val="Heading2"/>
      </w:pPr>
      <w:r>
        <w:t xml:space="preserve">Call to action</w:t>
      </w:r>
    </w:p>
    <w:p>
      <w:pPr>
        <w:spacing w:after="120"/>
      </w:pPr>
      <w:r>
        <w:rPr>
          <w:b/>
          <w:bCs/>
        </w:rPr>
        <w:t xml:space="preserve">Button: </w:t>
      </w:r>
      <w:r>
        <w:t xml:space="preserve">"Ask about a second opinion" → enquiry form with Area of care preset to "Second opinion — digestive or liver cancer".</w:t>
      </w:r>
    </w:p>
    <w:p>
      <w:pPr>
        <w:pStyle w:val="Heading2"/>
      </w:pPr>
      <w:r>
        <w:t xml:space="preserve">For clinicians (short box)</w:t>
      </w:r>
    </w:p>
    <w:p>
      <w:pPr>
        <w:spacing w:after="120"/>
      </w:pPr>
      <w:r>
        <w:t xml:space="preserve">Refer a patient for a multidisciplinary tumour board review in Zürich. Send histology, imaging (DICOM preferred), biopsy results, medicines, comorbidities, family history and treatment status by Monday morning; written opinion normally by Wednesday. The report is addressed to you.</w:t>
      </w:r>
    </w:p>
    <w:p>
      <w:pPr>
        <w:pStyle w:val="Heading1"/>
      </w:pPr>
      <w:r>
        <w:t xml:space="preserve">Appendix B — Enquiry form: who and consent</w:t>
      </w:r>
    </w:p>
    <w:p>
      <w:pPr>
        <w:spacing w:after="120"/>
      </w:pPr>
      <w:r>
        <w:rPr>
          <w:b/>
          <w:bCs/>
        </w:rPr>
        <w:t xml:space="preserve">New question (required): </w:t>
      </w:r>
      <w:r>
        <w:t xml:space="preserve">Who is this enquiry for?  ○ Me   ○ Someone else</w:t>
      </w:r>
    </w:p>
    <w:p>
      <w:pPr>
        <w:spacing w:after="120"/>
      </w:pPr>
      <w:r>
        <w:rPr>
          <w:b/>
          <w:bCs/>
        </w:rPr>
        <w:t xml:space="preserve">Consent checkbox (replaces "You may contact me about this enquiry"):</w:t>
      </w:r>
    </w:p>
    <w:p>
      <w:pPr>
        <w:pBdr>
          <w:left w:val="single" w:color="D4A847" w:sz="12" w:space="8"/>
        </w:pBdr>
        <w:spacing w:after="120"/>
        <w:ind w:left="567"/>
      </w:pPr>
      <w:r>
        <w:t xml:space="preserve">I agree that LibaMed may hold what I've written here, including anything about health, and contact me about this enquiry. If I'm writing for someone else, they know and agree, or I'm their parent or legal guardian.</w:t>
      </w:r>
    </w:p>
    <w:p>
      <w:pPr>
        <w:spacing w:after="120"/>
      </w:pPr>
      <w:r>
        <w:t xml:space="preserve">Keep the existing note under the age question and the existing 24-month retention text.</w:t>
      </w:r>
    </w:p>
    <w:p>
      <w:pPr>
        <w:pStyle w:val="Heading1"/>
      </w:pPr>
      <w:r>
        <w:t xml:space="preserve">Appendix C — Pledge page fee wording</w:t>
      </w:r>
    </w:p>
    <w:p>
      <w:pPr>
        <w:spacing w:after="120"/>
      </w:pPr>
      <w:r>
        <w:t xml:space="preserve">Replace the current wording on platform fees with:</w:t>
      </w:r>
    </w:p>
    <w:p>
      <w:pPr>
        <w:pBdr>
          <w:left w:val="single" w:color="D4A847" w:sz="12" w:space="8"/>
        </w:pBdr>
        <w:spacing w:after="120"/>
        <w:ind w:left="567"/>
      </w:pPr>
      <w:r>
        <w:rPr>
          <w:b/>
          <w:bCs/>
        </w:rPr>
        <w:t xml:space="preserve">No platform fee on treatment referrals. </w:t>
      </w:r>
      <w:r>
        <w:t xml:space="preserve">When a patient is referred for treatment, LibaMed is paid by the receiving hospital, never by the patient or the referring clinician. We tell the patient what that fee is before they decide.</w:t>
      </w:r>
    </w:p>
    <w:p>
      <w:pPr>
        <w:pBdr>
          <w:left w:val="single" w:color="D4A847" w:sz="12" w:space="8"/>
        </w:pBdr>
        <w:spacing w:after="120"/>
        <w:ind w:left="567"/>
      </w:pPr>
      <w:r>
        <w:rPr>
          <w:b/>
          <w:bCs/>
        </w:rPr>
        <w:t xml:space="preserve">Second opinions are a separate, fixed-price service. </w:t>
      </w:r>
      <w:r>
        <w:t xml:space="preserve">For a remote tumour-board second opinion, the patient pays a £300 coordination fee to LibaMed, stated in writing before anything is booked. The review itself is paid directly to the reviewing board. LibaMed never holds patient money.</w:t>
      </w:r>
    </w:p>
    <w:p>
      <w:pPr>
        <w:spacing w:after="120"/>
      </w:pPr>
      <w:r>
        <w:t xml:space="preserve">The "No referrer fee" panel on the corridors page is about clinicians and stays as it is.</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LibaMed Ltd · Change scope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abstractNum w:abstractNumId="4"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mbria" w:cs="Cambria" w:eastAsia="Cambria" w:hAnsi="Cambria"/>
      <w:b/>
      <w:bCs/>
      <w:color w:val="002F4D"/>
      <w:sz w:val="30"/>
      <w:szCs w:val="30"/>
    </w:rPr>
  </w:style>
  <w:style w:type="paragraph" w:styleId="Heading2">
    <w:name w:val="Heading 2"/>
    <w:basedOn w:val="Normal"/>
    <w:next w:val="Normal"/>
    <w:qFormat/>
    <w:pPr>
      <w:spacing w:after="100" w:before="220"/>
      <w:outlineLvl w:val="1"/>
    </w:pPr>
    <w:rPr>
      <w:rFonts w:ascii="Cambria" w:cs="Cambria" w:eastAsia="Cambria" w:hAnsi="Cambria"/>
      <w:b/>
      <w:bCs/>
      <w:color w:val="1470AF"/>
      <w:sz w:val="24"/>
      <w:szCs w:val="24"/>
    </w:rPr>
  </w:style>
  <w:style w:type="paragraph" w:styleId="Title">
    <w:name w:val="Title"/>
    <w:basedOn w:val="Normal"/>
    <w:pPr>
      <w:spacing w:after="80"/>
    </w:pPr>
    <w:rPr>
      <w:rFonts w:ascii="Cambria" w:cs="Cambria" w:eastAsia="Cambria" w:hAnsi="Cambria"/>
      <w:b/>
      <w:bCs/>
      <w:color w:val="002F4D"/>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LibaMed — Change Scope: Enquiry Form and Second Opinion Page</dc:title>
  <dc:creator>LibaMed Ltd</dc:creator>
  <cp:lastModifiedBy>Un-named</cp:lastModifiedBy>
  <cp:revision>1</cp:revision>
  <dcterms:created xsi:type="dcterms:W3CDTF">2026-09-29T10:05:36.609Z</dcterms:created>
  <dcterms:modified xsi:type="dcterms:W3CDTF">2026-09-29T10:05:36.617Z</dcterms:modified>
</cp:coreProperties>
</file>

<file path=docProps/custom.xml><?xml version="1.0" encoding="utf-8"?>
<Properties xmlns="http://schemas.openxmlformats.org/officeDocument/2006/custom-properties" xmlns:vt="http://schemas.openxmlformats.org/officeDocument/2006/docPropsVTypes"/>
</file>