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jc w:val="center"/>
      </w:pPr>
      <w:r>
        <w:rPr>
          <w:b/>
          <w:bCs/>
          <w:color w:val="17365D"/>
          <w:sz w:val="48"/>
          <w:szCs w:val="48"/>
        </w:rPr>
        <w:t xml:space="preserve">CYBER SECURITY AWARENESS</w:t>
      </w:r>
    </w:p>
    <w:p>
      <w:pPr>
        <w:spacing w:after="120"/>
        <w:jc w:val="center"/>
      </w:pPr>
      <w:r>
        <w:rPr>
          <w:i/>
          <w:iCs/>
          <w:color w:val="2F75B5"/>
          <w:sz w:val="28"/>
          <w:szCs w:val="28"/>
        </w:rPr>
        <w:t xml:space="preserve">Staying Safe in the Digital World</w:t>
      </w:r>
    </w:p>
    <w:p>
      <w:pPr>
        <w:pBdr>
          <w:bottom w:val="single" w:color="2F75B5" w:sz="8" w:space="8"/>
        </w:pBdr>
        <w:spacing w:after="360"/>
        <w:jc w:val="center"/>
      </w:pPr>
      <w:r>
        <w:rPr>
          <w:color w:val="595959"/>
          <w:sz w:val="22"/>
          <w:szCs w:val="22"/>
        </w:rPr>
        <w:t xml:space="preserve">Prepared as a sample assignment on online safety, formatted using Microsoft Word tools.</w:t>
      </w:r>
    </w:p>
    <w:p>
      <w:pPr>
        <w:spacing w:after="160" w:before="120"/>
      </w:pPr>
      <w:r>
        <w:rPr>
          <w:b/>
          <w:bCs/>
          <w:color w:val="1F4E79"/>
          <w:sz w:val="32"/>
          <w:szCs w:val="32"/>
        </w:rPr>
        <w:t xml:space="preserve">Table of Contents</w:t>
      </w:r>
    </w:p>
    <w:p>
      <w:pPr>
        <w:spacing w:after="160"/>
      </w:pPr>
      <w:r>
        <w:rPr>
          <w:i/>
          <w:iCs/>
          <w:color w:val="7F7F7F"/>
          <w:sz w:val="20"/>
          <w:szCs w:val="20"/>
        </w:rPr>
        <w:t xml:space="preserve">Tip: If the Table of Contents does not appear immediately, open the file in Microsoft Word, right-click it, and choose Update Field → Update entire table.</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Introduction</w:t>
      </w:r>
    </w:p>
    <w:p>
      <w:pPr>
        <w:spacing w:after="140" w:line="276"/>
      </w:pPr>
      <w:r>
        <w:t xml:space="preserve">Cyber security is the practice of protecting computers, networks, accounts and personal information from digital attacks. As more of our studying, banking and social life moves online, knowing how to stay safe has become an essential everyday skill.</w:t>
      </w:r>
    </w:p>
    <w:p>
      <w:pPr>
        <w:pStyle w:val="Heading2"/>
      </w:pPr>
      <w:r>
        <w:t xml:space="preserve">1.1 Purpose</w:t>
      </w:r>
    </w:p>
    <w:p>
      <w:pPr>
        <w:spacing w:after="140" w:line="276"/>
      </w:pPr>
      <w:r>
        <w:t xml:space="preserve">The purpose of this assignment is to explain why cyber security awareness matters, describe the most common online threats, and show simple habits that keep users and their data protected.</w:t>
      </w:r>
    </w:p>
    <w:p>
      <w:pPr>
        <w:pStyle w:val="Heading1"/>
      </w:pPr>
      <w:r>
        <w:t xml:space="preserve">2. Readability and Custom Bullet Style</w:t>
      </w:r>
    </w:p>
    <w:p>
      <w:pPr>
        <w:spacing w:after="140" w:line="276"/>
      </w:pPr>
      <w:r>
        <w:t xml:space="preserve">A consistent visual style makes lists easier to scan. The example below uses a blue bullet symbol and clear, concise wording to present safe online habits:</w:t>
      </w:r>
    </w:p>
    <w:p>
      <w:pPr>
        <w:pStyle w:val="ListParagraph"/>
        <w:numPr>
          <w:ilvl w:val="0"/>
          <w:numId w:val="2"/>
        </w:numPr>
        <w:spacing w:after="100"/>
      </w:pPr>
      <w:r>
        <w:t xml:space="preserve">Use a long, unique password for every important account.</w:t>
      </w:r>
    </w:p>
    <w:p>
      <w:pPr>
        <w:pStyle w:val="ListParagraph"/>
        <w:numPr>
          <w:ilvl w:val="0"/>
          <w:numId w:val="2"/>
        </w:numPr>
        <w:spacing w:after="100"/>
      </w:pPr>
      <w:r>
        <w:t xml:space="preserve">Turn on two-factor authentication wherever it is offered.</w:t>
      </w:r>
    </w:p>
    <w:p>
      <w:pPr>
        <w:pStyle w:val="ListParagraph"/>
        <w:numPr>
          <w:ilvl w:val="0"/>
          <w:numId w:val="2"/>
        </w:numPr>
        <w:spacing w:after="100"/>
      </w:pPr>
      <w:r>
        <w:t xml:space="preserve">Keep your phone, computer and apps updated with the latest patches.</w:t>
      </w:r>
    </w:p>
    <w:p>
      <w:pPr>
        <w:pStyle w:val="ListParagraph"/>
        <w:numPr>
          <w:ilvl w:val="0"/>
          <w:numId w:val="2"/>
        </w:numPr>
        <w:spacing w:after="100"/>
      </w:pPr>
      <w:r>
        <w:t xml:space="preserve">Think before you click: verify links and attachments before opening them.</w:t>
      </w:r>
    </w:p>
    <w:p>
      <w:pPr>
        <w:pStyle w:val="Heading1"/>
      </w:pPr>
      <w:r>
        <w:t xml:space="preserve">3. Organizing Information with Headings</w:t>
      </w:r>
    </w:p>
    <w:p>
      <w:pPr>
        <w:spacing w:after="140" w:line="276"/>
      </w:pPr>
      <w:r>
        <w:t xml:space="preserve">Heading 1 is used for major sections, while Heading 2 is used for subsections. Because built-in heading styles are applied, the Navigation Pane can display the full structure of this document.</w:t>
      </w:r>
    </w:p>
    <w:p>
      <w:pPr>
        <w:pStyle w:val="Heading2"/>
      </w:pPr>
      <w:r>
        <w:t xml:space="preserve">3.1 Phishing and Social Engineering</w:t>
      </w:r>
    </w:p>
    <w:p>
      <w:pPr>
        <w:spacing w:after="140" w:line="276"/>
      </w:pPr>
      <w:r>
        <w:t xml:space="preserve">Phishing is the most widespread online threat. Attackers send messages that look like they come from a trusted bank, company or friend, hoping the victim will enter a password or download a harmful file. Social engineering works the same way, but relies on pressure, urgency or trust to manipulate people instead of technology.</w:t>
      </w:r>
    </w:p>
    <w:p>
      <w:pPr>
        <w:pStyle w:val="Heading2"/>
      </w:pPr>
      <w:r>
        <w:t xml:space="preserve">3.2 Using the Navigation Pane</w:t>
      </w:r>
    </w:p>
    <w:p>
      <w:pPr>
        <w:spacing w:after="140" w:line="276"/>
      </w:pPr>
      <w:r>
        <w:t xml:space="preserve">In Word, select View → Navigation Pane. The headings appear in a panel, allowing you to jump between sections and reorganize content more easily.</w:t>
      </w:r>
    </w:p>
    <w:p>
      <w:pPr>
        <w:sectPr>
          <w:footerReference w:type="default" r:id="rId7"/>
          <w:pgSz w:w="12240" w:h="15840" w:orient="portrait"/>
          <w:pgMar w:top="1008" w:right="1152" w:bottom="1008" w:left="1152" w:header="720" w:footer="720" w:gutter="0"/>
          <w:pgNumType/>
          <w:docGrid w:linePitch="360"/>
        </w:sectPr>
      </w:pPr>
    </w:p>
    <w:p>
      <w:pPr>
        <w:pStyle w:val="Heading1"/>
      </w:pPr>
      <w:r>
        <w:t xml:space="preserve">4. Example Data Table</w:t>
      </w:r>
    </w:p>
    <w:p>
      <w:pPr>
        <w:spacing w:after="140" w:line="276"/>
      </w:pPr>
      <w:r>
        <w:t xml:space="preserve">This section uses landscape orientation to provide extra horizontal space for the table.</w:t>
      </w:r>
    </w:p>
    <w:tbl>
      <w:tblPr>
        <w:tblW w:type="dxa" w:w="13824"/>
        <w:tblBorders>
          <w:top w:val="single" w:color="auto" w:sz="4"/>
          <w:left w:val="single" w:color="auto" w:sz="4"/>
          <w:bottom w:val="single" w:color="auto" w:sz="4"/>
          <w:right w:val="single" w:color="auto" w:sz="4"/>
          <w:insideH w:val="single" w:color="auto" w:sz="4"/>
          <w:insideV w:val="single" w:color="auto" w:sz="4"/>
        </w:tblBorders>
      </w:tblPr>
      <w:tblGrid>
        <w:gridCol w:w="2400"/>
        <w:gridCol w:w="4300"/>
        <w:gridCol w:w="3500"/>
        <w:gridCol w:w="3624"/>
      </w:tblGrid>
      <w:tr>
        <w:trPr>
          <w:cantSplit/>
          <w:tblHeader/>
        </w:trPr>
        <w:tc>
          <w:tcPr>
            <w:tcW w:type="dxa" w:w="2400"/>
            <w:tcBorders>
              <w:top w:val="single" w:color="BFBFBF" w:sz="4"/>
              <w:left w:val="single" w:color="BFBFBF" w:sz="4"/>
              <w:bottom w:val="single" w:color="BFBFBF" w:sz="4"/>
              <w:right w:val="single" w:color="BFBFBF" w:sz="4"/>
            </w:tcBorders>
            <w:shd w:fill="17365D" w:color="auto" w:val="clear"/>
            <w:tcMar>
              <w:top w:type="dxa" w:w="100"/>
              <w:left w:type="dxa" w:w="140"/>
              <w:bottom w:type="dxa" w:w="100"/>
              <w:right w:type="dxa" w:w="140"/>
            </w:tcMar>
          </w:tcPr>
          <w:p>
            <w:r>
              <w:rPr>
                <w:b/>
                <w:bCs/>
                <w:color w:val="FFFFFF"/>
                <w:sz w:val="21"/>
                <w:szCs w:val="21"/>
              </w:rPr>
              <w:t xml:space="preserve">Cyber Threat</w:t>
            </w:r>
          </w:p>
        </w:tc>
        <w:tc>
          <w:tcPr>
            <w:tcW w:type="dxa" w:w="4300"/>
            <w:tcBorders>
              <w:top w:val="single" w:color="BFBFBF" w:sz="4"/>
              <w:left w:val="single" w:color="BFBFBF" w:sz="4"/>
              <w:bottom w:val="single" w:color="BFBFBF" w:sz="4"/>
              <w:right w:val="single" w:color="BFBFBF" w:sz="4"/>
            </w:tcBorders>
            <w:shd w:fill="17365D" w:color="auto" w:val="clear"/>
            <w:tcMar>
              <w:top w:type="dxa" w:w="100"/>
              <w:left w:type="dxa" w:w="140"/>
              <w:bottom w:type="dxa" w:w="100"/>
              <w:right w:type="dxa" w:w="140"/>
            </w:tcMar>
          </w:tcPr>
          <w:p>
            <w:r>
              <w:rPr>
                <w:b/>
                <w:bCs/>
                <w:color w:val="FFFFFF"/>
                <w:sz w:val="21"/>
                <w:szCs w:val="21"/>
              </w:rPr>
              <w:t xml:space="preserve">What It Is</w:t>
            </w:r>
          </w:p>
        </w:tc>
        <w:tc>
          <w:tcPr>
            <w:tcW w:type="dxa" w:w="3500"/>
            <w:tcBorders>
              <w:top w:val="single" w:color="BFBFBF" w:sz="4"/>
              <w:left w:val="single" w:color="BFBFBF" w:sz="4"/>
              <w:bottom w:val="single" w:color="BFBFBF" w:sz="4"/>
              <w:right w:val="single" w:color="BFBFBF" w:sz="4"/>
            </w:tcBorders>
            <w:shd w:fill="17365D" w:color="auto" w:val="clear"/>
            <w:tcMar>
              <w:top w:type="dxa" w:w="100"/>
              <w:left w:type="dxa" w:w="140"/>
              <w:bottom w:type="dxa" w:w="100"/>
              <w:right w:type="dxa" w:w="140"/>
            </w:tcMar>
          </w:tcPr>
          <w:p>
            <w:r>
              <w:rPr>
                <w:b/>
                <w:bCs/>
                <w:color w:val="FFFFFF"/>
                <w:sz w:val="21"/>
                <w:szCs w:val="21"/>
              </w:rPr>
              <w:t xml:space="preserve">Possible Impact</w:t>
            </w:r>
          </w:p>
        </w:tc>
        <w:tc>
          <w:tcPr>
            <w:tcW w:type="dxa" w:w="3624"/>
            <w:tcBorders>
              <w:top w:val="single" w:color="BFBFBF" w:sz="4"/>
              <w:left w:val="single" w:color="BFBFBF" w:sz="4"/>
              <w:bottom w:val="single" w:color="BFBFBF" w:sz="4"/>
              <w:right w:val="single" w:color="BFBFBF" w:sz="4"/>
            </w:tcBorders>
            <w:shd w:fill="17365D" w:color="auto" w:val="clear"/>
            <w:tcMar>
              <w:top w:type="dxa" w:w="100"/>
              <w:left w:type="dxa" w:w="140"/>
              <w:bottom w:type="dxa" w:w="100"/>
              <w:right w:type="dxa" w:w="140"/>
            </w:tcMar>
          </w:tcPr>
          <w:p>
            <w:r>
              <w:rPr>
                <w:b/>
                <w:bCs/>
                <w:color w:val="FFFFFF"/>
                <w:sz w:val="21"/>
                <w:szCs w:val="21"/>
              </w:rPr>
              <w:t xml:space="preserve">How to Stay Protected</w:t>
            </w:r>
          </w:p>
        </w:tc>
      </w:tr>
      <w:tr>
        <w:trPr>
          <w:cantSplit/>
          <w:tblHeader w:val="false"/>
        </w:trPr>
        <w:tc>
          <w:tcPr>
            <w:tcW w:type="dxa" w:w="2400"/>
            <w:tcBorders>
              <w:top w:val="single" w:color="BFBFBF" w:sz="4"/>
              <w:left w:val="single" w:color="BFBFBF" w:sz="4"/>
              <w:bottom w:val="single" w:color="BFBFBF" w:sz="4"/>
              <w:right w:val="single" w:color="BFBFBF" w:sz="4"/>
            </w:tcBorders>
            <w:shd w:fill="EAF2F8" w:color="auto" w:val="clear"/>
            <w:tcMar>
              <w:top w:type="dxa" w:w="100"/>
              <w:left w:type="dxa" w:w="140"/>
              <w:bottom w:type="dxa" w:w="100"/>
              <w:right w:type="dxa" w:w="140"/>
            </w:tcMar>
          </w:tcPr>
          <w:p>
            <w:r>
              <w:rPr>
                <w:b/>
                <w:bCs/>
                <w:color w:val="000000"/>
                <w:sz w:val="21"/>
                <w:szCs w:val="21"/>
              </w:rPr>
              <w:t xml:space="preserve">Phishing</w:t>
            </w:r>
          </w:p>
        </w:tc>
        <w:tc>
          <w:tcPr>
            <w:tcW w:type="dxa" w:w="4300"/>
            <w:tcBorders>
              <w:top w:val="single" w:color="BFBFBF" w:sz="4"/>
              <w:left w:val="single" w:color="BFBFBF" w:sz="4"/>
              <w:bottom w:val="single" w:color="BFBFBF" w:sz="4"/>
              <w:right w:val="single" w:color="BFBFBF" w:sz="4"/>
            </w:tcBorders>
            <w:shd w:fill="EAF2F8" w:color="auto" w:val="clear"/>
            <w:tcMar>
              <w:top w:type="dxa" w:w="100"/>
              <w:left w:type="dxa" w:w="140"/>
              <w:bottom w:type="dxa" w:w="100"/>
              <w:right w:type="dxa" w:w="140"/>
            </w:tcMar>
          </w:tcPr>
          <w:p>
            <w:r>
              <w:rPr>
                <w:b w:val="false"/>
                <w:bCs w:val="false"/>
                <w:color w:val="000000"/>
                <w:sz w:val="21"/>
                <w:szCs w:val="21"/>
              </w:rPr>
              <w:t xml:space="preserve">Fake emails or messages that trick users into sharing passwords or clicking harmful links</w:t>
            </w:r>
          </w:p>
        </w:tc>
        <w:tc>
          <w:tcPr>
            <w:tcW w:type="dxa" w:w="3500"/>
            <w:tcBorders>
              <w:top w:val="single" w:color="BFBFBF" w:sz="4"/>
              <w:left w:val="single" w:color="BFBFBF" w:sz="4"/>
              <w:bottom w:val="single" w:color="BFBFBF" w:sz="4"/>
              <w:right w:val="single" w:color="BFBFBF" w:sz="4"/>
            </w:tcBorders>
            <w:shd w:fill="EAF2F8" w:color="auto" w:val="clear"/>
            <w:tcMar>
              <w:top w:type="dxa" w:w="100"/>
              <w:left w:type="dxa" w:w="140"/>
              <w:bottom w:type="dxa" w:w="100"/>
              <w:right w:type="dxa" w:w="140"/>
            </w:tcMar>
          </w:tcPr>
          <w:p>
            <w:r>
              <w:rPr>
                <w:b w:val="false"/>
                <w:bCs w:val="false"/>
                <w:color w:val="000000"/>
                <w:sz w:val="21"/>
                <w:szCs w:val="21"/>
              </w:rPr>
              <w:t xml:space="preserve">Stolen accounts and money</w:t>
            </w:r>
          </w:p>
        </w:tc>
        <w:tc>
          <w:tcPr>
            <w:tcW w:type="dxa" w:w="3624"/>
            <w:tcBorders>
              <w:top w:val="single" w:color="BFBFBF" w:sz="4"/>
              <w:left w:val="single" w:color="BFBFBF" w:sz="4"/>
              <w:bottom w:val="single" w:color="BFBFBF" w:sz="4"/>
              <w:right w:val="single" w:color="BFBFBF" w:sz="4"/>
            </w:tcBorders>
            <w:shd w:fill="EAF2F8" w:color="auto" w:val="clear"/>
            <w:tcMar>
              <w:top w:type="dxa" w:w="100"/>
              <w:left w:type="dxa" w:w="140"/>
              <w:bottom w:type="dxa" w:w="100"/>
              <w:right w:type="dxa" w:w="140"/>
            </w:tcMar>
          </w:tcPr>
          <w:p>
            <w:r>
              <w:rPr>
                <w:b w:val="false"/>
                <w:bCs w:val="false"/>
                <w:color w:val="000000"/>
                <w:sz w:val="21"/>
                <w:szCs w:val="21"/>
              </w:rPr>
              <w:t xml:space="preserve">Check the sender and never click unknown links</w:t>
            </w:r>
          </w:p>
        </w:tc>
      </w:tr>
      <w:tr>
        <w:trPr>
          <w:cantSplit/>
          <w:tblHeader w:val="false"/>
        </w:trP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b/>
                <w:bCs/>
                <w:color w:val="000000"/>
                <w:sz w:val="21"/>
                <w:szCs w:val="21"/>
              </w:rPr>
              <w:t xml:space="preserve">Malware</w:t>
            </w:r>
          </w:p>
        </w:tc>
        <w:tc>
          <w:tcPr>
            <w:tcW w:type="dxa" w:w="43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b w:val="false"/>
                <w:bCs w:val="false"/>
                <w:color w:val="000000"/>
                <w:sz w:val="21"/>
                <w:szCs w:val="21"/>
              </w:rPr>
              <w:t xml:space="preserve">Harmful software such as viruses, spyware and ransomware</w:t>
            </w:r>
          </w:p>
        </w:tc>
        <w:tc>
          <w:tcPr>
            <w:tcW w:type="dxa" w:w="35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b w:val="false"/>
                <w:bCs w:val="false"/>
                <w:color w:val="000000"/>
                <w:sz w:val="21"/>
                <w:szCs w:val="21"/>
              </w:rPr>
              <w:t xml:space="preserve">Data loss or locked files</w:t>
            </w:r>
          </w:p>
        </w:tc>
        <w:tc>
          <w:tcPr>
            <w:tcW w:type="dxa" w:w="3624"/>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b w:val="false"/>
                <w:bCs w:val="false"/>
                <w:color w:val="000000"/>
                <w:sz w:val="21"/>
                <w:szCs w:val="21"/>
              </w:rPr>
              <w:t xml:space="preserve">Install antivirus and update software regularly</w:t>
            </w:r>
          </w:p>
        </w:tc>
      </w:tr>
      <w:tr>
        <w:trPr>
          <w:cantSplit/>
          <w:tblHeader w:val="false"/>
        </w:trPr>
        <w:tc>
          <w:tcPr>
            <w:tcW w:type="dxa" w:w="2400"/>
            <w:tcBorders>
              <w:top w:val="single" w:color="BFBFBF" w:sz="4"/>
              <w:left w:val="single" w:color="BFBFBF" w:sz="4"/>
              <w:bottom w:val="single" w:color="BFBFBF" w:sz="4"/>
              <w:right w:val="single" w:color="BFBFBF" w:sz="4"/>
            </w:tcBorders>
            <w:shd w:fill="EAF2F8" w:color="auto" w:val="clear"/>
            <w:tcMar>
              <w:top w:type="dxa" w:w="100"/>
              <w:left w:type="dxa" w:w="140"/>
              <w:bottom w:type="dxa" w:w="100"/>
              <w:right w:type="dxa" w:w="140"/>
            </w:tcMar>
          </w:tcPr>
          <w:p>
            <w:r>
              <w:rPr>
                <w:b/>
                <w:bCs/>
                <w:color w:val="000000"/>
                <w:sz w:val="21"/>
                <w:szCs w:val="21"/>
              </w:rPr>
              <w:t xml:space="preserve">Weak Passwords</w:t>
            </w:r>
          </w:p>
        </w:tc>
        <w:tc>
          <w:tcPr>
            <w:tcW w:type="dxa" w:w="4300"/>
            <w:tcBorders>
              <w:top w:val="single" w:color="BFBFBF" w:sz="4"/>
              <w:left w:val="single" w:color="BFBFBF" w:sz="4"/>
              <w:bottom w:val="single" w:color="BFBFBF" w:sz="4"/>
              <w:right w:val="single" w:color="BFBFBF" w:sz="4"/>
            </w:tcBorders>
            <w:shd w:fill="EAF2F8" w:color="auto" w:val="clear"/>
            <w:tcMar>
              <w:top w:type="dxa" w:w="100"/>
              <w:left w:type="dxa" w:w="140"/>
              <w:bottom w:type="dxa" w:w="100"/>
              <w:right w:type="dxa" w:w="140"/>
            </w:tcMar>
          </w:tcPr>
          <w:p>
            <w:r>
              <w:rPr>
                <w:b w:val="false"/>
                <w:bCs w:val="false"/>
                <w:color w:val="000000"/>
                <w:sz w:val="21"/>
                <w:szCs w:val="21"/>
              </w:rPr>
              <w:t xml:space="preserve">Easy-to-guess passwords reused on many accounts</w:t>
            </w:r>
          </w:p>
        </w:tc>
        <w:tc>
          <w:tcPr>
            <w:tcW w:type="dxa" w:w="3500"/>
            <w:tcBorders>
              <w:top w:val="single" w:color="BFBFBF" w:sz="4"/>
              <w:left w:val="single" w:color="BFBFBF" w:sz="4"/>
              <w:bottom w:val="single" w:color="BFBFBF" w:sz="4"/>
              <w:right w:val="single" w:color="BFBFBF" w:sz="4"/>
            </w:tcBorders>
            <w:shd w:fill="EAF2F8" w:color="auto" w:val="clear"/>
            <w:tcMar>
              <w:top w:type="dxa" w:w="100"/>
              <w:left w:type="dxa" w:w="140"/>
              <w:bottom w:type="dxa" w:w="100"/>
              <w:right w:type="dxa" w:w="140"/>
            </w:tcMar>
          </w:tcPr>
          <w:p>
            <w:r>
              <w:rPr>
                <w:b w:val="false"/>
                <w:bCs w:val="false"/>
                <w:color w:val="000000"/>
                <w:sz w:val="21"/>
                <w:szCs w:val="21"/>
              </w:rPr>
              <w:t xml:space="preserve">Account takeover</w:t>
            </w:r>
          </w:p>
        </w:tc>
        <w:tc>
          <w:tcPr>
            <w:tcW w:type="dxa" w:w="3624"/>
            <w:tcBorders>
              <w:top w:val="single" w:color="BFBFBF" w:sz="4"/>
              <w:left w:val="single" w:color="BFBFBF" w:sz="4"/>
              <w:bottom w:val="single" w:color="BFBFBF" w:sz="4"/>
              <w:right w:val="single" w:color="BFBFBF" w:sz="4"/>
            </w:tcBorders>
            <w:shd w:fill="EAF2F8" w:color="auto" w:val="clear"/>
            <w:tcMar>
              <w:top w:type="dxa" w:w="100"/>
              <w:left w:type="dxa" w:w="140"/>
              <w:bottom w:type="dxa" w:w="100"/>
              <w:right w:type="dxa" w:w="140"/>
            </w:tcMar>
          </w:tcPr>
          <w:p>
            <w:r>
              <w:rPr>
                <w:b w:val="false"/>
                <w:bCs w:val="false"/>
                <w:color w:val="000000"/>
                <w:sz w:val="21"/>
                <w:szCs w:val="21"/>
              </w:rPr>
              <w:t xml:space="preserve">Use long unique passwords and a password manager</w:t>
            </w:r>
          </w:p>
        </w:tc>
      </w:tr>
      <w:tr>
        <w:trPr>
          <w:cantSplit/>
          <w:tblHeader w:val="false"/>
        </w:trPr>
        <w:tc>
          <w:tcPr>
            <w:tcW w:type="dxa" w:w="24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b/>
                <w:bCs/>
                <w:color w:val="000000"/>
                <w:sz w:val="21"/>
                <w:szCs w:val="21"/>
              </w:rPr>
              <w:t xml:space="preserve">Public Wi-Fi Attacks</w:t>
            </w:r>
          </w:p>
        </w:tc>
        <w:tc>
          <w:tcPr>
            <w:tcW w:type="dxa" w:w="43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b w:val="false"/>
                <w:bCs w:val="false"/>
                <w:color w:val="000000"/>
                <w:sz w:val="21"/>
                <w:szCs w:val="21"/>
              </w:rPr>
              <w:t xml:space="preserve">Hackers monitoring traffic on unsecured networks</w:t>
            </w:r>
          </w:p>
        </w:tc>
        <w:tc>
          <w:tcPr>
            <w:tcW w:type="dxa" w:w="3500"/>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b w:val="false"/>
                <w:bCs w:val="false"/>
                <w:color w:val="000000"/>
                <w:sz w:val="21"/>
                <w:szCs w:val="21"/>
              </w:rPr>
              <w:t xml:space="preserve">Exposed personal data</w:t>
            </w:r>
          </w:p>
        </w:tc>
        <w:tc>
          <w:tcPr>
            <w:tcW w:type="dxa" w:w="3624"/>
            <w:tcBorders>
              <w:top w:val="single" w:color="BFBFBF" w:sz="4"/>
              <w:left w:val="single" w:color="BFBFBF" w:sz="4"/>
              <w:bottom w:val="single" w:color="BFBFBF" w:sz="4"/>
              <w:right w:val="single" w:color="BFBFBF" w:sz="4"/>
            </w:tcBorders>
            <w:shd w:fill="FFFFFF" w:color="auto" w:val="clear"/>
            <w:tcMar>
              <w:top w:type="dxa" w:w="100"/>
              <w:left w:type="dxa" w:w="140"/>
              <w:bottom w:type="dxa" w:w="100"/>
              <w:right w:type="dxa" w:w="140"/>
            </w:tcMar>
          </w:tcPr>
          <w:p>
            <w:r>
              <w:rPr>
                <w:b w:val="false"/>
                <w:bCs w:val="false"/>
                <w:color w:val="000000"/>
                <w:sz w:val="21"/>
                <w:szCs w:val="21"/>
              </w:rPr>
              <w:t xml:space="preserve">Avoid sensitive logins or use a VPN</w:t>
            </w:r>
          </w:p>
        </w:tc>
      </w:tr>
      <w:tr>
        <w:trPr>
          <w:cantSplit/>
          <w:tblHeader w:val="false"/>
        </w:trPr>
        <w:tc>
          <w:tcPr>
            <w:tcW w:type="dxa" w:w="2400"/>
            <w:tcBorders>
              <w:top w:val="single" w:color="BFBFBF" w:sz="4"/>
              <w:left w:val="single" w:color="BFBFBF" w:sz="4"/>
              <w:bottom w:val="single" w:color="BFBFBF" w:sz="4"/>
              <w:right w:val="single" w:color="BFBFBF" w:sz="4"/>
            </w:tcBorders>
            <w:shd w:fill="EAF2F8" w:color="auto" w:val="clear"/>
            <w:tcMar>
              <w:top w:type="dxa" w:w="100"/>
              <w:left w:type="dxa" w:w="140"/>
              <w:bottom w:type="dxa" w:w="100"/>
              <w:right w:type="dxa" w:w="140"/>
            </w:tcMar>
          </w:tcPr>
          <w:p>
            <w:r>
              <w:rPr>
                <w:b/>
                <w:bCs/>
                <w:color w:val="000000"/>
                <w:sz w:val="21"/>
                <w:szCs w:val="21"/>
              </w:rPr>
              <w:t xml:space="preserve">Social Engineering</w:t>
            </w:r>
          </w:p>
        </w:tc>
        <w:tc>
          <w:tcPr>
            <w:tcW w:type="dxa" w:w="4300"/>
            <w:tcBorders>
              <w:top w:val="single" w:color="BFBFBF" w:sz="4"/>
              <w:left w:val="single" w:color="BFBFBF" w:sz="4"/>
              <w:bottom w:val="single" w:color="BFBFBF" w:sz="4"/>
              <w:right w:val="single" w:color="BFBFBF" w:sz="4"/>
            </w:tcBorders>
            <w:shd w:fill="EAF2F8" w:color="auto" w:val="clear"/>
            <w:tcMar>
              <w:top w:type="dxa" w:w="100"/>
              <w:left w:type="dxa" w:w="140"/>
              <w:bottom w:type="dxa" w:w="100"/>
              <w:right w:type="dxa" w:w="140"/>
            </w:tcMar>
          </w:tcPr>
          <w:p>
            <w:r>
              <w:rPr>
                <w:b w:val="false"/>
                <w:bCs w:val="false"/>
                <w:color w:val="000000"/>
                <w:sz w:val="21"/>
                <w:szCs w:val="21"/>
              </w:rPr>
              <w:t xml:space="preserve">Manipulating people into revealing confidential information</w:t>
            </w:r>
          </w:p>
        </w:tc>
        <w:tc>
          <w:tcPr>
            <w:tcW w:type="dxa" w:w="3500"/>
            <w:tcBorders>
              <w:top w:val="single" w:color="BFBFBF" w:sz="4"/>
              <w:left w:val="single" w:color="BFBFBF" w:sz="4"/>
              <w:bottom w:val="single" w:color="BFBFBF" w:sz="4"/>
              <w:right w:val="single" w:color="BFBFBF" w:sz="4"/>
            </w:tcBorders>
            <w:shd w:fill="EAF2F8" w:color="auto" w:val="clear"/>
            <w:tcMar>
              <w:top w:type="dxa" w:w="100"/>
              <w:left w:type="dxa" w:w="140"/>
              <w:bottom w:type="dxa" w:w="100"/>
              <w:right w:type="dxa" w:w="140"/>
            </w:tcMar>
          </w:tcPr>
          <w:p>
            <w:r>
              <w:rPr>
                <w:b w:val="false"/>
                <w:bCs w:val="false"/>
                <w:color w:val="000000"/>
                <w:sz w:val="21"/>
                <w:szCs w:val="21"/>
              </w:rPr>
              <w:t xml:space="preserve">Unauthorized access</w:t>
            </w:r>
          </w:p>
        </w:tc>
        <w:tc>
          <w:tcPr>
            <w:tcW w:type="dxa" w:w="3624"/>
            <w:tcBorders>
              <w:top w:val="single" w:color="BFBFBF" w:sz="4"/>
              <w:left w:val="single" w:color="BFBFBF" w:sz="4"/>
              <w:bottom w:val="single" w:color="BFBFBF" w:sz="4"/>
              <w:right w:val="single" w:color="BFBFBF" w:sz="4"/>
            </w:tcBorders>
            <w:shd w:fill="EAF2F8" w:color="auto" w:val="clear"/>
            <w:tcMar>
              <w:top w:type="dxa" w:w="100"/>
              <w:left w:type="dxa" w:w="140"/>
              <w:bottom w:type="dxa" w:w="100"/>
              <w:right w:type="dxa" w:w="140"/>
            </w:tcMar>
          </w:tcPr>
          <w:p>
            <w:r>
              <w:rPr>
                <w:b w:val="false"/>
                <w:bCs w:val="false"/>
                <w:color w:val="000000"/>
                <w:sz w:val="21"/>
                <w:szCs w:val="21"/>
              </w:rPr>
              <w:t xml:space="preserve">Verify identities before sharing any information</w:t>
            </w:r>
          </w:p>
        </w:tc>
      </w:tr>
    </w:tbl>
    <w:p>
      <w:pPr>
        <w:pStyle w:val="Caption"/>
        <w:spacing w:after="200" w:before="120"/>
      </w:pPr>
      <w:bookmarkStart w:name="Table1" w:id="1"/>
      <w:r>
        <w:t xml:space="preserve">Table </w:t>
      </w:r>
      <w:fldSimple w:instr="SEQ Table \* ARABIC">
        <w:r>
          <w:t xml:space="preserve">1</w:t>
        </w:r>
      </w:fldSimple>
      <w:bookmarkEnd w:id="1"/>
      <w:r>
        <w:t xml:space="preserve">: Summary of common cyber threats and protection methods.</w:t>
      </w:r>
    </w:p>
    <w:p>
      <w:pPr>
        <w:spacing w:after="140"/>
      </w:pPr>
      <w:r>
        <w:t xml:space="preserve">As shown in </w:t>
      </w:r>
      <w:fldSimple w:instr="REF Table1 \h">
        <w:r>
          <w:t xml:space="preserve">Table 1</w:t>
        </w:r>
      </w:fldSimple>
      <w:r>
        <w:t xml:space="preserve">, most cyber threats target human behavior rather than technology, so awareness and good habits are the strongest form of defense.</w:t>
      </w:r>
    </w:p>
    <w:p>
      <w:pPr>
        <w:sectPr>
          <w:footerReference w:type="default" r:id="rId8"/>
          <w:type w:val="nextPage"/>
          <w:pgSz w:w="15840" w:h="12240" w:orient="landscape"/>
          <w:pgMar w:top="864" w:right="1008" w:bottom="864" w:left="1008" w:header="720" w:footer="720" w:gutter="0"/>
          <w:pgNumType/>
          <w:docGrid w:linePitch="360"/>
        </w:sectPr>
      </w:pPr>
    </w:p>
    <w:p>
      <w:pPr>
        <w:pStyle w:val="Heading1"/>
      </w:pPr>
      <w:r>
        <w:t xml:space="preserve">5. Final Review and Saving</w:t>
      </w:r>
    </w:p>
    <w:p>
      <w:pPr>
        <w:spacing w:after="140" w:line="276"/>
      </w:pPr>
      <w:r>
        <w:t xml:space="preserve">Before submitting a document, review spelling and grammar, check heading consistency, and update the Table of Contents and cross-reference fields.</w:t>
      </w:r>
    </w:p>
    <w:p>
      <w:pPr>
        <w:pStyle w:val="ListParagraph"/>
        <w:numPr>
          <w:ilvl w:val="0"/>
          <w:numId w:val="2"/>
        </w:numPr>
        <w:spacing w:after="100"/>
      </w:pPr>
      <w:r>
        <w:t xml:space="preserve">Review spelling and grammar using Review → Editor or Spelling &amp; Grammar.</w:t>
      </w:r>
    </w:p>
    <w:p>
      <w:pPr>
        <w:pStyle w:val="ListParagraph"/>
        <w:numPr>
          <w:ilvl w:val="0"/>
          <w:numId w:val="2"/>
        </w:numPr>
        <w:spacing w:after="100"/>
      </w:pPr>
      <w:r>
        <w:t xml:space="preserve">Update fields by selecting the Table of Contents and choosing Update Field.</w:t>
      </w:r>
    </w:p>
    <w:p>
      <w:pPr>
        <w:pStyle w:val="ListParagraph"/>
        <w:numPr>
          <w:ilvl w:val="0"/>
          <w:numId w:val="2"/>
        </w:numPr>
        <w:spacing w:after="100"/>
      </w:pPr>
      <w:r>
        <w:t xml:space="preserve">Save the editable version as a .docx file.</w:t>
      </w:r>
    </w:p>
    <w:p>
      <w:pPr>
        <w:pStyle w:val="ListParagraph"/>
        <w:numPr>
          <w:ilvl w:val="0"/>
          <w:numId w:val="2"/>
        </w:numPr>
        <w:spacing w:after="100"/>
      </w:pPr>
      <w:r>
        <w:t xml:space="preserve">Export a second copy using File → Save As or Export → PDF.</w:t>
      </w:r>
    </w:p>
    <w:p>
      <w:pPr>
        <w:pStyle w:val="Heading1"/>
      </w:pPr>
      <w:r>
        <w:t xml:space="preserve">Conclusion</w:t>
      </w:r>
    </w:p>
    <w:p>
      <w:pPr>
        <w:spacing w:after="140" w:line="276"/>
      </w:pPr>
      <w:r>
        <w:t xml:space="preserve">Cyber security is a shared responsibility. By recognizing common threats such as phishing, malware and weak passwords, and by following simple habits like updating software and using two-factor authentication, anyone can greatly reduce their risk online. A well-formatted document with heading styles, a table of contents, captions and cross-references also makes this information easier to read, navigate and update.</w:t>
      </w:r>
    </w:p>
    <w:sectPr>
      <w:footerReference w:type="default" r:id="rId9"/>
      <w:type w:val="nextPage"/>
      <w:pgSz w:w="12240" w:h="15840" w:orient="portrait"/>
      <w:pgMar w:top="1008" w:right="1152" w:bottom="1008" w:left="1152"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Cyber Security Awareness Assignment  |  Page </w:t>
    </w:r>
    <w:r>
      <w:rPr>
        <w:color w:val="595959"/>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Cyber Security Awareness Assignment  |  Page </w:t>
    </w:r>
    <w:r>
      <w:rPr>
        <w:color w:val="595959"/>
        <w:sz w:val="18"/>
        <w:szCs w:val="18"/>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Cyber Security Awareness Assignment  |  Page </w:t>
    </w:r>
    <w:r>
      <w:rPr>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color w:val="2F75B5"/>
        <w:sz w:val="20"/>
        <w:szCs w:val="2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20"/>
      <w:outlineLvl w:val="0"/>
    </w:pPr>
    <w:rPr>
      <w:rFonts w:ascii="Calibri" w:cs="Calibri" w:eastAsia="Calibri" w:hAnsi="Calibri"/>
      <w:b/>
      <w:bCs/>
      <w:color w:val="1F4E79"/>
      <w:sz w:val="32"/>
      <w:szCs w:val="32"/>
    </w:rPr>
  </w:style>
  <w:style w:type="paragraph" w:styleId="Heading2">
    <w:name w:val="Heading 2"/>
    <w:basedOn w:val="Normal"/>
    <w:next w:val="Normal"/>
    <w:qFormat/>
    <w:pPr>
      <w:keepNext/>
      <w:spacing w:after="100" w:before="240"/>
      <w:outlineLvl w:val="1"/>
    </w:pPr>
    <w:rPr>
      <w:rFonts w:ascii="Calibri" w:cs="Calibri" w:eastAsia="Calibri" w:hAnsi="Calibri"/>
      <w:b/>
      <w:bCs/>
      <w:color w:val="2F75B5"/>
      <w:sz w:val="26"/>
      <w:szCs w:val="26"/>
    </w:rPr>
  </w:style>
  <w:style w:type="paragraph" w:styleId="Caption">
    <w:name w:val="Caption"/>
    <w:basedOn w:val="Normal"/>
    <w:next w:val="Normal"/>
    <w:qFormat/>
    <w:rPr>
      <w:rFonts w:ascii="Calibri" w:cs="Calibri" w:eastAsia="Calibri" w:hAnsi="Calibri"/>
      <w:i/>
      <w:iCs/>
      <w:color w:val="44546A"/>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2026-10-14T17:46:48.105Z</dcterms:created>
  <dcterms:modified xsi:type="dcterms:W3CDTF">2026-10-14T17:46:48.113Z</dcterms:modified>
</cp:coreProperties>
</file>

<file path=docProps/custom.xml><?xml version="1.0" encoding="utf-8"?>
<Properties xmlns="http://schemas.openxmlformats.org/officeDocument/2006/custom-properties" xmlns:vt="http://schemas.openxmlformats.org/officeDocument/2006/docPropsVTypes"/>
</file>