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AA0A64">
      <w:pPr>
        <w:pStyle w:val="ListParagraph"/>
        <w:numPr>
          <w:ilvl w:val="0"/>
          <w:numId w:val="55"/>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A0A64">
      <w:pPr>
        <w:pStyle w:val="ListParagraph"/>
        <w:numPr>
          <w:ilvl w:val="0"/>
          <w:numId w:val="3"/>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000000"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000000"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000000"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AA0A64">
      <w:pPr>
        <w:pStyle w:val="NormalWeb"/>
        <w:numPr>
          <w:ilvl w:val="0"/>
          <w:numId w:val="53"/>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AA0A64">
      <w:pPr>
        <w:pStyle w:val="NormalWeb"/>
        <w:numPr>
          <w:ilvl w:val="0"/>
          <w:numId w:val="53"/>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AA0A64">
      <w:pPr>
        <w:pStyle w:val="NormalWeb"/>
        <w:numPr>
          <w:ilvl w:val="0"/>
          <w:numId w:val="53"/>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AA0A64">
      <w:pPr>
        <w:pStyle w:val="NormalWeb"/>
        <w:numPr>
          <w:ilvl w:val="0"/>
          <w:numId w:val="53"/>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AA0A64">
      <w:pPr>
        <w:pStyle w:val="NormalWeb"/>
        <w:numPr>
          <w:ilvl w:val="0"/>
          <w:numId w:val="53"/>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AA0A64">
      <w:pPr>
        <w:pStyle w:val="NormalWeb"/>
        <w:numPr>
          <w:ilvl w:val="0"/>
          <w:numId w:val="53"/>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AA0A64">
      <w:pPr>
        <w:pStyle w:val="NormalWeb"/>
        <w:numPr>
          <w:ilvl w:val="0"/>
          <w:numId w:val="8"/>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AA0A64">
      <w:pPr>
        <w:pStyle w:val="NormalWeb"/>
        <w:numPr>
          <w:ilvl w:val="0"/>
          <w:numId w:val="8"/>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A0A64">
      <w:pPr>
        <w:pStyle w:val="NormalWeb"/>
        <w:numPr>
          <w:ilvl w:val="0"/>
          <w:numId w:val="9"/>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6CE9A616"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57D2F5B5"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There are more than 73,643 ICD-10-C</w:t>
      </w:r>
      <w:r w:rsidR="00B21E75">
        <w:rPr>
          <w:rFonts w:ascii="Times New Roman" w:hAnsi="Times New Roman" w:cs="Times New Roman"/>
          <w:sz w:val="24"/>
          <w:szCs w:val="24"/>
        </w:rPr>
        <w:t>M</w:t>
      </w:r>
      <w:r w:rsidRPr="00A37AB1">
        <w:rPr>
          <w:rFonts w:ascii="Times New Roman" w:hAnsi="Times New Roman" w:cs="Times New Roman"/>
          <w:sz w:val="24"/>
          <w:szCs w:val="24"/>
        </w:rPr>
        <w:t xml:space="preserve">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0A0766A7" w14:textId="7FB718B4"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568E930D">
            <wp:extent cx="38481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605280"/>
                    </a:xfrm>
                    <a:prstGeom prst="rect">
                      <a:avLst/>
                    </a:prstGeom>
                  </pic:spPr>
                </pic:pic>
              </a:graphicData>
            </a:graphic>
          </wp:inline>
        </w:drawing>
      </w:r>
    </w:p>
    <w:p w14:paraId="2B4B0FA6" w14:textId="77777777" w:rsidR="00B21E75" w:rsidRDefault="00B21E75" w:rsidP="00A2722A">
      <w:pPr>
        <w:shd w:val="clear" w:color="auto" w:fill="FFFFFF"/>
        <w:spacing w:before="75" w:after="120" w:line="240" w:lineRule="auto"/>
        <w:ind w:left="-210"/>
        <w:jc w:val="both"/>
        <w:rPr>
          <w:rFonts w:ascii="Times New Roman" w:hAnsi="Times New Roman" w:cs="Times New Roman"/>
          <w:b/>
          <w:sz w:val="24"/>
          <w:szCs w:val="24"/>
        </w:rPr>
      </w:pPr>
    </w:p>
    <w:p w14:paraId="7473E65C" w14:textId="50B0D793"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000000"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AA0A64">
      <w:pPr>
        <w:pStyle w:val="NormalWeb"/>
        <w:numPr>
          <w:ilvl w:val="0"/>
          <w:numId w:val="26"/>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24B209DC"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xml:space="preserve">: </w:t>
      </w:r>
      <w:r w:rsidR="00484B9A">
        <w:rPr>
          <w:rFonts w:ascii="Times New Roman" w:hAnsi="Times New Roman" w:cs="Times New Roman"/>
          <w:sz w:val="24"/>
          <w:szCs w:val="24"/>
        </w:rPr>
        <w:t>R</w:t>
      </w:r>
      <w:r w:rsidRPr="00A37AB1">
        <w:rPr>
          <w:rFonts w:ascii="Times New Roman" w:hAnsi="Times New Roman" w:cs="Times New Roman"/>
          <w:sz w:val="24"/>
          <w:szCs w:val="24"/>
        </w:rPr>
        <w:t>eferral request</w:t>
      </w:r>
    </w:p>
    <w:p w14:paraId="25DD986D" w14:textId="43F2D079"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w:t>
      </w:r>
    </w:p>
    <w:p w14:paraId="05A9A814" w14:textId="260C5E16"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D38549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 xml:space="preserve">What is </w:t>
      </w:r>
      <w:r w:rsidR="000D085A">
        <w:rPr>
          <w:b/>
          <w:spacing w:val="4"/>
          <w:sz w:val="32"/>
        </w:rPr>
        <w:t>R</w:t>
      </w:r>
      <w:r w:rsidRPr="00A37AB1">
        <w:rPr>
          <w:b/>
          <w:spacing w:val="4"/>
          <w:sz w:val="32"/>
        </w:rPr>
        <w:t xml:space="preserve">eferral </w:t>
      </w:r>
      <w:r w:rsidR="000D085A">
        <w:rPr>
          <w:b/>
          <w:spacing w:val="4"/>
          <w:sz w:val="32"/>
        </w:rPr>
        <w:t>R</w:t>
      </w:r>
      <w:r w:rsidRPr="00A37AB1">
        <w:rPr>
          <w:b/>
          <w:spacing w:val="4"/>
          <w:sz w:val="32"/>
        </w:rPr>
        <w:t>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AA0A64">
      <w:pPr>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2F5781D4" w14:textId="77777777" w:rsidR="00DB7353" w:rsidRDefault="00DB7353" w:rsidP="00600600">
      <w:pPr>
        <w:shd w:val="clear" w:color="auto" w:fill="FFFFFF"/>
        <w:spacing w:after="0" w:line="240" w:lineRule="auto"/>
        <w:rPr>
          <w:rFonts w:ascii="Times New Roman" w:eastAsia="Times New Roman" w:hAnsi="Times New Roman" w:cs="Times New Roman"/>
          <w:b/>
          <w:sz w:val="28"/>
          <w:szCs w:val="24"/>
        </w:rPr>
      </w:pPr>
    </w:p>
    <w:p w14:paraId="5BF1A158" w14:textId="07F078D0"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lastRenderedPageBreak/>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AA0A64">
      <w:pPr>
        <w:pStyle w:val="NormalWeb"/>
        <w:numPr>
          <w:ilvl w:val="0"/>
          <w:numId w:val="51"/>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AA0A64">
      <w:pPr>
        <w:pStyle w:val="NormalWeb"/>
        <w:numPr>
          <w:ilvl w:val="0"/>
          <w:numId w:val="50"/>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000000"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What are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AA0A64">
      <w:pPr>
        <w:pStyle w:val="NormalWeb"/>
        <w:numPr>
          <w:ilvl w:val="0"/>
          <w:numId w:val="27"/>
        </w:numPr>
        <w:shd w:val="clear" w:color="auto" w:fill="FFFFFF"/>
        <w:spacing w:before="0" w:beforeAutospacing="0" w:after="300" w:afterAutospacing="0"/>
        <w:jc w:val="both"/>
      </w:pPr>
      <w:r w:rsidRPr="00A37AB1">
        <w:t>Physicians</w:t>
      </w:r>
    </w:p>
    <w:p w14:paraId="70C2A106" w14:textId="604014EF"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70CCB42E" w:rsidR="00BE2C8F" w:rsidRPr="00A37AB1" w:rsidRDefault="00BE2C8F" w:rsidP="002B09EB">
      <w:pPr>
        <w:pStyle w:val="NormalWeb"/>
        <w:shd w:val="clear" w:color="auto" w:fill="FFFFFF"/>
        <w:spacing w:before="0" w:beforeAutospacing="0" w:after="300" w:afterAutospacing="0"/>
        <w:jc w:val="both"/>
      </w:pPr>
      <w:r w:rsidRPr="00A37AB1">
        <w:t xml:space="preserve">There are </w:t>
      </w:r>
      <w:r w:rsidR="0048414D">
        <w:t>eleven</w:t>
      </w:r>
      <w:r w:rsidRPr="00A37AB1">
        <w:t xml:space="preserve"> steps of revenue cycle management </w:t>
      </w:r>
    </w:p>
    <w:p w14:paraId="23EFD876" w14:textId="77777777" w:rsidR="0048414D" w:rsidRDefault="0048414D" w:rsidP="00AA0A64">
      <w:pPr>
        <w:pStyle w:val="NormalWeb"/>
        <w:numPr>
          <w:ilvl w:val="1"/>
          <w:numId w:val="9"/>
        </w:numPr>
        <w:shd w:val="clear" w:color="auto" w:fill="FFFFFF"/>
        <w:spacing w:before="0" w:beforeAutospacing="0" w:after="300" w:afterAutospacing="0"/>
        <w:rPr>
          <w:b/>
        </w:rPr>
      </w:pPr>
      <w:r>
        <w:rPr>
          <w:b/>
        </w:rPr>
        <w:t>Scheduling Appointments</w:t>
      </w:r>
    </w:p>
    <w:p w14:paraId="36ABB9CB" w14:textId="2E0FD44F" w:rsidR="0048414D" w:rsidRPr="0048414D" w:rsidRDefault="0048414D" w:rsidP="0048414D">
      <w:pPr>
        <w:pStyle w:val="NormalWeb"/>
        <w:shd w:val="clear" w:color="auto" w:fill="FFFFFF"/>
        <w:spacing w:after="300"/>
      </w:pPr>
      <w:r w:rsidRPr="0048414D">
        <w:t>In revenue cycle management, scheduling an appointment refers to the process of setting up a date and time for a patient to receive a medical service, such as a consultation, diagnostic test, or treatment</w:t>
      </w:r>
      <w:r w:rsidR="0008253C">
        <w:t>.</w:t>
      </w:r>
    </w:p>
    <w:p w14:paraId="64872130" w14:textId="4FEBBF41" w:rsidR="00FB45EA" w:rsidRDefault="0048414D" w:rsidP="0048414D">
      <w:pPr>
        <w:pStyle w:val="NormalWeb"/>
        <w:shd w:val="clear" w:color="auto" w:fill="FFFFFF"/>
        <w:spacing w:before="0" w:beforeAutospacing="0" w:after="300" w:afterAutospacing="0"/>
      </w:pPr>
      <w:r w:rsidRPr="0048414D">
        <w:t>Scheduling an appointment is an essential part of revenue cycle management because it enables healthcare providers to manage their workflow efficiently and ensure that patients receive timely and appropriate care. A well-designed appointment scheduling process can help reduce no-show rates, optimize resource utilization, and improve patient satisfaction. It can also facilitate the accurate and timely capture of chargeable services, which is critical for revenue cycle management.</w:t>
      </w:r>
    </w:p>
    <w:p w14:paraId="65B6CA6B" w14:textId="4958F491" w:rsidR="0007117A" w:rsidRPr="0007117A" w:rsidRDefault="0007117A" w:rsidP="00AA0A64">
      <w:pPr>
        <w:pStyle w:val="NormalWeb"/>
        <w:numPr>
          <w:ilvl w:val="1"/>
          <w:numId w:val="9"/>
        </w:numPr>
        <w:shd w:val="clear" w:color="auto" w:fill="FFFFFF"/>
        <w:spacing w:before="0" w:beforeAutospacing="0" w:after="300" w:afterAutospacing="0"/>
        <w:rPr>
          <w:b/>
        </w:rPr>
      </w:pPr>
      <w:r w:rsidRPr="0007117A">
        <w:rPr>
          <w:b/>
        </w:rPr>
        <w:t>Registration</w:t>
      </w:r>
    </w:p>
    <w:p w14:paraId="1D7CA4C5" w14:textId="5EF8B404" w:rsidR="00756083" w:rsidRDefault="0007117A" w:rsidP="0007117A">
      <w:pPr>
        <w:pStyle w:val="NormalWeb"/>
        <w:shd w:val="clear" w:color="auto" w:fill="FFFFFF"/>
        <w:spacing w:before="0" w:beforeAutospacing="0" w:after="300" w:afterAutospacing="0"/>
        <w:rPr>
          <w:color w:val="2D2D2D"/>
          <w:szCs w:val="30"/>
        </w:rPr>
      </w:pPr>
      <w:r w:rsidRPr="0007117A">
        <w:rPr>
          <w:color w:val="2D2D2D"/>
          <w:szCs w:val="30"/>
        </w:rPr>
        <w:t>After scheduling, patients go through the pre-registration and registration phase of RCM. This includes collecting all relevant information about the patient, including demographics, medical history and insurance information.</w:t>
      </w:r>
      <w:r w:rsidR="00756083" w:rsidRPr="00756083">
        <w:t xml:space="preserve"> </w:t>
      </w:r>
    </w:p>
    <w:p w14:paraId="59D34F8C" w14:textId="4A7631D0" w:rsidR="0007117A" w:rsidRDefault="0007117A" w:rsidP="0007117A">
      <w:pPr>
        <w:pStyle w:val="NormalWeb"/>
        <w:shd w:val="clear" w:color="auto" w:fill="FFFFFF"/>
        <w:spacing w:before="0" w:beforeAutospacing="0" w:after="300" w:afterAutospacing="0"/>
        <w:rPr>
          <w:b/>
          <w:color w:val="2D2D2D"/>
          <w:szCs w:val="30"/>
        </w:rPr>
      </w:pPr>
      <w:r w:rsidRPr="0007117A">
        <w:rPr>
          <w:b/>
          <w:color w:val="2D2D2D"/>
          <w:szCs w:val="30"/>
        </w:rPr>
        <w:t xml:space="preserve">Difference between Pre-Registration and Registration </w:t>
      </w:r>
    </w:p>
    <w:p w14:paraId="65846CF7" w14:textId="72F602DA" w:rsidR="0007117A" w:rsidRPr="0007117A" w:rsidRDefault="0007117A" w:rsidP="0007117A">
      <w:pPr>
        <w:pStyle w:val="NormalWeb"/>
        <w:shd w:val="clear" w:color="auto" w:fill="FFFFFF"/>
        <w:spacing w:after="300"/>
        <w:rPr>
          <w:color w:val="2D2D2D"/>
          <w:szCs w:val="30"/>
        </w:rPr>
      </w:pPr>
      <w:r w:rsidRPr="0007117A">
        <w:rPr>
          <w:color w:val="2D2D2D"/>
          <w:szCs w:val="30"/>
        </w:rPr>
        <w:t>Registration occurs at the time of the patient's first visit to a healthcare provider or facility. It involves the collection of personal and insurance information, as well as other relevant details that are necessary to initiate and manage patient care. Registration typically occurs at the point of care, such as in a clinic, hospital, or other healthcare facility.</w:t>
      </w:r>
    </w:p>
    <w:p w14:paraId="1F1C1564" w14:textId="6A6F504F" w:rsidR="0007117A" w:rsidRDefault="0007117A" w:rsidP="0007117A">
      <w:pPr>
        <w:pStyle w:val="NormalWeb"/>
        <w:shd w:val="clear" w:color="auto" w:fill="FFFFFF"/>
        <w:spacing w:before="0" w:beforeAutospacing="0" w:after="300" w:afterAutospacing="0"/>
        <w:rPr>
          <w:color w:val="2D2D2D"/>
          <w:szCs w:val="30"/>
        </w:rPr>
      </w:pPr>
      <w:r w:rsidRPr="0007117A">
        <w:rPr>
          <w:color w:val="2D2D2D"/>
          <w:szCs w:val="30"/>
        </w:rPr>
        <w:t>Pre-registration, on the other hand, occurs before the patient's actual visit to the healthcare provider or facility. It is a process that allows patients to provide their personal and insurance information in advance, typically online or over the phone. Pre-registration helps to streamline the registration process by reducing the amount of time patients spend in the waiting room and facilitating the scheduling of appointments.</w:t>
      </w:r>
    </w:p>
    <w:p w14:paraId="4B68DC1D" w14:textId="23C69D28" w:rsidR="00756083" w:rsidRDefault="00756083" w:rsidP="0007117A">
      <w:pPr>
        <w:pStyle w:val="NormalWeb"/>
        <w:shd w:val="clear" w:color="auto" w:fill="FFFFFF"/>
        <w:spacing w:before="0" w:beforeAutospacing="0" w:after="300" w:afterAutospacing="0"/>
        <w:rPr>
          <w:b/>
          <w:color w:val="2D2D2D"/>
          <w:szCs w:val="30"/>
        </w:rPr>
      </w:pPr>
      <w:r w:rsidRPr="00756083">
        <w:rPr>
          <w:color w:val="2D2D2D"/>
          <w:szCs w:val="30"/>
        </w:rPr>
        <w:t xml:space="preserve">The primary difference between registration and pre-registration is the </w:t>
      </w:r>
      <w:r w:rsidRPr="00756083">
        <w:rPr>
          <w:b/>
          <w:color w:val="2D2D2D"/>
          <w:szCs w:val="30"/>
        </w:rPr>
        <w:t>timing of the data collection process.</w:t>
      </w:r>
    </w:p>
    <w:p w14:paraId="56FB4EE0" w14:textId="629F877D" w:rsidR="00756083" w:rsidRDefault="00756083" w:rsidP="00AA0A64">
      <w:pPr>
        <w:pStyle w:val="NormalWeb"/>
        <w:numPr>
          <w:ilvl w:val="1"/>
          <w:numId w:val="9"/>
        </w:numPr>
        <w:shd w:val="clear" w:color="auto" w:fill="FFFFFF"/>
        <w:spacing w:before="0" w:beforeAutospacing="0" w:after="300" w:afterAutospacing="0"/>
        <w:rPr>
          <w:b/>
          <w:color w:val="2D2D2D"/>
          <w:szCs w:val="30"/>
        </w:rPr>
      </w:pPr>
      <w:r>
        <w:rPr>
          <w:b/>
          <w:color w:val="2D2D2D"/>
          <w:szCs w:val="30"/>
        </w:rPr>
        <w:lastRenderedPageBreak/>
        <w:t xml:space="preserve">Eligibility </w:t>
      </w:r>
    </w:p>
    <w:p w14:paraId="1D1DC1E5" w14:textId="605B1595" w:rsidR="00756083" w:rsidRDefault="00756083" w:rsidP="00756083">
      <w:pPr>
        <w:pStyle w:val="NormalWeb"/>
        <w:shd w:val="clear" w:color="auto" w:fill="FFFFFF"/>
        <w:spacing w:before="0" w:beforeAutospacing="0" w:after="300" w:afterAutospacing="0"/>
        <w:rPr>
          <w:color w:val="2D2D2D"/>
          <w:szCs w:val="30"/>
        </w:rPr>
      </w:pPr>
      <w:r w:rsidRPr="00977552">
        <w:rPr>
          <w:color w:val="2D2D2D"/>
          <w:szCs w:val="30"/>
        </w:rPr>
        <w:t>Once registered</w:t>
      </w:r>
      <w:r w:rsidR="00E5275C" w:rsidRPr="00977552">
        <w:rPr>
          <w:color w:val="2D2D2D"/>
          <w:szCs w:val="30"/>
        </w:rPr>
        <w:t xml:space="preserve">, providers can check patient eligibility. </w:t>
      </w:r>
      <w:r w:rsidR="00977552" w:rsidRPr="00977552">
        <w:rPr>
          <w:color w:val="2D2D2D"/>
          <w:szCs w:val="30"/>
        </w:rPr>
        <w:t>Eligibility refers to the process of verifying a patient's insurance coverage and determining their eligibility for medical services.</w:t>
      </w:r>
    </w:p>
    <w:p w14:paraId="2157F1A9" w14:textId="66B86758" w:rsidR="00977552" w:rsidRDefault="00977552" w:rsidP="00756083">
      <w:pPr>
        <w:pStyle w:val="NormalWeb"/>
        <w:shd w:val="clear" w:color="auto" w:fill="FFFFFF"/>
        <w:spacing w:before="0" w:beforeAutospacing="0" w:after="300" w:afterAutospacing="0"/>
        <w:rPr>
          <w:color w:val="2D2D2D"/>
          <w:szCs w:val="30"/>
        </w:rPr>
      </w:pPr>
      <w:r w:rsidRPr="00977552">
        <w:rPr>
          <w:color w:val="2D2D2D"/>
          <w:szCs w:val="30"/>
        </w:rPr>
        <w:t>The eligibility process typically involves contacting the patient's insurance provider to confirm their coverage and any co-payments or deductibles that may apply. The process may also involve checking the patient's insurance plan to ensure that the requested service is covered and to obtain any necessary prior authorizations.</w:t>
      </w:r>
    </w:p>
    <w:p w14:paraId="4B6178B4" w14:textId="37611D9E" w:rsidR="00977552" w:rsidRDefault="00977552" w:rsidP="00AA0A64">
      <w:pPr>
        <w:pStyle w:val="NormalWeb"/>
        <w:numPr>
          <w:ilvl w:val="1"/>
          <w:numId w:val="9"/>
        </w:numPr>
        <w:shd w:val="clear" w:color="auto" w:fill="FFFFFF"/>
        <w:spacing w:before="0" w:beforeAutospacing="0" w:after="300" w:afterAutospacing="0"/>
        <w:rPr>
          <w:b/>
          <w:color w:val="2D2D2D"/>
          <w:szCs w:val="30"/>
        </w:rPr>
      </w:pPr>
      <w:r w:rsidRPr="00977552">
        <w:rPr>
          <w:b/>
          <w:color w:val="2D2D2D"/>
          <w:szCs w:val="30"/>
        </w:rPr>
        <w:t xml:space="preserve">Utilization Review </w:t>
      </w:r>
    </w:p>
    <w:p w14:paraId="232803F0" w14:textId="4ABDD96A" w:rsidR="0008253C" w:rsidRPr="0008253C" w:rsidRDefault="0008253C" w:rsidP="0008253C">
      <w:pPr>
        <w:pStyle w:val="NormalWeb"/>
        <w:shd w:val="clear" w:color="auto" w:fill="FFFFFF"/>
        <w:spacing w:before="0" w:beforeAutospacing="0" w:after="300" w:afterAutospacing="0"/>
        <w:rPr>
          <w:b/>
          <w:sz w:val="18"/>
          <w:szCs w:val="30"/>
        </w:rPr>
      </w:pPr>
      <w:r w:rsidRPr="0008253C">
        <w:rPr>
          <w:szCs w:val="30"/>
        </w:rPr>
        <w:t>Often combined with the eligibility phase, utilization review is the process of determining essential health care services. Insurance companies and medical staff perform a utilization review to confirm a patient is not only eligible for insurance coverage, but they need the procedure or treatment they're requesting. A utilization review uses data-backed clinical guidelines to establish what kind of care is necessary, usually prior to the appointment.</w:t>
      </w:r>
    </w:p>
    <w:p w14:paraId="31A5E457" w14:textId="3050B477" w:rsidR="00F94ED2" w:rsidRPr="00277B6A" w:rsidRDefault="00F94ED2"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Initial Payment </w:t>
      </w:r>
    </w:p>
    <w:p w14:paraId="54758ADA" w14:textId="76B45C9F" w:rsidR="00F94ED2" w:rsidRPr="00F94ED2" w:rsidRDefault="00F94ED2" w:rsidP="00F94ED2">
      <w:pPr>
        <w:pStyle w:val="NormalWeb"/>
        <w:shd w:val="clear" w:color="auto" w:fill="FFFFFF"/>
        <w:spacing w:after="300"/>
        <w:rPr>
          <w:color w:val="2D2D2D"/>
          <w:szCs w:val="30"/>
        </w:rPr>
      </w:pPr>
      <w:r>
        <w:rPr>
          <w:color w:val="2D2D2D"/>
          <w:szCs w:val="30"/>
        </w:rPr>
        <w:t>I</w:t>
      </w:r>
      <w:r w:rsidRPr="00F94ED2">
        <w:rPr>
          <w:color w:val="2D2D2D"/>
          <w:szCs w:val="30"/>
        </w:rPr>
        <w:t>nitial payment refers to the payment that is made by a patient or their insurance provider at the time of service or shortly hereafter.</w:t>
      </w:r>
    </w:p>
    <w:p w14:paraId="63E1B09E" w14:textId="59A3343B" w:rsidR="00977552" w:rsidRDefault="00F94ED2" w:rsidP="00F94ED2">
      <w:pPr>
        <w:pStyle w:val="NormalWeb"/>
        <w:shd w:val="clear" w:color="auto" w:fill="FFFFFF"/>
        <w:spacing w:before="0" w:beforeAutospacing="0" w:after="300" w:afterAutospacing="0"/>
        <w:rPr>
          <w:color w:val="2D2D2D"/>
          <w:szCs w:val="30"/>
        </w:rPr>
      </w:pPr>
      <w:r w:rsidRPr="00F94ED2">
        <w:rPr>
          <w:color w:val="2D2D2D"/>
          <w:szCs w:val="30"/>
        </w:rPr>
        <w:t>Patients sometimes pay up-front for their health care costs to later be reimbursed, or pay a copay at the start of their appointment. The initial payments step involves collecting financial information and processing transactions to limit the chance of missed payments or account delinquency as well as track contributions to prevent overcharging.</w:t>
      </w:r>
    </w:p>
    <w:p w14:paraId="6517B38B" w14:textId="4E088264"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Describing Charges </w:t>
      </w:r>
    </w:p>
    <w:p w14:paraId="377F17E3" w14:textId="1ACF7792" w:rsidR="009406DC" w:rsidRDefault="009406DC" w:rsidP="009406DC">
      <w:pPr>
        <w:pStyle w:val="NormalWeb"/>
        <w:shd w:val="clear" w:color="auto" w:fill="FFFFFF"/>
        <w:spacing w:before="0" w:beforeAutospacing="0" w:after="300" w:afterAutospacing="0"/>
        <w:rPr>
          <w:rFonts w:ascii="Helvetica" w:hAnsi="Helvetica"/>
          <w:color w:val="2D2D2D"/>
          <w:sz w:val="30"/>
          <w:szCs w:val="30"/>
        </w:rPr>
      </w:pPr>
      <w:r w:rsidRPr="009406DC">
        <w:rPr>
          <w:color w:val="2D2D2D"/>
          <w:szCs w:val="30"/>
        </w:rPr>
        <w:t>Also known as charge capture, this phase is essential for both the health care provider and patient to have accurate, transparent records about why a visit costs a certain amount. Health care providers use a patient's chart notes to itemize the entire visit, including information on length and type of visit and any procedures performed or medications prescribed</w:t>
      </w:r>
      <w:r>
        <w:rPr>
          <w:rFonts w:ascii="Helvetica" w:hAnsi="Helvetica"/>
          <w:color w:val="2D2D2D"/>
          <w:sz w:val="30"/>
          <w:szCs w:val="30"/>
        </w:rPr>
        <w:t>.</w:t>
      </w:r>
    </w:p>
    <w:p w14:paraId="0C9B5585" w14:textId="77777777"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Medical Coding</w:t>
      </w:r>
    </w:p>
    <w:p w14:paraId="008DBF1B" w14:textId="204E08F9" w:rsidR="009406DC" w:rsidRDefault="009406DC" w:rsidP="009406DC">
      <w:pPr>
        <w:pStyle w:val="NormalWeb"/>
        <w:shd w:val="clear" w:color="auto" w:fill="FFFFFF"/>
        <w:spacing w:before="0" w:beforeAutospacing="0" w:after="300" w:afterAutospacing="0"/>
        <w:rPr>
          <w:szCs w:val="30"/>
        </w:rPr>
      </w:pPr>
      <w:r w:rsidRPr="009406DC">
        <w:rPr>
          <w:szCs w:val="30"/>
        </w:rPr>
        <w:t>To process an insurance claim after recording charges on a patient's account, health care providers use medical coding to turn a visit summary into an insurance and billing document. Medical coders interpret a patient's file by assigning codes to each type of procedure. These codes exist for insurers to process different types of health care treatment in their systems. Medical coding helps to reverify patient eligibility, prevent denials and generally speed up the process of an insurer reviewing a claim.</w:t>
      </w:r>
    </w:p>
    <w:p w14:paraId="6CBAF5E5" w14:textId="12E1D74C" w:rsidR="004029B8" w:rsidRPr="00277B6A" w:rsidRDefault="004029B8"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Submitting Claims </w:t>
      </w:r>
    </w:p>
    <w:p w14:paraId="25762425" w14:textId="62047496" w:rsidR="00A71BEF" w:rsidRDefault="002305CF" w:rsidP="00A71BEF">
      <w:pPr>
        <w:pStyle w:val="NormalWeb"/>
        <w:shd w:val="clear" w:color="auto" w:fill="FFFFFF"/>
        <w:spacing w:before="0" w:beforeAutospacing="0" w:after="300" w:afterAutospacing="0"/>
        <w:rPr>
          <w:color w:val="2D2D2D"/>
          <w:szCs w:val="30"/>
        </w:rPr>
      </w:pPr>
      <w:r w:rsidRPr="002305CF">
        <w:rPr>
          <w:color w:val="2D2D2D"/>
          <w:szCs w:val="30"/>
        </w:rPr>
        <w:lastRenderedPageBreak/>
        <w:t>Next, the health care provider or patient submits their coded information to an insurer, starting a new case file. This administrative process connects the health care provider's documentation with the insurer's information about a patient. Insurance claims must be properly formatted and meet the insurer's requirements to be approved, even if eligibility was pre-confirmed, making accuracy and organization vital. Providers and patients rely on revenue cycle management systems to provide them with updates about when they can expect approval or payment after opening a claim.</w:t>
      </w:r>
    </w:p>
    <w:p w14:paraId="2B3D8738" w14:textId="77777777" w:rsidR="009C02B9" w:rsidRPr="009C02B9" w:rsidRDefault="008567F2" w:rsidP="009C02B9">
      <w:pPr>
        <w:pStyle w:val="NormalWeb"/>
        <w:shd w:val="clear" w:color="auto" w:fill="FFFFFF"/>
        <w:spacing w:before="0" w:beforeAutospacing="0" w:after="300" w:afterAutospacing="0"/>
        <w:rPr>
          <w:b/>
          <w:color w:val="2D2D2D"/>
          <w:sz w:val="28"/>
          <w:szCs w:val="30"/>
        </w:rPr>
      </w:pPr>
      <w:r w:rsidRPr="009C02B9">
        <w:rPr>
          <w:b/>
          <w:color w:val="2D2D2D"/>
          <w:sz w:val="28"/>
          <w:szCs w:val="30"/>
        </w:rPr>
        <w:t>How claim department work in healthcare insurance companies?</w:t>
      </w:r>
    </w:p>
    <w:p w14:paraId="45A4AD62" w14:textId="193D18BA" w:rsidR="008567F2" w:rsidRDefault="008567F2" w:rsidP="009C02B9">
      <w:pPr>
        <w:pStyle w:val="NormalWeb"/>
        <w:shd w:val="clear" w:color="auto" w:fill="FFFFFF"/>
        <w:spacing w:before="0" w:beforeAutospacing="0" w:after="300" w:afterAutospacing="0"/>
        <w:rPr>
          <w:color w:val="2D2D2D"/>
          <w:szCs w:val="30"/>
        </w:rPr>
      </w:pPr>
      <w:r>
        <w:rPr>
          <w:color w:val="2D2D2D"/>
          <w:szCs w:val="30"/>
        </w:rPr>
        <w:t>The claim department in healthcare insurance company is responsible for processing and handling healthcare insurance claims made by policyholders. Here is the general overview of how the claims department works in healthcare.</w:t>
      </w:r>
    </w:p>
    <w:p w14:paraId="5298200D" w14:textId="6F0B3FA7"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Receiving the Claim:</w:t>
      </w:r>
      <w:r w:rsidRPr="008567F2">
        <w:rPr>
          <w:color w:val="2D2D2D"/>
          <w:szCs w:val="30"/>
        </w:rPr>
        <w:t xml:space="preserve"> The claims department receives the claim from the healthcare provider or the policyholder. This can be done through a variety of methods including online portals, fax, mail or electronic data interchange (EDI).</w:t>
      </w:r>
    </w:p>
    <w:p w14:paraId="1D95DC9C" w14:textId="77777777" w:rsidR="009C02B9" w:rsidRPr="009C02B9" w:rsidRDefault="009C02B9" w:rsidP="009C02B9">
      <w:pPr>
        <w:pStyle w:val="NormalWeb"/>
        <w:shd w:val="clear" w:color="auto" w:fill="FFFFFF"/>
        <w:spacing w:after="300"/>
        <w:rPr>
          <w:color w:val="2D2D2D"/>
          <w:szCs w:val="30"/>
        </w:rPr>
      </w:pPr>
    </w:p>
    <w:p w14:paraId="2B5B529B" w14:textId="4D3662EB"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Verification:</w:t>
      </w:r>
      <w:r w:rsidRPr="008567F2">
        <w:rPr>
          <w:color w:val="2D2D2D"/>
          <w:szCs w:val="30"/>
        </w:rPr>
        <w:t xml:space="preserve"> The claims department verifies the patient's eligibility, the policy's coverage, and the validity of the claim. This step may involve cross-checking the claim against the policyholder's health plan, verifying the patient's demographic and insurance information, and ensuring that the service or treatment provided is covered under the policy.</w:t>
      </w:r>
    </w:p>
    <w:p w14:paraId="3A7DB361" w14:textId="77777777" w:rsidR="009C02B9" w:rsidRPr="009C02B9" w:rsidRDefault="009C02B9" w:rsidP="009C02B9">
      <w:pPr>
        <w:pStyle w:val="NormalWeb"/>
        <w:shd w:val="clear" w:color="auto" w:fill="FFFFFF"/>
        <w:spacing w:after="300"/>
        <w:rPr>
          <w:color w:val="2D2D2D"/>
          <w:szCs w:val="30"/>
        </w:rPr>
      </w:pPr>
    </w:p>
    <w:p w14:paraId="35AD9ACD" w14:textId="1649D26D"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Adjudication:</w:t>
      </w:r>
      <w:r w:rsidRPr="008567F2">
        <w:rPr>
          <w:color w:val="2D2D2D"/>
          <w:szCs w:val="30"/>
        </w:rPr>
        <w:t xml:space="preserve"> The claims department reviews the claim to determine the amount payable based on the policy benefits and the contracted rates with the healthcare provider. This step may involve applying deductibles, coinsurance, and copayments, as well as adjusting the amount payable for services provided outside the network or out of plan.</w:t>
      </w:r>
    </w:p>
    <w:p w14:paraId="291A5FE3" w14:textId="77777777" w:rsidR="009C02B9" w:rsidRPr="009C02B9" w:rsidRDefault="009C02B9" w:rsidP="009C02B9">
      <w:pPr>
        <w:pStyle w:val="NormalWeb"/>
        <w:shd w:val="clear" w:color="auto" w:fill="FFFFFF"/>
        <w:spacing w:after="300"/>
        <w:rPr>
          <w:b/>
          <w:color w:val="2D2D2D"/>
          <w:szCs w:val="30"/>
        </w:rPr>
      </w:pPr>
    </w:p>
    <w:p w14:paraId="453A45A5" w14:textId="1C7AFF4C"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Payment:</w:t>
      </w:r>
      <w:r w:rsidRPr="008567F2">
        <w:rPr>
          <w:color w:val="2D2D2D"/>
          <w:szCs w:val="30"/>
        </w:rPr>
        <w:t xml:space="preserve"> Once the claim has been adjudicated, the claims department authorizes payment to the healthcare provider or directly to the policyholder if the policy allows. Payment can be made through electronic funds transfer (EFT), checks, or virtual credit card payments.</w:t>
      </w:r>
    </w:p>
    <w:p w14:paraId="35A0D0A4" w14:textId="77777777" w:rsidR="009C02B9" w:rsidRPr="009C02B9" w:rsidRDefault="009C02B9" w:rsidP="009C02B9">
      <w:pPr>
        <w:pStyle w:val="NormalWeb"/>
        <w:shd w:val="clear" w:color="auto" w:fill="FFFFFF"/>
        <w:spacing w:after="300"/>
        <w:rPr>
          <w:b/>
          <w:color w:val="2D2D2D"/>
          <w:szCs w:val="30"/>
        </w:rPr>
      </w:pPr>
    </w:p>
    <w:p w14:paraId="3C8E5B37" w14:textId="2DB9F2D4"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Appeals and Disputes:</w:t>
      </w:r>
      <w:r w:rsidRPr="008567F2">
        <w:rPr>
          <w:color w:val="2D2D2D"/>
          <w:szCs w:val="30"/>
        </w:rPr>
        <w:t xml:space="preserve"> If a claim is denied or partially paid, the policyholder or healthcare provider can dispute the decision. The claims department is responsible for managing the appeals process and addressing any disputes.</w:t>
      </w:r>
    </w:p>
    <w:p w14:paraId="51A57992" w14:textId="77777777" w:rsidR="009C02B9" w:rsidRPr="009C02B9" w:rsidRDefault="009C02B9" w:rsidP="009C02B9">
      <w:pPr>
        <w:pStyle w:val="NormalWeb"/>
        <w:shd w:val="clear" w:color="auto" w:fill="FFFFFF"/>
        <w:spacing w:after="300"/>
        <w:rPr>
          <w:color w:val="2D2D2D"/>
          <w:szCs w:val="30"/>
        </w:rPr>
      </w:pPr>
    </w:p>
    <w:p w14:paraId="36966E90" w14:textId="09CAB980" w:rsidR="008567F2" w:rsidRDefault="008567F2" w:rsidP="00AA0A64">
      <w:pPr>
        <w:pStyle w:val="NormalWeb"/>
        <w:numPr>
          <w:ilvl w:val="1"/>
          <w:numId w:val="16"/>
        </w:numPr>
        <w:shd w:val="clear" w:color="auto" w:fill="FFFFFF"/>
        <w:spacing w:before="0" w:beforeAutospacing="0" w:after="300" w:afterAutospacing="0"/>
        <w:rPr>
          <w:color w:val="2D2D2D"/>
          <w:szCs w:val="30"/>
        </w:rPr>
      </w:pPr>
      <w:r w:rsidRPr="009C02B9">
        <w:rPr>
          <w:b/>
          <w:color w:val="2D2D2D"/>
          <w:szCs w:val="30"/>
        </w:rPr>
        <w:lastRenderedPageBreak/>
        <w:t>Reporting and Analytics:</w:t>
      </w:r>
      <w:r w:rsidRPr="008567F2">
        <w:rPr>
          <w:color w:val="2D2D2D"/>
          <w:szCs w:val="30"/>
        </w:rPr>
        <w:t xml:space="preserve"> The claims department tracks and reports on claims data to identify trends and patterns that can help improve the claims process, detect fraud, and monitor the financial performance of the plan.</w:t>
      </w:r>
    </w:p>
    <w:p w14:paraId="1418390C" w14:textId="77777777" w:rsidR="00946C03" w:rsidRDefault="00946C03" w:rsidP="00946C03">
      <w:pPr>
        <w:pStyle w:val="ListParagraph"/>
        <w:rPr>
          <w:color w:val="2D2D2D"/>
          <w:szCs w:val="30"/>
        </w:rPr>
      </w:pPr>
    </w:p>
    <w:p w14:paraId="413B1EC5" w14:textId="5BD4CD51" w:rsidR="00946C03" w:rsidRPr="00A75C2A" w:rsidRDefault="00946C03" w:rsidP="00A75C2A">
      <w:pPr>
        <w:pStyle w:val="NormalWeb"/>
        <w:shd w:val="clear" w:color="auto" w:fill="FFFFFF"/>
        <w:spacing w:before="0" w:beforeAutospacing="0" w:after="300" w:afterAutospacing="0"/>
        <w:rPr>
          <w:b/>
          <w:color w:val="2D2D2D"/>
          <w:sz w:val="28"/>
          <w:szCs w:val="30"/>
        </w:rPr>
      </w:pPr>
      <w:r w:rsidRPr="00A75C2A">
        <w:rPr>
          <w:b/>
          <w:color w:val="2D2D2D"/>
          <w:sz w:val="28"/>
          <w:szCs w:val="30"/>
        </w:rPr>
        <w:t>What is Claim adjudication and how it works?</w:t>
      </w:r>
    </w:p>
    <w:p w14:paraId="0DD57E10" w14:textId="6DF8FCE1" w:rsidR="00946C03" w:rsidRDefault="00946C03" w:rsidP="00946C03">
      <w:pPr>
        <w:pStyle w:val="NormalWeb"/>
        <w:shd w:val="clear" w:color="auto" w:fill="FFFFFF"/>
        <w:spacing w:before="0" w:beforeAutospacing="0" w:after="300" w:afterAutospacing="0"/>
        <w:ind w:left="360"/>
        <w:rPr>
          <w:color w:val="2D2D2D"/>
          <w:szCs w:val="30"/>
        </w:rPr>
      </w:pPr>
      <w:r>
        <w:rPr>
          <w:color w:val="2D2D2D"/>
          <w:szCs w:val="30"/>
        </w:rPr>
        <w:t xml:space="preserve">The process that every insurance payer goes through </w:t>
      </w:r>
      <w:r w:rsidR="007C22BB">
        <w:rPr>
          <w:color w:val="2D2D2D"/>
          <w:szCs w:val="30"/>
        </w:rPr>
        <w:t>to determine how much they owe a provider based upon the claim that they received.</w:t>
      </w:r>
    </w:p>
    <w:p w14:paraId="7CE56D27" w14:textId="3E418E2F" w:rsidR="007C22BB" w:rsidRDefault="007C22BB" w:rsidP="00E9247E">
      <w:pPr>
        <w:pStyle w:val="NormalWeb"/>
        <w:shd w:val="clear" w:color="auto" w:fill="FFFFFF"/>
        <w:spacing w:after="300"/>
        <w:rPr>
          <w:b/>
          <w:color w:val="2D2D2D"/>
          <w:szCs w:val="30"/>
        </w:rPr>
      </w:pPr>
      <w:r w:rsidRPr="007C22BB">
        <w:rPr>
          <w:b/>
          <w:color w:val="2D2D2D"/>
          <w:szCs w:val="30"/>
        </w:rPr>
        <w:t>STEP1: INITIAL PROCESSING REVIEW</w:t>
      </w:r>
    </w:p>
    <w:p w14:paraId="26C3A71B"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initial processing review, claims are checked for simple claim errors or omissions.  Problems identified during the initial processing review include:</w:t>
      </w:r>
    </w:p>
    <w:p w14:paraId="3AEE6BEF"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wrong patient name or incorrect spelling</w:t>
      </w:r>
    </w:p>
    <w:p w14:paraId="67AF815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subscriber identification number or plan number is wrong</w:t>
      </w:r>
    </w:p>
    <w:p w14:paraId="5301FEC9"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place of service code is wrong</w:t>
      </w:r>
    </w:p>
    <w:p w14:paraId="0E983B7D"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date of service is wrong</w:t>
      </w:r>
    </w:p>
    <w:p w14:paraId="012EF56B"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code is missing or invalid</w:t>
      </w:r>
    </w:p>
    <w:p w14:paraId="0189B68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patient's gender does not match the type of service</w:t>
      </w:r>
    </w:p>
    <w:p w14:paraId="73F8688E" w14:textId="4BE87CBC" w:rsidR="007C22BB"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30"/>
        </w:rPr>
      </w:pPr>
      <w:r w:rsidRPr="00E9247E">
        <w:rPr>
          <w:rFonts w:ascii="Times New Roman" w:eastAsia="Times New Roman" w:hAnsi="Times New Roman" w:cs="Times New Roman"/>
          <w:sz w:val="24"/>
          <w:szCs w:val="30"/>
        </w:rPr>
        <w:t>When a claim is rejected for any of the above reasons, it can simply be corrected and resubmitted for payment.</w:t>
      </w:r>
    </w:p>
    <w:p w14:paraId="56151252" w14:textId="50C0B6C5" w:rsidR="007C22BB" w:rsidRDefault="007C22BB"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TEP2: AUTOMATED REVIEW </w:t>
      </w:r>
    </w:p>
    <w:p w14:paraId="45FA98B5"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 xml:space="preserve">In the automatic review, claims are checked for more detailed items that apply to the insurance </w:t>
      </w:r>
      <w:proofErr w:type="gramStart"/>
      <w:r w:rsidRPr="00E9247E">
        <w:rPr>
          <w:rFonts w:ascii="Times New Roman" w:eastAsia="Times New Roman" w:hAnsi="Times New Roman" w:cs="Times New Roman"/>
          <w:sz w:val="24"/>
          <w:szCs w:val="24"/>
        </w:rPr>
        <w:t>payers</w:t>
      </w:r>
      <w:proofErr w:type="gramEnd"/>
      <w:r w:rsidRPr="00E9247E">
        <w:rPr>
          <w:rFonts w:ascii="Times New Roman" w:eastAsia="Times New Roman" w:hAnsi="Times New Roman" w:cs="Times New Roman"/>
          <w:sz w:val="24"/>
          <w:szCs w:val="24"/>
        </w:rPr>
        <w:t xml:space="preserve"> payment policies.  Problems identified during the automatic review include:</w:t>
      </w:r>
    </w:p>
    <w:p w14:paraId="39C13591"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 is not eligible on the date of service. </w:t>
      </w:r>
      <w:r w:rsidRPr="00E9247E">
        <w:rPr>
          <w:rFonts w:ascii="Times New Roman" w:eastAsia="Times New Roman" w:hAnsi="Times New Roman" w:cs="Times New Roman"/>
          <w:iCs/>
          <w:sz w:val="24"/>
          <w:szCs w:val="24"/>
        </w:rPr>
        <w:t> This could mean the coverage has termed or is not active.</w:t>
      </w:r>
    </w:p>
    <w:p w14:paraId="4430BF09"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present.  </w:t>
      </w:r>
      <w:r w:rsidRPr="00E9247E">
        <w:rPr>
          <w:rFonts w:ascii="Times New Roman" w:eastAsia="Times New Roman" w:hAnsi="Times New Roman" w:cs="Times New Roman"/>
          <w:iCs/>
          <w:sz w:val="24"/>
          <w:szCs w:val="24"/>
        </w:rPr>
        <w:t>This could mean that the pre-certification or authorization was not obtained for the service or that the pre-certification or authorization number was not added to the claim prior to submission.  </w:t>
      </w:r>
    </w:p>
    <w:p w14:paraId="1D1DA16D"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valid. </w:t>
      </w:r>
      <w:r w:rsidRPr="00E9247E">
        <w:rPr>
          <w:rFonts w:ascii="Times New Roman" w:eastAsia="Times New Roman" w:hAnsi="Times New Roman" w:cs="Times New Roman"/>
          <w:iCs/>
          <w:sz w:val="24"/>
          <w:szCs w:val="24"/>
        </w:rPr>
        <w:t>This could mean that the diagnosis, procedure, or date of service does not match the information submitted for the pre-certification or authorization.</w:t>
      </w:r>
    </w:p>
    <w:p w14:paraId="14C68E52"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claim submitted is a duplicate claim: </w:t>
      </w:r>
      <w:r w:rsidRPr="00E9247E">
        <w:rPr>
          <w:rFonts w:ascii="Times New Roman" w:eastAsia="Times New Roman" w:hAnsi="Times New Roman" w:cs="Times New Roman"/>
          <w:iCs/>
          <w:sz w:val="24"/>
          <w:szCs w:val="24"/>
        </w:rPr>
        <w:t>This could mean that a claim has already been submitted for the same date or procedure.</w:t>
      </w:r>
    </w:p>
    <w:p w14:paraId="204E8A5A"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Timely filing deadline has passed. </w:t>
      </w:r>
      <w:r w:rsidRPr="00E9247E">
        <w:rPr>
          <w:rFonts w:ascii="Times New Roman" w:eastAsia="Times New Roman" w:hAnsi="Times New Roman" w:cs="Times New Roman"/>
          <w:iCs/>
          <w:sz w:val="24"/>
          <w:szCs w:val="24"/>
        </w:rPr>
        <w:t xml:space="preserve">Insurance payers typically have a </w:t>
      </w:r>
      <w:proofErr w:type="gramStart"/>
      <w:r w:rsidRPr="00E9247E">
        <w:rPr>
          <w:rFonts w:ascii="Times New Roman" w:eastAsia="Times New Roman" w:hAnsi="Times New Roman" w:cs="Times New Roman"/>
          <w:iCs/>
          <w:sz w:val="24"/>
          <w:szCs w:val="24"/>
        </w:rPr>
        <w:t>90 to 120 day</w:t>
      </w:r>
      <w:proofErr w:type="gramEnd"/>
      <w:r w:rsidRPr="00E9247E">
        <w:rPr>
          <w:rFonts w:ascii="Times New Roman" w:eastAsia="Times New Roman" w:hAnsi="Times New Roman" w:cs="Times New Roman"/>
          <w:iCs/>
          <w:sz w:val="24"/>
          <w:szCs w:val="24"/>
        </w:rPr>
        <w:t xml:space="preserve"> time limit for initial claims to be submitted.  If your original claim has not been submitted by the filing deadline, then the claim cannot be processed for payment.</w:t>
      </w:r>
    </w:p>
    <w:p w14:paraId="001E58C5"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or procedure code is invalid.  </w:t>
      </w:r>
      <w:r w:rsidRPr="00E9247E">
        <w:rPr>
          <w:rFonts w:ascii="Times New Roman" w:eastAsia="Times New Roman" w:hAnsi="Times New Roman" w:cs="Times New Roman"/>
          <w:iCs/>
          <w:sz w:val="24"/>
          <w:szCs w:val="24"/>
        </w:rPr>
        <w:t>The payer will cross check the diagnosis codes and procedure codes listed on the claim to determine whether the codes match.  </w:t>
      </w:r>
    </w:p>
    <w:p w14:paraId="27402847"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lastRenderedPageBreak/>
        <w:t>The services performed are not medically necessary.  </w:t>
      </w:r>
      <w:r w:rsidRPr="00E9247E">
        <w:rPr>
          <w:rFonts w:ascii="Times New Roman" w:eastAsia="Times New Roman" w:hAnsi="Times New Roman" w:cs="Times New Roman"/>
          <w:iCs/>
          <w:sz w:val="24"/>
          <w:szCs w:val="24"/>
        </w:rPr>
        <w:t>This means that the claim does not indicate the patient care was provided at the most appropriate levels and in the most cost effective manner</w:t>
      </w:r>
    </w:p>
    <w:p w14:paraId="0E13E0FD" w14:textId="735583E6" w:rsidR="00E9247E" w:rsidRDefault="00E9247E"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TEP3: MANUAL REVIEW </w:t>
      </w:r>
    </w:p>
    <w:p w14:paraId="431A236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manual review, claims are checked by medical claim examiners.  It is not uncommon for nurses or physicians to also manually review these claims during this process.  Medical records may be requested to compare the claim with the medical documentation.  This can be conducted for any type of procedure but most commonly with an unlisted procedure to determine medical necessity.</w:t>
      </w:r>
    </w:p>
    <w:p w14:paraId="05A01A58" w14:textId="29F04F8E" w:rsid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STEP4: THE PAYMENT DETERMINATION</w:t>
      </w:r>
    </w:p>
    <w:p w14:paraId="172F06B5" w14:textId="4897E103"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There are three types of payment determinations:</w:t>
      </w:r>
    </w:p>
    <w:p w14:paraId="02210BE0"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Paid:</w:t>
      </w:r>
      <w:r w:rsidRPr="00E9247E">
        <w:rPr>
          <w:rFonts w:ascii="Times New Roman" w:eastAsia="Times New Roman" w:hAnsi="Times New Roman" w:cs="Times New Roman"/>
          <w:sz w:val="24"/>
          <w:szCs w:val="24"/>
        </w:rPr>
        <w:t xml:space="preserve"> When the claim is considered paid, the payer determines that the claim is reimbursable</w:t>
      </w:r>
    </w:p>
    <w:p w14:paraId="48D133BE"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Denied:</w:t>
      </w:r>
      <w:r w:rsidRPr="00E9247E">
        <w:rPr>
          <w:rFonts w:ascii="Times New Roman" w:eastAsia="Times New Roman" w:hAnsi="Times New Roman" w:cs="Times New Roman"/>
          <w:sz w:val="24"/>
          <w:szCs w:val="24"/>
        </w:rPr>
        <w:t xml:space="preserve"> When the claim is considered denied, the payer determines that the claim is not reimbursable</w:t>
      </w:r>
    </w:p>
    <w:p w14:paraId="1CBACFAD" w14:textId="3AA78B4D"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Reduced:</w:t>
      </w:r>
      <w:r w:rsidRPr="00E9247E">
        <w:rPr>
          <w:rFonts w:ascii="Times New Roman" w:eastAsia="Times New Roman" w:hAnsi="Times New Roman" w:cs="Times New Roman"/>
          <w:sz w:val="24"/>
          <w:szCs w:val="24"/>
        </w:rPr>
        <w:t xml:space="preserve"> When it is determined that the service level billed is too high based on the diagnosis, the procedure code can be down coded to a lower level deemed appropriate by the claim’s examiner</w:t>
      </w:r>
    </w:p>
    <w:p w14:paraId="0C309144" w14:textId="5BF91E8B" w:rsidR="007C22BB" w:rsidRPr="007C22BB" w:rsidRDefault="00E9247E" w:rsidP="00E9247E">
      <w:pPr>
        <w:pStyle w:val="NormalWeb"/>
        <w:shd w:val="clear" w:color="auto" w:fill="FFFFFF"/>
        <w:spacing w:before="0" w:beforeAutospacing="0" w:after="300" w:afterAutospacing="0"/>
        <w:rPr>
          <w:b/>
          <w:color w:val="2D2D2D"/>
          <w:szCs w:val="30"/>
        </w:rPr>
      </w:pPr>
      <w:r>
        <w:rPr>
          <w:b/>
          <w:color w:val="2D2D2D"/>
          <w:szCs w:val="30"/>
        </w:rPr>
        <w:t xml:space="preserve">STEP5: PAYMENTS </w:t>
      </w:r>
    </w:p>
    <w:p w14:paraId="6ED163EE"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payment submitted to the medical office supplied by the insurance payer is called a remittance advice or explanation of payment.  It details the notice of and explanation reasons for payment, reduction of payment, adjustment, denial and/or uncovered charges of a medical claim.</w:t>
      </w:r>
    </w:p>
    <w:p w14:paraId="71F3A11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remittance advice typically includes the following information:</w:t>
      </w:r>
    </w:p>
    <w:p w14:paraId="2A76C98A"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Payer Paid Amount</w:t>
      </w:r>
    </w:p>
    <w:p w14:paraId="2A1E8E2C"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Approved Amount</w:t>
      </w:r>
    </w:p>
    <w:p w14:paraId="7140FC0F"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Allowed Amount</w:t>
      </w:r>
    </w:p>
    <w:p w14:paraId="6512AFA0"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Patient Responsibility Amount</w:t>
      </w:r>
    </w:p>
    <w:p w14:paraId="18E887C9"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Covered Amount</w:t>
      </w:r>
    </w:p>
    <w:p w14:paraId="2BADEAC2"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Discount Amount</w:t>
      </w:r>
    </w:p>
    <w:p w14:paraId="4A13EBEB"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Adjudication Date</w:t>
      </w:r>
    </w:p>
    <w:p w14:paraId="0C8B79C6" w14:textId="77777777" w:rsidR="007C22BB" w:rsidRDefault="007C22BB" w:rsidP="00E9247E">
      <w:pPr>
        <w:pStyle w:val="NormalWeb"/>
        <w:shd w:val="clear" w:color="auto" w:fill="FFFFFF"/>
        <w:spacing w:before="0" w:beforeAutospacing="0" w:after="300" w:afterAutospacing="0"/>
        <w:rPr>
          <w:color w:val="2D2D2D"/>
          <w:szCs w:val="30"/>
        </w:rPr>
      </w:pPr>
    </w:p>
    <w:p w14:paraId="39D44DC8" w14:textId="77777777" w:rsidR="00946C03" w:rsidRDefault="00946C03" w:rsidP="00946C03">
      <w:pPr>
        <w:pStyle w:val="NormalWeb"/>
        <w:shd w:val="clear" w:color="auto" w:fill="FFFFFF"/>
        <w:spacing w:before="0" w:beforeAutospacing="0" w:after="300" w:afterAutospacing="0"/>
        <w:ind w:left="360"/>
        <w:rPr>
          <w:color w:val="2D2D2D"/>
          <w:szCs w:val="30"/>
        </w:rPr>
      </w:pPr>
    </w:p>
    <w:p w14:paraId="3642D5BB" w14:textId="2C7B50DB" w:rsidR="002305CF"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Remittance Processing</w:t>
      </w:r>
    </w:p>
    <w:p w14:paraId="17B4D62F" w14:textId="7461BBC5" w:rsidR="002305CF" w:rsidRDefault="002305CF" w:rsidP="002305CF">
      <w:pPr>
        <w:pStyle w:val="NormalWeb"/>
        <w:shd w:val="clear" w:color="auto" w:fill="FFFFFF"/>
        <w:spacing w:before="0" w:beforeAutospacing="0" w:after="300" w:afterAutospacing="0"/>
        <w:rPr>
          <w:color w:val="2D2D2D"/>
          <w:szCs w:val="30"/>
        </w:rPr>
      </w:pPr>
      <w:r w:rsidRPr="002305CF">
        <w:rPr>
          <w:color w:val="2D2D2D"/>
          <w:szCs w:val="30"/>
        </w:rPr>
        <w:t xml:space="preserve">Remittance is the actual money that an insurer sends to a health care provider once they approve their claim. The insurer sends a remittance statement to the provider explaining how much of a charge they covered and why they covered it. Health care providers save remittance processing information in their </w:t>
      </w:r>
      <w:r w:rsidRPr="002305CF">
        <w:rPr>
          <w:color w:val="2D2D2D"/>
          <w:szCs w:val="30"/>
        </w:rPr>
        <w:lastRenderedPageBreak/>
        <w:t>systems as a way to reconcile patient accounts and calculate the remainder of their account balance before sending a final invoice.</w:t>
      </w:r>
    </w:p>
    <w:p w14:paraId="646D7897" w14:textId="68429008" w:rsidR="00A71BEF" w:rsidRPr="00A71BEF" w:rsidRDefault="00A71BEF" w:rsidP="00AA0A64">
      <w:pPr>
        <w:pStyle w:val="NormalWeb"/>
        <w:numPr>
          <w:ilvl w:val="1"/>
          <w:numId w:val="9"/>
        </w:numPr>
        <w:shd w:val="clear" w:color="auto" w:fill="FFFFFF"/>
        <w:spacing w:before="0" w:beforeAutospacing="0" w:after="300" w:afterAutospacing="0"/>
        <w:rPr>
          <w:b/>
          <w:color w:val="2D2D2D"/>
          <w:szCs w:val="30"/>
        </w:rPr>
      </w:pPr>
      <w:r w:rsidRPr="00A71BEF">
        <w:rPr>
          <w:b/>
          <w:color w:val="2D2D2D"/>
          <w:szCs w:val="30"/>
        </w:rPr>
        <w:t>Denial Management</w:t>
      </w:r>
    </w:p>
    <w:p w14:paraId="36246ED4" w14:textId="14DDD944" w:rsidR="00A71BEF" w:rsidRPr="00A71BEF" w:rsidRDefault="00A71BEF" w:rsidP="00A71BEF">
      <w:pPr>
        <w:pStyle w:val="NormalWeb"/>
        <w:shd w:val="clear" w:color="auto" w:fill="FFFFFF"/>
        <w:spacing w:after="300"/>
        <w:rPr>
          <w:color w:val="2D2D2D"/>
          <w:szCs w:val="30"/>
        </w:rPr>
      </w:pPr>
      <w:r w:rsidRPr="00A71BEF">
        <w:rPr>
          <w:color w:val="2D2D2D"/>
          <w:szCs w:val="30"/>
        </w:rPr>
        <w:t>In revenue cycle management, denial management refers to the process of identifying and resolving issues related to denied or rejected insurance claims. Insurance claim denials occur when an insurer determines that a claim is not payable based on factors such as incorrect patient information, inaccurate billing codes, or other errors or omissions.</w:t>
      </w:r>
    </w:p>
    <w:p w14:paraId="5C9C7A57" w14:textId="2EBC9CF3" w:rsidR="00A71BEF" w:rsidRPr="00A71BEF" w:rsidRDefault="00A71BEF" w:rsidP="00A71BEF">
      <w:pPr>
        <w:pStyle w:val="NormalWeb"/>
        <w:shd w:val="clear" w:color="auto" w:fill="FFFFFF"/>
        <w:spacing w:before="0" w:beforeAutospacing="0" w:after="300" w:afterAutospacing="0"/>
        <w:rPr>
          <w:color w:val="2D2D2D"/>
          <w:szCs w:val="30"/>
        </w:rPr>
      </w:pPr>
      <w:r w:rsidRPr="00A71BEF">
        <w:rPr>
          <w:color w:val="2D2D2D"/>
          <w:szCs w:val="30"/>
        </w:rPr>
        <w:t>Denial management is a critical aspect of revenue cycle management, as it helps to ensure that healthcare providers receive payment for the services they provide and that patient accounts are properly managed. Denial management typically involves reviewing denied claims, identifying the reasons for the denial, and taking appropriate action to address the issues that led to the denial.</w:t>
      </w:r>
    </w:p>
    <w:p w14:paraId="3F2F01B1" w14:textId="1609736B" w:rsidR="004029B8"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Third-Party Follow-Up</w:t>
      </w:r>
    </w:p>
    <w:p w14:paraId="039D8A2B" w14:textId="093F894D" w:rsidR="002305CF" w:rsidRDefault="00593E91" w:rsidP="002305CF">
      <w:pPr>
        <w:pStyle w:val="NormalWeb"/>
        <w:shd w:val="clear" w:color="auto" w:fill="FFFFFF"/>
        <w:spacing w:before="0" w:beforeAutospacing="0" w:after="300" w:afterAutospacing="0"/>
        <w:rPr>
          <w:color w:val="2D2D2D"/>
          <w:szCs w:val="30"/>
        </w:rPr>
      </w:pPr>
      <w:r w:rsidRPr="00593E91">
        <w:rPr>
          <w:color w:val="2D2D2D"/>
          <w:szCs w:val="30"/>
        </w:rPr>
        <w:t>If an insurer doesn't respond to a claim or delays payment, the healthcare provider must follow up with them to collect their payment. When claims are approved but a third-party payer hasn't sent payments, the provider must be able to identify this discrepancy and enforce collections. Third-party follow-up can also involve inquiring about why a claim was denied if a patient was eligible for coverage, fighting the denial and seeking payment.</w:t>
      </w:r>
    </w:p>
    <w:p w14:paraId="6582F901" w14:textId="459C491B" w:rsidR="00593E91" w:rsidRPr="00277B6A" w:rsidRDefault="00593E91"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Patient Collections </w:t>
      </w:r>
    </w:p>
    <w:p w14:paraId="17AD7C7C" w14:textId="03663650" w:rsidR="00593E91" w:rsidRDefault="00593E91" w:rsidP="00593E91">
      <w:pPr>
        <w:pStyle w:val="NormalWeb"/>
        <w:shd w:val="clear" w:color="auto" w:fill="FFFFFF"/>
        <w:spacing w:before="0" w:beforeAutospacing="0" w:after="300" w:afterAutospacing="0"/>
        <w:rPr>
          <w:szCs w:val="30"/>
        </w:rPr>
      </w:pPr>
      <w:r w:rsidRPr="00593E91">
        <w:rPr>
          <w:szCs w:val="30"/>
        </w:rPr>
        <w:t>In revenue cycle management, patient collections refer to the process of collecting payment for healthcare services directly from patients. Patient collections may involve collecting payment at the time of service, or it may involve following up with patients after services have been provided to request payment.</w:t>
      </w:r>
    </w:p>
    <w:p w14:paraId="033E476D" w14:textId="5C3D751D" w:rsidR="00593E91" w:rsidRPr="00277B6A" w:rsidRDefault="00593E91" w:rsidP="00593E91">
      <w:pPr>
        <w:pStyle w:val="NormalWeb"/>
        <w:shd w:val="clear" w:color="auto" w:fill="FFFFFF"/>
        <w:spacing w:before="0" w:beforeAutospacing="0" w:after="300" w:afterAutospacing="0"/>
        <w:rPr>
          <w:sz w:val="18"/>
          <w:szCs w:val="30"/>
        </w:rPr>
      </w:pPr>
      <w:r w:rsidRPr="00277B6A">
        <w:rPr>
          <w:color w:val="2D2D2D"/>
          <w:szCs w:val="30"/>
        </w:rPr>
        <w:t>Finally, health care providers charge patient accounts and attempt to collect payment through online portals, mail or phone transactions.</w:t>
      </w:r>
      <w:r w:rsidR="00277B6A">
        <w:rPr>
          <w:color w:val="2D2D2D"/>
          <w:szCs w:val="30"/>
        </w:rPr>
        <w:t xml:space="preserve"> </w:t>
      </w:r>
      <w:r w:rsidRPr="00277B6A">
        <w:rPr>
          <w:color w:val="2D2D2D"/>
          <w:szCs w:val="30"/>
        </w:rPr>
        <w:t>This step can involve developing payment plans, seeking out discounts to make payments manageable or charging credit to patients’ accounts while they continue to receive care. Each health care provider has its own policies for collecting payments from patients, updating their accounts to remove charges and sending out payment receipts.</w:t>
      </w:r>
    </w:p>
    <w:p w14:paraId="04A1D642" w14:textId="77777777" w:rsidR="00277B6A" w:rsidRDefault="00277B6A" w:rsidP="002B09EB">
      <w:pPr>
        <w:pStyle w:val="NormalWeb"/>
        <w:shd w:val="clear" w:color="auto" w:fill="FFFFFF"/>
        <w:spacing w:before="0" w:beforeAutospacing="0" w:after="300" w:afterAutospacing="0"/>
        <w:jc w:val="center"/>
        <w:rPr>
          <w:b/>
          <w:sz w:val="32"/>
        </w:rPr>
      </w:pPr>
    </w:p>
    <w:p w14:paraId="5EB71289" w14:textId="13E3BA2E" w:rsidR="0037058F" w:rsidRDefault="0037058F" w:rsidP="002B09EB">
      <w:pPr>
        <w:pStyle w:val="NormalWeb"/>
        <w:shd w:val="clear" w:color="auto" w:fill="FFFFFF"/>
        <w:spacing w:before="0" w:beforeAutospacing="0" w:after="300" w:afterAutospacing="0"/>
        <w:jc w:val="center"/>
        <w:rPr>
          <w:b/>
          <w:sz w:val="32"/>
        </w:rPr>
      </w:pPr>
      <w:r>
        <w:rPr>
          <w:b/>
          <w:sz w:val="32"/>
        </w:rPr>
        <w:t xml:space="preserve">Difference Between </w:t>
      </w:r>
      <w:r w:rsidR="00C416A7">
        <w:rPr>
          <w:b/>
          <w:sz w:val="32"/>
        </w:rPr>
        <w:t>Rejected and Denial Claim</w:t>
      </w:r>
    </w:p>
    <w:p w14:paraId="7B9B6E29" w14:textId="269D2D06" w:rsidR="00C416A7" w:rsidRPr="00C416A7" w:rsidRDefault="00C416A7" w:rsidP="00C416A7">
      <w:pPr>
        <w:pStyle w:val="NormalWeb"/>
        <w:shd w:val="clear" w:color="auto" w:fill="FFFFFF"/>
        <w:spacing w:after="300"/>
      </w:pPr>
      <w:r w:rsidRPr="00C416A7">
        <w:t>A</w:t>
      </w:r>
      <w:r w:rsidRPr="00C416A7">
        <w:rPr>
          <w:b/>
        </w:rPr>
        <w:t xml:space="preserve"> rejected claim</w:t>
      </w:r>
      <w:r w:rsidRPr="00C416A7">
        <w:t xml:space="preserve"> is one that has not been processed by the insurer because it contains errors or omissions that prevent the claim from being processed. For example, if a claim is missing required information or contains invalid codes, it may be rejected by the insurer. A rejected claim can be corrected and resubmitted to the insurer for processing.</w:t>
      </w:r>
    </w:p>
    <w:p w14:paraId="6328C04C" w14:textId="4BD8BF2F" w:rsidR="00C416A7" w:rsidRDefault="00C416A7" w:rsidP="00C416A7">
      <w:pPr>
        <w:pStyle w:val="NormalWeb"/>
        <w:shd w:val="clear" w:color="auto" w:fill="FFFFFF"/>
        <w:spacing w:before="0" w:beforeAutospacing="0" w:after="300" w:afterAutospacing="0"/>
      </w:pPr>
      <w:r w:rsidRPr="00C416A7">
        <w:lastRenderedPageBreak/>
        <w:t xml:space="preserve">On the other hand, a </w:t>
      </w:r>
      <w:r w:rsidRPr="00C416A7">
        <w:rPr>
          <w:b/>
        </w:rPr>
        <w:t>denied claim</w:t>
      </w:r>
      <w:r w:rsidRPr="00C416A7">
        <w:t xml:space="preserve"> is a claim that has been processed by the insurer but has been determined to be not payable based on specific factors, such as medical necessity, pre-authorization requirements, or coverage limitations. A denied claim cannot be corrected and resubmitted; instead, it must be appealed and reviewed by the insurer to determine if payment can be made.</w:t>
      </w:r>
    </w:p>
    <w:p w14:paraId="552B40F2" w14:textId="4241A1FA" w:rsidR="00C416A7" w:rsidRPr="006152AB" w:rsidRDefault="003424A6" w:rsidP="00C416A7">
      <w:pPr>
        <w:pStyle w:val="NormalWeb"/>
        <w:shd w:val="clear" w:color="auto" w:fill="FFFFFF"/>
        <w:spacing w:before="0" w:beforeAutospacing="0" w:after="300" w:afterAutospacing="0"/>
        <w:rPr>
          <w:b/>
        </w:rPr>
      </w:pPr>
      <w:r w:rsidRPr="006152AB">
        <w:rPr>
          <w:b/>
        </w:rPr>
        <w:t xml:space="preserve">What is Appeal </w:t>
      </w:r>
      <w:r w:rsidR="006152AB" w:rsidRPr="006152AB">
        <w:rPr>
          <w:b/>
        </w:rPr>
        <w:t>in medical billing?</w:t>
      </w:r>
    </w:p>
    <w:p w14:paraId="6AEFC351" w14:textId="2EA429D9" w:rsidR="006152AB" w:rsidRDefault="006152AB" w:rsidP="00C416A7">
      <w:pPr>
        <w:pStyle w:val="NormalWeb"/>
        <w:shd w:val="clear" w:color="auto" w:fill="FFFFFF"/>
        <w:spacing w:before="0" w:beforeAutospacing="0" w:after="300" w:afterAutospacing="0"/>
        <w:rPr>
          <w:bCs/>
          <w:color w:val="202124"/>
          <w:shd w:val="clear" w:color="auto" w:fill="FFFFFF"/>
        </w:rPr>
      </w:pPr>
      <w:r w:rsidRPr="006152AB">
        <w:rPr>
          <w:bCs/>
          <w:color w:val="202124"/>
          <w:shd w:val="clear" w:color="auto" w:fill="FFFFFF"/>
        </w:rPr>
        <w:t>A request for your health insurance company to review a decision that denies a benefit or payment</w:t>
      </w:r>
    </w:p>
    <w:p w14:paraId="0802C2E8" w14:textId="1745D5DA" w:rsidR="00C43C0A" w:rsidRDefault="00C43C0A" w:rsidP="00C43C0A">
      <w:pPr>
        <w:pStyle w:val="NormalWeb"/>
        <w:shd w:val="clear" w:color="auto" w:fill="FFFFFF"/>
        <w:spacing w:before="0" w:beforeAutospacing="0" w:after="300" w:afterAutospacing="0"/>
        <w:jc w:val="center"/>
        <w:rPr>
          <w:b/>
          <w:sz w:val="32"/>
        </w:rPr>
      </w:pPr>
      <w:r w:rsidRPr="00C43C0A">
        <w:rPr>
          <w:b/>
          <w:sz w:val="32"/>
        </w:rPr>
        <w:t>What is Accounts Receivable Aging report?</w:t>
      </w:r>
    </w:p>
    <w:p w14:paraId="4C73801F"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In medical billing, the term A/R aging report refers to the report showing outstanding insurance claims and patient balances. The report not only shows the unpaid invoice but also shows the number of days they were paid in. If the accounts are being received at a slow rate, i.e. over 50+ plus days, then the medical institution must take it as a warning sign. However, if your aging report shows fewer days of unpaid accounts then your revenue managing strategy is working great.</w:t>
      </w:r>
    </w:p>
    <w:p w14:paraId="06070553"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The results of the A/R aging report are measured using certain benchmarks to identify the medical institution’s financial health. The benchmarks are as follows:</w:t>
      </w:r>
    </w:p>
    <w:p w14:paraId="5663EF62"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 or fewer days</w:t>
      </w:r>
      <w:r w:rsidRPr="00486F3B">
        <w:rPr>
          <w:rFonts w:ascii="Times New Roman" w:eastAsia="Times New Roman" w:hAnsi="Times New Roman" w:cs="Times New Roman"/>
          <w:sz w:val="24"/>
          <w:szCs w:val="24"/>
        </w:rPr>
        <w:t> represents good financial health</w:t>
      </w:r>
    </w:p>
    <w:p w14:paraId="52E35F36"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35-50 days</w:t>
      </w:r>
      <w:r w:rsidRPr="00486F3B">
        <w:rPr>
          <w:rFonts w:ascii="Times New Roman" w:eastAsia="Times New Roman" w:hAnsi="Times New Roman" w:cs="Times New Roman"/>
          <w:sz w:val="24"/>
          <w:szCs w:val="24"/>
        </w:rPr>
        <w:t> represents average financial health</w:t>
      </w:r>
    </w:p>
    <w:p w14:paraId="77C887EF" w14:textId="2FB98688" w:rsidR="00C43C0A"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50 or more days</w:t>
      </w:r>
      <w:r w:rsidRPr="00486F3B">
        <w:rPr>
          <w:rFonts w:ascii="Times New Roman" w:eastAsia="Times New Roman" w:hAnsi="Times New Roman" w:cs="Times New Roman"/>
          <w:sz w:val="24"/>
          <w:szCs w:val="24"/>
        </w:rPr>
        <w:t> represents poor financial health</w:t>
      </w:r>
    </w:p>
    <w:p w14:paraId="7B6AC99F" w14:textId="77777777" w:rsidR="00486F3B" w:rsidRPr="00486F3B" w:rsidRDefault="00486F3B" w:rsidP="00486F3B">
      <w:pPr>
        <w:shd w:val="clear" w:color="auto" w:fill="FFFFFF"/>
        <w:spacing w:after="0" w:line="240" w:lineRule="auto"/>
        <w:rPr>
          <w:rFonts w:ascii="Times New Roman" w:eastAsia="Times New Roman" w:hAnsi="Times New Roman" w:cs="Times New Roman"/>
          <w:sz w:val="24"/>
          <w:szCs w:val="24"/>
        </w:rPr>
      </w:pPr>
    </w:p>
    <w:p w14:paraId="617F11BF" w14:textId="62D8B40C" w:rsidR="00486F3B"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To achieve good financial health, the hospital must perform A/R follow-up without any interruption or delay. Following on the pending accounts and reviewing the denied claims is the only way to generate high revenue while ensuring a better aging report.</w:t>
      </w:r>
    </w:p>
    <w:p w14:paraId="04924ADD" w14:textId="48844B93" w:rsidR="00C43C0A" w:rsidRPr="00486F3B" w:rsidRDefault="00486F3B" w:rsidP="00C43C0A">
      <w:pPr>
        <w:pStyle w:val="NormalWeb"/>
        <w:shd w:val="clear" w:color="auto" w:fill="FFFFFF"/>
        <w:spacing w:before="0" w:beforeAutospacing="0" w:after="300" w:afterAutospacing="0"/>
        <w:rPr>
          <w:b/>
          <w:sz w:val="28"/>
        </w:rPr>
      </w:pPr>
      <w:r w:rsidRPr="00486F3B">
        <w:rPr>
          <w:b/>
          <w:sz w:val="28"/>
        </w:rPr>
        <w:t xml:space="preserve">Aging Report format/Structure </w:t>
      </w:r>
    </w:p>
    <w:p w14:paraId="165433F3" w14:textId="419C442F" w:rsidR="00486F3B" w:rsidRDefault="00486F3B" w:rsidP="00486F3B">
      <w:pPr>
        <w:pStyle w:val="NormalWeb"/>
        <w:shd w:val="clear" w:color="auto" w:fill="FFFFFF"/>
        <w:spacing w:before="0" w:beforeAutospacing="0" w:after="300" w:afterAutospacing="0"/>
        <w:jc w:val="both"/>
        <w:rPr>
          <w:shd w:val="clear" w:color="auto" w:fill="FFFFFF"/>
        </w:rPr>
      </w:pPr>
      <w:r w:rsidRPr="00486F3B">
        <w:rPr>
          <w:shd w:val="clear" w:color="auto" w:fill="FFFFFF"/>
        </w:rPr>
        <w:t>There is no specific format or structure of an aging report. However, what’s similar in every aging report is the listing of clients, current A/R, total A/R and division of A/R days. The division of A/R days tends to vary across hospitals. One hospital may show A/R days up to 90 days whereas other hospitals may show A/R days up to 150 days. The division of A/R days reflected in the aging report depends on the length of pending accounts in a particular hospital. If a hospital only has pending accounts with the length of 50 days then the report may not show A/R days above it. But if a hospital has pending accounts for 150 days then the aging report will have a column for 150 days. However, almost every institution tries to maintain a low percentage of A/R days for a better revenue cycle.</w:t>
      </w:r>
    </w:p>
    <w:p w14:paraId="22F0A641" w14:textId="215D0E7F" w:rsidR="00486F3B" w:rsidRDefault="00486F3B" w:rsidP="00486F3B">
      <w:pPr>
        <w:pStyle w:val="NormalWeb"/>
        <w:shd w:val="clear" w:color="auto" w:fill="FFFFFF"/>
        <w:spacing w:before="0" w:beforeAutospacing="0" w:after="300" w:afterAutospacing="0"/>
        <w:jc w:val="both"/>
        <w:rPr>
          <w:b/>
        </w:rPr>
      </w:pPr>
      <w:r>
        <w:rPr>
          <w:b/>
          <w:noProof/>
        </w:rPr>
        <w:lastRenderedPageBreak/>
        <w:drawing>
          <wp:inline distT="0" distB="0" distL="0" distR="0" wp14:anchorId="4844CC43" wp14:editId="0F8FB298">
            <wp:extent cx="6400800" cy="391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aging.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3911600"/>
                    </a:xfrm>
                    <a:prstGeom prst="rect">
                      <a:avLst/>
                    </a:prstGeom>
                  </pic:spPr>
                </pic:pic>
              </a:graphicData>
            </a:graphic>
          </wp:inline>
        </w:drawing>
      </w:r>
    </w:p>
    <w:p w14:paraId="0A01F37C" w14:textId="61F5DB5E" w:rsidR="00486F3B" w:rsidRPr="00307157" w:rsidRDefault="00486F3B" w:rsidP="00486F3B">
      <w:pPr>
        <w:pStyle w:val="NormalWeb"/>
        <w:shd w:val="clear" w:color="auto" w:fill="FFFFFF"/>
        <w:spacing w:before="0" w:beforeAutospacing="0" w:after="300" w:afterAutospacing="0"/>
        <w:jc w:val="both"/>
        <w:rPr>
          <w:b/>
          <w:sz w:val="28"/>
        </w:rPr>
      </w:pPr>
      <w:r w:rsidRPr="00307157">
        <w:rPr>
          <w:b/>
          <w:sz w:val="28"/>
        </w:rPr>
        <w:t>What is the duration of aging report in case of private and medical?</w:t>
      </w:r>
    </w:p>
    <w:p w14:paraId="61EA85DC" w14:textId="795EB3A1" w:rsidR="00307157" w:rsidRPr="00307157" w:rsidRDefault="00307157" w:rsidP="00307157">
      <w:pPr>
        <w:pStyle w:val="NormalWeb"/>
        <w:shd w:val="clear" w:color="auto" w:fill="FFFFFF"/>
        <w:spacing w:after="300"/>
        <w:jc w:val="both"/>
      </w:pPr>
      <w:r w:rsidRPr="00307157">
        <w:t>The duration of an Accounts Receivable Aging report in the case of private and medical accounts receivable may vary depending on the billing and payment policies of the healthcare provider or facility.</w:t>
      </w:r>
    </w:p>
    <w:p w14:paraId="02D81E42" w14:textId="411E2631" w:rsidR="00307157" w:rsidRPr="00307157" w:rsidRDefault="00307157" w:rsidP="00307157">
      <w:pPr>
        <w:pStyle w:val="NormalWeb"/>
        <w:shd w:val="clear" w:color="auto" w:fill="FFFFFF"/>
        <w:spacing w:after="300"/>
        <w:jc w:val="both"/>
      </w:pPr>
      <w:r w:rsidRPr="00307157">
        <w:t xml:space="preserve">For </w:t>
      </w:r>
      <w:r w:rsidRPr="00307157">
        <w:rPr>
          <w:b/>
        </w:rPr>
        <w:t>private accounts receivable</w:t>
      </w:r>
      <w:r w:rsidRPr="00307157">
        <w:t>, the report may cover a period of 30, 60, 90 or more days past due, depending on the provider's policies for following up on overdue balances. Some providers may choose to prioritize the collection efforts for balances that are 90 days or more past due, while others may start following up on overdue balances after 30 or 60 days.</w:t>
      </w:r>
    </w:p>
    <w:p w14:paraId="2FED9F48" w14:textId="3CAC05A2" w:rsidR="00486F3B" w:rsidRDefault="00307157" w:rsidP="00307157">
      <w:pPr>
        <w:pStyle w:val="NormalWeb"/>
        <w:shd w:val="clear" w:color="auto" w:fill="FFFFFF"/>
        <w:spacing w:before="0" w:beforeAutospacing="0" w:after="300" w:afterAutospacing="0"/>
        <w:jc w:val="both"/>
      </w:pPr>
      <w:r w:rsidRPr="00307157">
        <w:t xml:space="preserve">In the case of </w:t>
      </w:r>
      <w:r w:rsidRPr="00307157">
        <w:rPr>
          <w:b/>
        </w:rPr>
        <w:t>medical accounts receivable</w:t>
      </w:r>
      <w:r w:rsidRPr="00307157">
        <w:t>, the report may cover a longer period of time, since the billing and payment process can be more complex due to the involvement of insurance companies and government programs. The report may cover a period of 90, 120, or more days past due, depending on the provider's policies and the requirements of the payers.</w:t>
      </w:r>
    </w:p>
    <w:p w14:paraId="60B7EA7E" w14:textId="531D1E37" w:rsidR="00307157" w:rsidRDefault="00307157" w:rsidP="00307157">
      <w:pPr>
        <w:pStyle w:val="NormalWeb"/>
        <w:shd w:val="clear" w:color="auto" w:fill="FFFFFF"/>
        <w:spacing w:before="0" w:beforeAutospacing="0" w:after="300" w:afterAutospacing="0"/>
        <w:jc w:val="center"/>
        <w:rPr>
          <w:b/>
          <w:sz w:val="32"/>
        </w:rPr>
      </w:pPr>
      <w:r w:rsidRPr="00307157">
        <w:rPr>
          <w:b/>
          <w:sz w:val="32"/>
        </w:rPr>
        <w:t>Difference between Super-Bill and Charge</w:t>
      </w:r>
    </w:p>
    <w:p w14:paraId="7FB2256C" w14:textId="3F4142BC" w:rsidR="003770BF" w:rsidRPr="003770BF" w:rsidRDefault="003770BF" w:rsidP="003770BF">
      <w:pPr>
        <w:pStyle w:val="NormalWeb"/>
        <w:shd w:val="clear" w:color="auto" w:fill="FFFFFF"/>
        <w:spacing w:after="300"/>
      </w:pPr>
      <w:r w:rsidRPr="003770BF">
        <w:t>The main differences between a superbill and a charge in medical billing are their purpose and the information they contain. Here is a more detailed explanation of each</w:t>
      </w:r>
      <w:r>
        <w:t>.</w:t>
      </w:r>
    </w:p>
    <w:p w14:paraId="2144228B" w14:textId="77777777" w:rsidR="003770BF" w:rsidRDefault="003770BF" w:rsidP="003770BF">
      <w:pPr>
        <w:pStyle w:val="NormalWeb"/>
        <w:shd w:val="clear" w:color="auto" w:fill="FFFFFF"/>
        <w:spacing w:after="300"/>
      </w:pPr>
    </w:p>
    <w:p w14:paraId="527DA8B3" w14:textId="395C3403" w:rsidR="003770BF" w:rsidRPr="003770BF" w:rsidRDefault="003770BF" w:rsidP="003770BF">
      <w:pPr>
        <w:pStyle w:val="NormalWeb"/>
        <w:shd w:val="clear" w:color="auto" w:fill="FFFFFF"/>
        <w:spacing w:after="300"/>
        <w:rPr>
          <w:b/>
          <w:sz w:val="28"/>
        </w:rPr>
      </w:pPr>
      <w:r w:rsidRPr="003770BF">
        <w:rPr>
          <w:b/>
          <w:sz w:val="28"/>
        </w:rPr>
        <w:lastRenderedPageBreak/>
        <w:t>Superbill:</w:t>
      </w:r>
    </w:p>
    <w:p w14:paraId="2AF350AE" w14:textId="77777777" w:rsidR="003770BF" w:rsidRPr="003770BF" w:rsidRDefault="003770BF" w:rsidP="003770BF">
      <w:pPr>
        <w:pStyle w:val="NormalWeb"/>
        <w:shd w:val="clear" w:color="auto" w:fill="FFFFFF"/>
        <w:spacing w:after="300"/>
      </w:pPr>
      <w:r w:rsidRPr="003770BF">
        <w:t>A superbill is a document that healthcare providers use to record the services they provide to patients. It typically contains the following information:</w:t>
      </w:r>
    </w:p>
    <w:p w14:paraId="536AEF90" w14:textId="77777777" w:rsidR="003770BF" w:rsidRPr="003770BF" w:rsidRDefault="003770BF" w:rsidP="0074087C">
      <w:pPr>
        <w:pStyle w:val="NormalWeb"/>
        <w:numPr>
          <w:ilvl w:val="0"/>
          <w:numId w:val="65"/>
        </w:numPr>
        <w:shd w:val="clear" w:color="auto" w:fill="FFFFFF"/>
        <w:spacing w:after="300"/>
      </w:pPr>
      <w:r w:rsidRPr="003770BF">
        <w:t>Patient information: Name, date of birth, address, and insurance information.</w:t>
      </w:r>
    </w:p>
    <w:p w14:paraId="487544AC" w14:textId="4E3D7293" w:rsidR="003770BF" w:rsidRDefault="003770BF" w:rsidP="0074087C">
      <w:pPr>
        <w:pStyle w:val="NormalWeb"/>
        <w:numPr>
          <w:ilvl w:val="0"/>
          <w:numId w:val="65"/>
        </w:numPr>
        <w:shd w:val="clear" w:color="auto" w:fill="FFFFFF"/>
        <w:spacing w:after="300"/>
      </w:pPr>
      <w:r w:rsidRPr="003770BF">
        <w:t>Service information: Date of service, service codes (diagnosis and procedure codes), and a description of the service provided.</w:t>
      </w:r>
    </w:p>
    <w:p w14:paraId="26615249" w14:textId="1D752CCD" w:rsidR="005704DA" w:rsidRPr="005704DA" w:rsidRDefault="005704DA" w:rsidP="005704DA">
      <w:pPr>
        <w:pStyle w:val="NormalWeb"/>
        <w:shd w:val="clear" w:color="auto" w:fill="FFFFFF"/>
        <w:spacing w:after="300"/>
        <w:rPr>
          <w:b/>
        </w:rPr>
      </w:pPr>
      <w:r w:rsidRPr="005704DA">
        <w:rPr>
          <w:b/>
        </w:rPr>
        <w:t>Purpose of Superbill:</w:t>
      </w:r>
    </w:p>
    <w:p w14:paraId="6904F05B" w14:textId="334473F0" w:rsidR="003770BF" w:rsidRPr="003770BF" w:rsidRDefault="003770BF" w:rsidP="003770BF">
      <w:pPr>
        <w:pStyle w:val="NormalWeb"/>
        <w:shd w:val="clear" w:color="auto" w:fill="FFFFFF"/>
        <w:spacing w:after="300"/>
      </w:pPr>
      <w:r w:rsidRPr="003770BF">
        <w:t>The purpose of a superbill is to serve as a record of the services provided during a patient visit. It is not used for billing purposes, but instead is used as a reference document by the medical coder to create the claim form that is submitted to the insurance company for payment. Superbills may also be used by patients to keep track of the services they received for their personal records.</w:t>
      </w:r>
    </w:p>
    <w:p w14:paraId="0D2CBAE2" w14:textId="64209241" w:rsidR="003770BF" w:rsidRPr="003770BF" w:rsidRDefault="003770BF" w:rsidP="003770BF">
      <w:pPr>
        <w:pStyle w:val="NormalWeb"/>
        <w:shd w:val="clear" w:color="auto" w:fill="FFFFFF"/>
        <w:spacing w:after="300"/>
      </w:pPr>
      <w:r w:rsidRPr="005704DA">
        <w:rPr>
          <w:b/>
        </w:rPr>
        <w:t>Example:</w:t>
      </w:r>
      <w:r w:rsidRPr="003770BF">
        <w:t xml:space="preserve"> A patient visits a primary care physician for a routine checkup. During the visit, the physician conducts a physical examination, reviews the patient's medical history, and provides preventive care counseling. The physician creates a superbill that includes the date of service, service codes for the physical exam and preventive care counseling, and a description of the services provided.</w:t>
      </w:r>
    </w:p>
    <w:p w14:paraId="080A32DE" w14:textId="77777777" w:rsidR="003770BF" w:rsidRPr="005704DA" w:rsidRDefault="003770BF" w:rsidP="003770BF">
      <w:pPr>
        <w:pStyle w:val="NormalWeb"/>
        <w:shd w:val="clear" w:color="auto" w:fill="FFFFFF"/>
        <w:spacing w:after="300"/>
        <w:rPr>
          <w:b/>
          <w:sz w:val="28"/>
        </w:rPr>
      </w:pPr>
      <w:r w:rsidRPr="005704DA">
        <w:rPr>
          <w:b/>
          <w:sz w:val="28"/>
        </w:rPr>
        <w:t>Charge:</w:t>
      </w:r>
    </w:p>
    <w:p w14:paraId="0A4E1C0F" w14:textId="77777777" w:rsidR="003770BF" w:rsidRPr="003770BF" w:rsidRDefault="003770BF" w:rsidP="003770BF">
      <w:pPr>
        <w:pStyle w:val="NormalWeb"/>
        <w:shd w:val="clear" w:color="auto" w:fill="FFFFFF"/>
        <w:spacing w:after="300"/>
      </w:pPr>
      <w:r w:rsidRPr="003770BF">
        <w:t>A charge is the amount of money that a healthcare provider or facility bills for a specific service or procedure. It is based on the provider's fee schedule and the specific services provided during a patient visit. A charge may include the following information:</w:t>
      </w:r>
    </w:p>
    <w:p w14:paraId="719721C5" w14:textId="77777777" w:rsidR="003770BF" w:rsidRPr="003770BF" w:rsidRDefault="003770BF" w:rsidP="0074087C">
      <w:pPr>
        <w:pStyle w:val="NormalWeb"/>
        <w:numPr>
          <w:ilvl w:val="0"/>
          <w:numId w:val="66"/>
        </w:numPr>
        <w:shd w:val="clear" w:color="auto" w:fill="FFFFFF"/>
        <w:spacing w:after="300"/>
      </w:pPr>
      <w:r w:rsidRPr="003770BF">
        <w:t>Patient information: Name, date of birth, address, and insurance information.</w:t>
      </w:r>
    </w:p>
    <w:p w14:paraId="4DF776DB" w14:textId="2E4FCBE7" w:rsidR="003770BF" w:rsidRDefault="003770BF" w:rsidP="0074087C">
      <w:pPr>
        <w:pStyle w:val="NormalWeb"/>
        <w:numPr>
          <w:ilvl w:val="0"/>
          <w:numId w:val="66"/>
        </w:numPr>
        <w:shd w:val="clear" w:color="auto" w:fill="FFFFFF"/>
        <w:spacing w:after="300"/>
      </w:pPr>
      <w:r w:rsidRPr="003770BF">
        <w:t>Service information: Date of service, service codes (diagnosis and procedure codes), and the charge amount for each service provided.</w:t>
      </w:r>
    </w:p>
    <w:p w14:paraId="464E2A78" w14:textId="4F31E047" w:rsidR="005704DA" w:rsidRPr="005704DA" w:rsidRDefault="005704DA" w:rsidP="005704DA">
      <w:pPr>
        <w:pStyle w:val="NormalWeb"/>
        <w:shd w:val="clear" w:color="auto" w:fill="FFFFFF"/>
        <w:spacing w:after="300"/>
        <w:rPr>
          <w:b/>
        </w:rPr>
      </w:pPr>
      <w:r w:rsidRPr="005704DA">
        <w:rPr>
          <w:b/>
        </w:rPr>
        <w:t xml:space="preserve">Purpose of </w:t>
      </w:r>
      <w:r>
        <w:rPr>
          <w:b/>
        </w:rPr>
        <w:t>Charge:</w:t>
      </w:r>
    </w:p>
    <w:p w14:paraId="34F4E5EF" w14:textId="4775E07B" w:rsidR="003770BF" w:rsidRPr="003770BF" w:rsidRDefault="003770BF" w:rsidP="003770BF">
      <w:pPr>
        <w:pStyle w:val="NormalWeb"/>
        <w:shd w:val="clear" w:color="auto" w:fill="FFFFFF"/>
        <w:spacing w:after="300"/>
      </w:pPr>
      <w:r w:rsidRPr="003770BF">
        <w:t>The purpose of a charge is to bill the patient or the insurance company for the services provided. Charges may be used by the provider to track revenue and expenses, and to monitor payment patterns and reimbursement rates.</w:t>
      </w:r>
    </w:p>
    <w:p w14:paraId="723D90DB" w14:textId="5A51E2EA" w:rsidR="003770BF" w:rsidRDefault="003770BF" w:rsidP="003770BF">
      <w:pPr>
        <w:pStyle w:val="NormalWeb"/>
        <w:shd w:val="clear" w:color="auto" w:fill="FFFFFF"/>
        <w:spacing w:after="300"/>
      </w:pPr>
      <w:r w:rsidRPr="005704DA">
        <w:rPr>
          <w:b/>
        </w:rPr>
        <w:t>Example:</w:t>
      </w:r>
      <w:r w:rsidRPr="003770BF">
        <w:t xml:space="preserve"> A patient undergoes a knee replacement surgery at a hospital. The hospital bills the patient for the surgery, which includes charges for the surgeon's fee, anesthesia, operating room use, and supplies. The charges are based on the hospital's fee schedule and the specific services provided during the surgery.</w:t>
      </w:r>
    </w:p>
    <w:p w14:paraId="127B0779" w14:textId="0F983BB4" w:rsidR="005704DA" w:rsidRPr="005704DA" w:rsidRDefault="005704DA" w:rsidP="003770BF">
      <w:pPr>
        <w:pStyle w:val="NormalWeb"/>
        <w:shd w:val="clear" w:color="auto" w:fill="FFFFFF"/>
        <w:spacing w:after="300"/>
        <w:rPr>
          <w:b/>
        </w:rPr>
      </w:pPr>
      <w:r w:rsidRPr="005704DA">
        <w:rPr>
          <w:b/>
        </w:rPr>
        <w:t>Conclusion:</w:t>
      </w:r>
    </w:p>
    <w:p w14:paraId="1F1D12F4" w14:textId="7586DD93" w:rsidR="00307157" w:rsidRDefault="003770BF" w:rsidP="003770BF">
      <w:pPr>
        <w:pStyle w:val="NormalWeb"/>
        <w:shd w:val="clear" w:color="auto" w:fill="FFFFFF"/>
        <w:spacing w:before="0" w:beforeAutospacing="0" w:after="300" w:afterAutospacing="0"/>
      </w:pPr>
      <w:r w:rsidRPr="003770BF">
        <w:t xml:space="preserve">In summary, a superbill is a record of the services provided during a patient visit that is used by the medical coder to create the claim form, while a charge is the amount of money that is billed for a </w:t>
      </w:r>
      <w:r w:rsidRPr="003770BF">
        <w:lastRenderedPageBreak/>
        <w:t>specific service or procedure. Superbills are used for record-keeping and reference purposes, while charges are used for billing and revenue tracking.</w:t>
      </w:r>
    </w:p>
    <w:p w14:paraId="51EF5626" w14:textId="7C81BCAD" w:rsidR="00F21F17" w:rsidRDefault="00F21F17" w:rsidP="009A32FD">
      <w:pPr>
        <w:pStyle w:val="NormalWeb"/>
        <w:shd w:val="clear" w:color="auto" w:fill="FFFFFF"/>
        <w:spacing w:before="0" w:beforeAutospacing="0" w:after="300" w:afterAutospacing="0"/>
        <w:jc w:val="center"/>
        <w:rPr>
          <w:b/>
          <w:sz w:val="32"/>
        </w:rPr>
      </w:pPr>
      <w:r w:rsidRPr="009A32FD">
        <w:rPr>
          <w:b/>
          <w:sz w:val="32"/>
        </w:rPr>
        <w:t xml:space="preserve">Difference between </w:t>
      </w:r>
      <w:r w:rsidR="009A32FD" w:rsidRPr="009A32FD">
        <w:rPr>
          <w:b/>
          <w:sz w:val="32"/>
        </w:rPr>
        <w:t>Paper and Electronic Superbill</w:t>
      </w:r>
    </w:p>
    <w:p w14:paraId="334A7808" w14:textId="7AF28399" w:rsidR="009A32FD" w:rsidRPr="009A32FD" w:rsidRDefault="009A32FD" w:rsidP="009A32FD">
      <w:pPr>
        <w:pStyle w:val="NormalWeb"/>
        <w:shd w:val="clear" w:color="auto" w:fill="FFFFFF"/>
        <w:spacing w:after="300"/>
      </w:pPr>
      <w:r w:rsidRPr="009A32FD">
        <w:t>The main difference between a paper and electronic superbill in medical billing is the format in which the information is recorded and transmitted. Here's a more detailed explanation of each:</w:t>
      </w:r>
    </w:p>
    <w:p w14:paraId="4AEBA26C" w14:textId="169150FB" w:rsidR="009A32FD" w:rsidRPr="009A32FD" w:rsidRDefault="009A32FD" w:rsidP="009A32FD">
      <w:pPr>
        <w:pStyle w:val="NormalWeb"/>
        <w:shd w:val="clear" w:color="auto" w:fill="FFFFFF"/>
        <w:spacing w:after="300"/>
        <w:jc w:val="center"/>
        <w:rPr>
          <w:b/>
          <w:sz w:val="28"/>
        </w:rPr>
      </w:pPr>
      <w:r w:rsidRPr="009A32FD">
        <w:rPr>
          <w:b/>
          <w:sz w:val="28"/>
        </w:rPr>
        <w:t>Paper Superbill</w:t>
      </w:r>
    </w:p>
    <w:p w14:paraId="4CC2E911" w14:textId="77777777" w:rsidR="009A32FD" w:rsidRPr="009A32FD" w:rsidRDefault="009A32FD" w:rsidP="009A32FD">
      <w:pPr>
        <w:pStyle w:val="NormalWeb"/>
        <w:shd w:val="clear" w:color="auto" w:fill="FFFFFF"/>
        <w:spacing w:after="300"/>
      </w:pPr>
      <w:r w:rsidRPr="009A32FD">
        <w:t>A paper superbill is a physical document that healthcare providers use to record the services provided to patients during a visit. The provider fills out the superbill by hand, typically with a pen or pencil. The document contains the date of the visit, the patient's name and demographic information, the services provided (including diagnosis and procedure codes), and any other relevant information. The provider can give the paper superbill to the patient to take with them, or use it as a reference when filling out the insurance claim form. Paper superbill is a common method of billing for small practices that may not have electronic billing systems.</w:t>
      </w:r>
    </w:p>
    <w:p w14:paraId="7E097E98" w14:textId="719A14A3" w:rsidR="009A32FD" w:rsidRPr="009A32FD" w:rsidRDefault="009A32FD" w:rsidP="009A32FD">
      <w:pPr>
        <w:pStyle w:val="NormalWeb"/>
        <w:shd w:val="clear" w:color="auto" w:fill="FFFFFF"/>
        <w:spacing w:after="300"/>
        <w:rPr>
          <w:b/>
        </w:rPr>
      </w:pPr>
      <w:r w:rsidRPr="009A32FD">
        <w:rPr>
          <w:b/>
        </w:rPr>
        <w:t>Advantages:</w:t>
      </w:r>
    </w:p>
    <w:p w14:paraId="4D4A9523" w14:textId="77777777" w:rsidR="009A32FD" w:rsidRDefault="009A32FD" w:rsidP="0074087C">
      <w:pPr>
        <w:pStyle w:val="NormalWeb"/>
        <w:numPr>
          <w:ilvl w:val="0"/>
          <w:numId w:val="67"/>
        </w:numPr>
        <w:shd w:val="clear" w:color="auto" w:fill="FFFFFF"/>
        <w:spacing w:after="300"/>
      </w:pPr>
      <w:r>
        <w:t>Easy to create and use for small practices</w:t>
      </w:r>
    </w:p>
    <w:p w14:paraId="41484CBC" w14:textId="77777777" w:rsidR="009A32FD" w:rsidRDefault="009A32FD" w:rsidP="0074087C">
      <w:pPr>
        <w:pStyle w:val="NormalWeb"/>
        <w:numPr>
          <w:ilvl w:val="0"/>
          <w:numId w:val="67"/>
        </w:numPr>
        <w:shd w:val="clear" w:color="auto" w:fill="FFFFFF"/>
        <w:spacing w:after="300"/>
      </w:pPr>
      <w:r>
        <w:t>No need for expensive software or equipment</w:t>
      </w:r>
    </w:p>
    <w:p w14:paraId="0DB4AD27" w14:textId="77777777" w:rsidR="009A32FD" w:rsidRDefault="009A32FD" w:rsidP="0074087C">
      <w:pPr>
        <w:pStyle w:val="NormalWeb"/>
        <w:numPr>
          <w:ilvl w:val="0"/>
          <w:numId w:val="67"/>
        </w:numPr>
        <w:shd w:val="clear" w:color="auto" w:fill="FFFFFF"/>
        <w:spacing w:after="300"/>
      </w:pPr>
      <w:r>
        <w:t>Can be customized to meet the specific needs of the practice</w:t>
      </w:r>
    </w:p>
    <w:p w14:paraId="67637760" w14:textId="77777777" w:rsidR="009A32FD" w:rsidRDefault="009A32FD" w:rsidP="0074087C">
      <w:pPr>
        <w:pStyle w:val="NormalWeb"/>
        <w:numPr>
          <w:ilvl w:val="0"/>
          <w:numId w:val="67"/>
        </w:numPr>
        <w:shd w:val="clear" w:color="auto" w:fill="FFFFFF"/>
        <w:spacing w:after="300"/>
      </w:pPr>
      <w:r>
        <w:t>Can be given to the patient to take home</w:t>
      </w:r>
    </w:p>
    <w:p w14:paraId="6DE77F48" w14:textId="77777777" w:rsidR="009A32FD" w:rsidRPr="009A32FD" w:rsidRDefault="009A32FD" w:rsidP="009A32FD">
      <w:pPr>
        <w:pStyle w:val="NormalWeb"/>
        <w:shd w:val="clear" w:color="auto" w:fill="FFFFFF"/>
        <w:spacing w:after="300"/>
        <w:rPr>
          <w:b/>
        </w:rPr>
      </w:pPr>
      <w:r w:rsidRPr="009A32FD">
        <w:rPr>
          <w:b/>
        </w:rPr>
        <w:t>Disadvantages:</w:t>
      </w:r>
    </w:p>
    <w:p w14:paraId="6A446D96" w14:textId="77777777" w:rsidR="009A32FD" w:rsidRDefault="009A32FD" w:rsidP="0074087C">
      <w:pPr>
        <w:pStyle w:val="NormalWeb"/>
        <w:numPr>
          <w:ilvl w:val="0"/>
          <w:numId w:val="68"/>
        </w:numPr>
        <w:shd w:val="clear" w:color="auto" w:fill="FFFFFF"/>
        <w:spacing w:after="300"/>
      </w:pPr>
      <w:r>
        <w:t>Prone to errors due to illegible handwriting</w:t>
      </w:r>
    </w:p>
    <w:p w14:paraId="5E2D0E86" w14:textId="77777777" w:rsidR="009A32FD" w:rsidRDefault="009A32FD" w:rsidP="0074087C">
      <w:pPr>
        <w:pStyle w:val="NormalWeb"/>
        <w:numPr>
          <w:ilvl w:val="0"/>
          <w:numId w:val="68"/>
        </w:numPr>
        <w:shd w:val="clear" w:color="auto" w:fill="FFFFFF"/>
        <w:spacing w:after="300"/>
      </w:pPr>
      <w:r>
        <w:t>Time-consuming to fill out and manage</w:t>
      </w:r>
    </w:p>
    <w:p w14:paraId="01930E43" w14:textId="77777777" w:rsidR="009A32FD" w:rsidRDefault="009A32FD" w:rsidP="0074087C">
      <w:pPr>
        <w:pStyle w:val="NormalWeb"/>
        <w:numPr>
          <w:ilvl w:val="0"/>
          <w:numId w:val="68"/>
        </w:numPr>
        <w:shd w:val="clear" w:color="auto" w:fill="FFFFFF"/>
        <w:spacing w:after="300"/>
      </w:pPr>
      <w:r>
        <w:t>Risk of losing or misplacing the document</w:t>
      </w:r>
    </w:p>
    <w:p w14:paraId="6C74173A" w14:textId="0196E32E" w:rsidR="009A32FD" w:rsidRPr="009A32FD" w:rsidRDefault="009A32FD" w:rsidP="0074087C">
      <w:pPr>
        <w:pStyle w:val="NormalWeb"/>
        <w:numPr>
          <w:ilvl w:val="0"/>
          <w:numId w:val="68"/>
        </w:numPr>
        <w:shd w:val="clear" w:color="auto" w:fill="FFFFFF"/>
        <w:spacing w:after="300"/>
      </w:pPr>
      <w:r>
        <w:t>Cannot be easily transmitted to the insurance company for billing</w:t>
      </w:r>
    </w:p>
    <w:p w14:paraId="3CABF50C" w14:textId="5FDC6CB9" w:rsidR="009A32FD" w:rsidRPr="009A32FD" w:rsidRDefault="009A32FD" w:rsidP="009A32FD">
      <w:pPr>
        <w:pStyle w:val="NormalWeb"/>
        <w:shd w:val="clear" w:color="auto" w:fill="FFFFFF"/>
        <w:spacing w:after="300"/>
        <w:jc w:val="center"/>
        <w:rPr>
          <w:b/>
          <w:sz w:val="28"/>
        </w:rPr>
      </w:pPr>
      <w:r w:rsidRPr="009A32FD">
        <w:rPr>
          <w:b/>
          <w:sz w:val="28"/>
        </w:rPr>
        <w:t>Electronic Superbill</w:t>
      </w:r>
    </w:p>
    <w:p w14:paraId="62BBA1B1" w14:textId="77777777" w:rsidR="009A32FD" w:rsidRDefault="009A32FD" w:rsidP="009A32FD">
      <w:pPr>
        <w:pStyle w:val="NormalWeb"/>
        <w:shd w:val="clear" w:color="auto" w:fill="FFFFFF"/>
        <w:spacing w:before="0" w:beforeAutospacing="0" w:after="300" w:afterAutospacing="0"/>
      </w:pPr>
      <w:r w:rsidRPr="009A32FD">
        <w:t>An electronic superbill is a digital document that is created and stored on a computer or electronic health record (EHR) system. Providers use software or EHRs to enter the services provided during a patient visit. The electronic superbill contains the same information as a paper superbill, but it is recorded and transmitted digitally. Electronic superbills can be easily generated from templates in the EHR system, and can be automatically populated with patient data from the system. Electronic superbills can be transmitted directly to the insurance company for billing, eliminating the need for manual data entry and reducing errors.</w:t>
      </w:r>
    </w:p>
    <w:p w14:paraId="569EF871" w14:textId="178BA167" w:rsidR="009A32FD" w:rsidRPr="009A32FD" w:rsidRDefault="009A32FD" w:rsidP="009A32FD">
      <w:pPr>
        <w:pStyle w:val="NormalWeb"/>
        <w:shd w:val="clear" w:color="auto" w:fill="FFFFFF"/>
        <w:spacing w:before="0" w:beforeAutospacing="0" w:after="300" w:afterAutospacing="0"/>
      </w:pPr>
      <w:r w:rsidRPr="009A32FD">
        <w:rPr>
          <w:b/>
        </w:rPr>
        <w:t>Advantages:</w:t>
      </w:r>
    </w:p>
    <w:p w14:paraId="2BADDF51" w14:textId="77777777" w:rsidR="009A32FD" w:rsidRPr="009A32FD" w:rsidRDefault="009A32FD" w:rsidP="0074087C">
      <w:pPr>
        <w:pStyle w:val="NormalWeb"/>
        <w:numPr>
          <w:ilvl w:val="0"/>
          <w:numId w:val="69"/>
        </w:numPr>
        <w:shd w:val="clear" w:color="auto" w:fill="FFFFFF"/>
        <w:spacing w:after="300"/>
        <w:jc w:val="both"/>
      </w:pPr>
      <w:r w:rsidRPr="009A32FD">
        <w:t>Faster and more efficient than paper superbill</w:t>
      </w:r>
    </w:p>
    <w:p w14:paraId="485CFF37" w14:textId="77777777" w:rsidR="009A32FD" w:rsidRPr="009A32FD" w:rsidRDefault="009A32FD" w:rsidP="0074087C">
      <w:pPr>
        <w:pStyle w:val="NormalWeb"/>
        <w:numPr>
          <w:ilvl w:val="0"/>
          <w:numId w:val="69"/>
        </w:numPr>
        <w:shd w:val="clear" w:color="auto" w:fill="FFFFFF"/>
        <w:spacing w:after="300"/>
        <w:jc w:val="both"/>
      </w:pPr>
      <w:r w:rsidRPr="009A32FD">
        <w:lastRenderedPageBreak/>
        <w:t>Can be easily generated from templates in the EHR system</w:t>
      </w:r>
    </w:p>
    <w:p w14:paraId="32B7C430" w14:textId="77777777" w:rsidR="009A32FD" w:rsidRPr="009A32FD" w:rsidRDefault="009A32FD" w:rsidP="0074087C">
      <w:pPr>
        <w:pStyle w:val="NormalWeb"/>
        <w:numPr>
          <w:ilvl w:val="0"/>
          <w:numId w:val="69"/>
        </w:numPr>
        <w:shd w:val="clear" w:color="auto" w:fill="FFFFFF"/>
        <w:spacing w:after="300"/>
        <w:jc w:val="both"/>
      </w:pPr>
      <w:r w:rsidRPr="009A32FD">
        <w:t>Automatically populates with patient data from the system</w:t>
      </w:r>
    </w:p>
    <w:p w14:paraId="4EEE2BCB" w14:textId="77777777" w:rsidR="009A32FD" w:rsidRPr="009A32FD" w:rsidRDefault="009A32FD" w:rsidP="0074087C">
      <w:pPr>
        <w:pStyle w:val="NormalWeb"/>
        <w:numPr>
          <w:ilvl w:val="0"/>
          <w:numId w:val="69"/>
        </w:numPr>
        <w:shd w:val="clear" w:color="auto" w:fill="FFFFFF"/>
        <w:spacing w:after="300"/>
        <w:jc w:val="both"/>
      </w:pPr>
      <w:r w:rsidRPr="009A32FD">
        <w:t>Can be easily transmitted to the insurance company for billing</w:t>
      </w:r>
    </w:p>
    <w:p w14:paraId="2212FA17" w14:textId="77777777" w:rsidR="009A32FD" w:rsidRPr="009A32FD" w:rsidRDefault="009A32FD" w:rsidP="0074087C">
      <w:pPr>
        <w:pStyle w:val="NormalWeb"/>
        <w:numPr>
          <w:ilvl w:val="0"/>
          <w:numId w:val="69"/>
        </w:numPr>
        <w:shd w:val="clear" w:color="auto" w:fill="FFFFFF"/>
        <w:spacing w:after="300"/>
        <w:jc w:val="both"/>
      </w:pPr>
      <w:r w:rsidRPr="009A32FD">
        <w:t>Reduces errors due to illegible handwriting</w:t>
      </w:r>
    </w:p>
    <w:p w14:paraId="24477B45" w14:textId="359E578B" w:rsidR="009A32FD" w:rsidRPr="009A32FD" w:rsidRDefault="009A32FD" w:rsidP="009A32FD">
      <w:pPr>
        <w:pStyle w:val="NormalWeb"/>
        <w:shd w:val="clear" w:color="auto" w:fill="FFFFFF"/>
        <w:spacing w:after="300"/>
        <w:jc w:val="both"/>
        <w:rPr>
          <w:b/>
        </w:rPr>
      </w:pPr>
      <w:r w:rsidRPr="009A32FD">
        <w:rPr>
          <w:b/>
        </w:rPr>
        <w:t>Disadvantages:</w:t>
      </w:r>
    </w:p>
    <w:p w14:paraId="6550CCB9" w14:textId="77777777" w:rsidR="009A32FD" w:rsidRPr="009A32FD" w:rsidRDefault="009A32FD" w:rsidP="0074087C">
      <w:pPr>
        <w:pStyle w:val="NormalWeb"/>
        <w:numPr>
          <w:ilvl w:val="0"/>
          <w:numId w:val="70"/>
        </w:numPr>
        <w:shd w:val="clear" w:color="auto" w:fill="FFFFFF"/>
        <w:spacing w:after="300"/>
        <w:jc w:val="both"/>
      </w:pPr>
      <w:r w:rsidRPr="009A32FD">
        <w:t>Requires expensive software and equipment</w:t>
      </w:r>
    </w:p>
    <w:p w14:paraId="67CABA0F" w14:textId="77777777" w:rsidR="009A32FD" w:rsidRPr="009A32FD" w:rsidRDefault="009A32FD" w:rsidP="0074087C">
      <w:pPr>
        <w:pStyle w:val="NormalWeb"/>
        <w:numPr>
          <w:ilvl w:val="0"/>
          <w:numId w:val="70"/>
        </w:numPr>
        <w:shd w:val="clear" w:color="auto" w:fill="FFFFFF"/>
        <w:spacing w:after="300"/>
        <w:jc w:val="both"/>
      </w:pPr>
      <w:r w:rsidRPr="009A32FD">
        <w:t>Can be complex to set up and use</w:t>
      </w:r>
    </w:p>
    <w:p w14:paraId="6750BE05" w14:textId="77777777" w:rsidR="009A32FD" w:rsidRPr="009A32FD" w:rsidRDefault="009A32FD" w:rsidP="0074087C">
      <w:pPr>
        <w:pStyle w:val="NormalWeb"/>
        <w:numPr>
          <w:ilvl w:val="0"/>
          <w:numId w:val="70"/>
        </w:numPr>
        <w:shd w:val="clear" w:color="auto" w:fill="FFFFFF"/>
        <w:spacing w:after="300"/>
        <w:jc w:val="both"/>
      </w:pPr>
      <w:r w:rsidRPr="009A32FD">
        <w:t>Data security concerns due to the sensitive nature of patient data</w:t>
      </w:r>
    </w:p>
    <w:p w14:paraId="5852279A" w14:textId="02A42C59" w:rsidR="00486F3B" w:rsidRDefault="009A32FD" w:rsidP="0074087C">
      <w:pPr>
        <w:pStyle w:val="NormalWeb"/>
        <w:numPr>
          <w:ilvl w:val="0"/>
          <w:numId w:val="70"/>
        </w:numPr>
        <w:shd w:val="clear" w:color="auto" w:fill="FFFFFF"/>
        <w:spacing w:before="0" w:beforeAutospacing="0" w:after="300" w:afterAutospacing="0"/>
        <w:jc w:val="both"/>
      </w:pPr>
      <w:r w:rsidRPr="009A32FD">
        <w:t>May require additional training for staff to use effectively</w:t>
      </w:r>
    </w:p>
    <w:p w14:paraId="6F461697" w14:textId="4454FF7C" w:rsidR="00B759FA" w:rsidRPr="00B759FA" w:rsidRDefault="00B759FA" w:rsidP="00B759FA">
      <w:pPr>
        <w:pStyle w:val="NormalWeb"/>
        <w:shd w:val="clear" w:color="auto" w:fill="FFFFFF"/>
        <w:spacing w:before="0" w:beforeAutospacing="0" w:after="300" w:afterAutospacing="0"/>
        <w:jc w:val="center"/>
        <w:rPr>
          <w:b/>
          <w:sz w:val="32"/>
        </w:rPr>
      </w:pPr>
      <w:r w:rsidRPr="00B759FA">
        <w:rPr>
          <w:b/>
          <w:sz w:val="32"/>
        </w:rPr>
        <w:t>Payment Types</w:t>
      </w:r>
    </w:p>
    <w:p w14:paraId="2DBCBBBA" w14:textId="5244BF32" w:rsidR="00B759FA" w:rsidRDefault="00B759FA" w:rsidP="00697CD9">
      <w:pPr>
        <w:pStyle w:val="NormalWeb"/>
        <w:shd w:val="clear" w:color="auto" w:fill="FFFFFF"/>
        <w:spacing w:before="0" w:beforeAutospacing="0" w:after="300" w:afterAutospacing="0"/>
        <w:jc w:val="both"/>
      </w:pPr>
      <w:r>
        <w:t xml:space="preserve">The most commonly used payment systems to remunerate healthcare providers are </w:t>
      </w:r>
    </w:p>
    <w:p w14:paraId="65501F08" w14:textId="26E10843" w:rsidR="00B759FA" w:rsidRDefault="00B759FA" w:rsidP="0074087C">
      <w:pPr>
        <w:pStyle w:val="NormalWeb"/>
        <w:numPr>
          <w:ilvl w:val="0"/>
          <w:numId w:val="71"/>
        </w:numPr>
        <w:shd w:val="clear" w:color="auto" w:fill="FFFFFF"/>
        <w:spacing w:after="300"/>
        <w:jc w:val="both"/>
      </w:pPr>
      <w:r w:rsidRPr="00B759FA">
        <w:rPr>
          <w:b/>
        </w:rPr>
        <w:t>Fee-for-service:</w:t>
      </w:r>
      <w:r>
        <w:t xml:space="preserve"> Providers are paid for each individual service or procedure they perform, such as an office visit, lab test, or surgical procedure.</w:t>
      </w:r>
    </w:p>
    <w:p w14:paraId="5CE1F580" w14:textId="5A4175FD" w:rsidR="00B759FA" w:rsidRDefault="00B759FA" w:rsidP="0074087C">
      <w:pPr>
        <w:pStyle w:val="NormalWeb"/>
        <w:numPr>
          <w:ilvl w:val="0"/>
          <w:numId w:val="71"/>
        </w:numPr>
        <w:shd w:val="clear" w:color="auto" w:fill="FFFFFF"/>
        <w:spacing w:after="300"/>
        <w:jc w:val="both"/>
      </w:pPr>
      <w:r w:rsidRPr="00B759FA">
        <w:rPr>
          <w:b/>
        </w:rPr>
        <w:t>Capitation:</w:t>
      </w:r>
      <w:r>
        <w:t xml:space="preserve"> Providers are paid a fixed amount per patient per month, regardless of how much care the patient actually receives. For example, a primary care physician might receive a set monthly fee for each patient in their panel.</w:t>
      </w:r>
    </w:p>
    <w:p w14:paraId="4308CB54" w14:textId="49DB39BC" w:rsidR="00B759FA" w:rsidRDefault="00B759FA" w:rsidP="0074087C">
      <w:pPr>
        <w:pStyle w:val="NormalWeb"/>
        <w:numPr>
          <w:ilvl w:val="0"/>
          <w:numId w:val="71"/>
        </w:numPr>
        <w:shd w:val="clear" w:color="auto" w:fill="FFFFFF"/>
        <w:spacing w:after="300"/>
        <w:jc w:val="both"/>
      </w:pPr>
      <w:r w:rsidRPr="00697CD9">
        <w:rPr>
          <w:b/>
        </w:rPr>
        <w:t>Bundled payments:</w:t>
      </w:r>
      <w:r>
        <w:t xml:space="preserve"> Providers are paid a fixed amount for a bundle of related services, such as all of the services associated with a specific surgical procedure. For example, a hospital might receive a fixed payment for a knee replacement surgery that covers all of the pre-operative, intra-operative, and post-operative care.</w:t>
      </w:r>
    </w:p>
    <w:p w14:paraId="4C5D2326" w14:textId="09554859" w:rsidR="00B759FA" w:rsidRDefault="00B759FA" w:rsidP="0074087C">
      <w:pPr>
        <w:pStyle w:val="NormalWeb"/>
        <w:numPr>
          <w:ilvl w:val="0"/>
          <w:numId w:val="71"/>
        </w:numPr>
        <w:shd w:val="clear" w:color="auto" w:fill="FFFFFF"/>
        <w:spacing w:after="300"/>
        <w:jc w:val="both"/>
      </w:pPr>
      <w:r w:rsidRPr="00697CD9">
        <w:rPr>
          <w:b/>
        </w:rPr>
        <w:t>Value-based payments:</w:t>
      </w:r>
      <w:r>
        <w:t xml:space="preserve"> Providers are paid based on the quality and outcomes of the care they provide, rather than the volume of services they perform. For example, a hospital might receive a bonus payment for meeting certain quality metrics, such as reducing hospital readmissions or improving patient satisfaction scores.</w:t>
      </w:r>
    </w:p>
    <w:p w14:paraId="051CD565" w14:textId="7C15DED3" w:rsidR="00B759FA" w:rsidRDefault="00B759FA" w:rsidP="0074087C">
      <w:pPr>
        <w:pStyle w:val="NormalWeb"/>
        <w:numPr>
          <w:ilvl w:val="0"/>
          <w:numId w:val="71"/>
        </w:numPr>
        <w:shd w:val="clear" w:color="auto" w:fill="FFFFFF"/>
        <w:spacing w:after="300"/>
        <w:jc w:val="both"/>
      </w:pPr>
      <w:r w:rsidRPr="00697CD9">
        <w:rPr>
          <w:b/>
        </w:rPr>
        <w:t>Self-pay:</w:t>
      </w:r>
      <w:r>
        <w:t xml:space="preserve"> Patients pay for their healthcare services out of pocket, either because they don't have insurance coverage or because they have a high-deductible health plan. For example, a patient might pay cash for an office visit or lab test.</w:t>
      </w:r>
    </w:p>
    <w:p w14:paraId="4E623816" w14:textId="3B16A9EF" w:rsidR="00B759FA" w:rsidRDefault="00B759FA" w:rsidP="0074087C">
      <w:pPr>
        <w:pStyle w:val="NormalWeb"/>
        <w:numPr>
          <w:ilvl w:val="0"/>
          <w:numId w:val="71"/>
        </w:numPr>
        <w:shd w:val="clear" w:color="auto" w:fill="FFFFFF"/>
        <w:spacing w:after="300"/>
        <w:jc w:val="both"/>
      </w:pPr>
      <w:r w:rsidRPr="00697CD9">
        <w:rPr>
          <w:b/>
        </w:rPr>
        <w:t>Private insurance:</w:t>
      </w:r>
      <w:r>
        <w:t xml:space="preserve"> Private insurance companies pay healthcare providers for the services they provide to patients who are covered by those plans. For example, Blue Cross Blue Shield might pay a hospital for a patient's surgery.</w:t>
      </w:r>
    </w:p>
    <w:p w14:paraId="2B06F12D" w14:textId="5CEFE738" w:rsidR="00B759FA" w:rsidRDefault="00B759FA" w:rsidP="0074087C">
      <w:pPr>
        <w:pStyle w:val="NormalWeb"/>
        <w:numPr>
          <w:ilvl w:val="0"/>
          <w:numId w:val="71"/>
        </w:numPr>
        <w:shd w:val="clear" w:color="auto" w:fill="FFFFFF"/>
        <w:spacing w:after="300"/>
        <w:jc w:val="both"/>
      </w:pPr>
      <w:r w:rsidRPr="00697CD9">
        <w:rPr>
          <w:b/>
        </w:rPr>
        <w:t>Medicare:</w:t>
      </w:r>
      <w:r>
        <w:t xml:space="preserve"> The federal health insurance program for people aged 65 and older, as well as people with certain disabilities and medical conditions. For example, a physician might bill Medicare for a patient's office visit.</w:t>
      </w:r>
    </w:p>
    <w:p w14:paraId="55F53C84" w14:textId="7EDE689A" w:rsidR="00B759FA" w:rsidRDefault="00B759FA" w:rsidP="0074087C">
      <w:pPr>
        <w:pStyle w:val="NormalWeb"/>
        <w:numPr>
          <w:ilvl w:val="0"/>
          <w:numId w:val="71"/>
        </w:numPr>
        <w:shd w:val="clear" w:color="auto" w:fill="FFFFFF"/>
        <w:spacing w:after="300"/>
        <w:jc w:val="both"/>
      </w:pPr>
      <w:r w:rsidRPr="00697CD9">
        <w:rPr>
          <w:b/>
        </w:rPr>
        <w:t>Medicaid:</w:t>
      </w:r>
      <w:r>
        <w:t xml:space="preserve"> The joint federal-state health insurance program for people with low income and limited resources. For example, a hospital might bill Medicaid for a patient's hospitalization.</w:t>
      </w:r>
    </w:p>
    <w:p w14:paraId="7DF88CCB" w14:textId="0C4F81F4" w:rsidR="00B759FA" w:rsidRDefault="00B759FA" w:rsidP="0074087C">
      <w:pPr>
        <w:pStyle w:val="NormalWeb"/>
        <w:numPr>
          <w:ilvl w:val="0"/>
          <w:numId w:val="71"/>
        </w:numPr>
        <w:shd w:val="clear" w:color="auto" w:fill="FFFFFF"/>
        <w:spacing w:after="300"/>
        <w:jc w:val="both"/>
      </w:pPr>
      <w:r w:rsidRPr="00697CD9">
        <w:rPr>
          <w:b/>
        </w:rPr>
        <w:t>Veterans Affairs (VA):</w:t>
      </w:r>
      <w:r>
        <w:t xml:space="preserve"> The government-run healthcare system for military veterans. For example, a veteran might receive medical care at a VA hospital or clinic.</w:t>
      </w:r>
    </w:p>
    <w:p w14:paraId="694EDC5C" w14:textId="1168B7E0" w:rsidR="00697CD9" w:rsidRDefault="00697CD9" w:rsidP="002B09EB">
      <w:pPr>
        <w:pStyle w:val="NormalWeb"/>
        <w:shd w:val="clear" w:color="auto" w:fill="FFFFFF"/>
        <w:spacing w:before="0" w:beforeAutospacing="0" w:after="300" w:afterAutospacing="0"/>
        <w:jc w:val="center"/>
      </w:pPr>
    </w:p>
    <w:p w14:paraId="7962C8EA" w14:textId="5952695B" w:rsidR="00697CD9" w:rsidRDefault="00BF5DAF" w:rsidP="002B09EB">
      <w:pPr>
        <w:pStyle w:val="NormalWeb"/>
        <w:shd w:val="clear" w:color="auto" w:fill="FFFFFF"/>
        <w:spacing w:before="0" w:beforeAutospacing="0" w:after="300" w:afterAutospacing="0"/>
        <w:jc w:val="center"/>
        <w:rPr>
          <w:b/>
          <w:sz w:val="32"/>
        </w:rPr>
      </w:pPr>
      <w:r>
        <w:rPr>
          <w:b/>
          <w:sz w:val="32"/>
        </w:rPr>
        <w:lastRenderedPageBreak/>
        <w:t>What is Denial Management?</w:t>
      </w:r>
    </w:p>
    <w:p w14:paraId="349EB9D6" w14:textId="16CD2DB9"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in healthcare is the practice of determining why medical claims are denied and developing the most suitable strategies for decreasing the number of denials. It also includes practically applying strategies that can increase the percentage of claims reimbursed first.</w:t>
      </w:r>
    </w:p>
    <w:p w14:paraId="585FBF8A" w14:textId="2059307C" w:rsidR="00BF5DAF" w:rsidRDefault="00BF5DAF" w:rsidP="00BF5DAF">
      <w:pPr>
        <w:pStyle w:val="NormalWeb"/>
        <w:shd w:val="clear" w:color="auto" w:fill="FFFFFF"/>
        <w:spacing w:before="0" w:beforeAutospacing="0" w:after="300" w:afterAutospacing="0"/>
        <w:rPr>
          <w:bCs/>
          <w:shd w:val="clear" w:color="auto" w:fill="FFFFFF"/>
        </w:rPr>
      </w:pPr>
      <w:r>
        <w:rPr>
          <w:bCs/>
          <w:shd w:val="clear" w:color="auto" w:fill="FFFFFF"/>
        </w:rPr>
        <w:t>How does Denial Management Work?</w:t>
      </w:r>
    </w:p>
    <w:p w14:paraId="52CE358D" w14:textId="77777777"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works on a systematic technique known as the IMMP process, which stands for Identify, Manage, Monitor, and Prevent.</w:t>
      </w:r>
    </w:p>
    <w:p w14:paraId="2F2367CE" w14:textId="77777777" w:rsidR="00C0604E" w:rsidRDefault="00BF5DAF" w:rsidP="00C0604E">
      <w:pPr>
        <w:pStyle w:val="NormalWeb"/>
        <w:numPr>
          <w:ilvl w:val="1"/>
          <w:numId w:val="8"/>
        </w:numPr>
        <w:shd w:val="clear" w:color="auto" w:fill="FFFFFF"/>
        <w:spacing w:before="0" w:beforeAutospacing="0" w:after="300" w:afterAutospacing="0"/>
        <w:rPr>
          <w:b/>
          <w:bCs/>
          <w:shd w:val="clear" w:color="auto" w:fill="FFFFFF"/>
        </w:rPr>
      </w:pPr>
      <w:r w:rsidRPr="00F14494">
        <w:rPr>
          <w:b/>
          <w:bCs/>
          <w:shd w:val="clear" w:color="auto" w:fill="FFFFFF"/>
        </w:rPr>
        <w:t xml:space="preserve">Identify </w:t>
      </w:r>
    </w:p>
    <w:p w14:paraId="07E2BE92" w14:textId="7DC5FA61" w:rsidR="008B7A0D" w:rsidRPr="00C0604E" w:rsidRDefault="008B7A0D" w:rsidP="00C0604E">
      <w:pPr>
        <w:pStyle w:val="NormalWeb"/>
        <w:shd w:val="clear" w:color="auto" w:fill="FFFFFF"/>
        <w:spacing w:before="0" w:beforeAutospacing="0" w:after="300" w:afterAutospacing="0"/>
        <w:rPr>
          <w:b/>
          <w:bCs/>
          <w:shd w:val="clear" w:color="auto" w:fill="FFFFFF"/>
        </w:rPr>
      </w:pPr>
      <w:r w:rsidRPr="00C0604E">
        <w:rPr>
          <w:bCs/>
        </w:rPr>
        <w:t>The first step to effectively manage denial management is determining the root reasons and causes of the claim denial. An insurer generally indicates the reason behind the claim denial in the explanation of the payment that accompanies the denial. These explanation indicators are generally known as claim adjustment reason codes (CARC).</w:t>
      </w:r>
    </w:p>
    <w:p w14:paraId="20B5AEE6" w14:textId="1DB68A30" w:rsidR="008B7A0D" w:rsidRPr="00B82991" w:rsidRDefault="008B7A0D" w:rsidP="0059295D">
      <w:pPr>
        <w:shd w:val="clear" w:color="auto" w:fill="FFFFFF"/>
        <w:spacing w:after="100" w:afterAutospacing="1" w:line="240" w:lineRule="auto"/>
        <w:rPr>
          <w:rFonts w:ascii="Times New Roman" w:eastAsia="Times New Roman" w:hAnsi="Times New Roman" w:cs="Times New Roman"/>
          <w:bCs/>
          <w:sz w:val="24"/>
          <w:szCs w:val="24"/>
        </w:rPr>
      </w:pPr>
      <w:r w:rsidRPr="00F14494">
        <w:rPr>
          <w:rFonts w:ascii="Times New Roman" w:eastAsia="Times New Roman" w:hAnsi="Times New Roman" w:cs="Times New Roman"/>
          <w:bCs/>
          <w:sz w:val="24"/>
          <w:szCs w:val="24"/>
        </w:rPr>
        <w:t xml:space="preserve">However, the CARC codes are not as simple as they sound. The primary task is to understand the feedback from the insurer and decipher the reason behind the claim denial. This deciphering process takes considerable time and expert-level skills because some insurers still use non-standard, overly complex legacy codes. But dedicated denial management professionals can handle these codes and determine </w:t>
      </w:r>
      <w:r w:rsidRPr="00B82991">
        <w:rPr>
          <w:rFonts w:ascii="Times New Roman" w:eastAsia="Times New Roman" w:hAnsi="Times New Roman" w:cs="Times New Roman"/>
          <w:bCs/>
          <w:sz w:val="24"/>
          <w:szCs w:val="24"/>
        </w:rPr>
        <w:t>why a claim was denied and who is responsible for its reimbursement. </w:t>
      </w:r>
    </w:p>
    <w:p w14:paraId="7389FE5E" w14:textId="6261A3F7" w:rsidR="0008569F" w:rsidRPr="0059295D" w:rsidRDefault="0008569F" w:rsidP="0008569F">
      <w:pPr>
        <w:pStyle w:val="ListParagraph"/>
        <w:numPr>
          <w:ilvl w:val="1"/>
          <w:numId w:val="8"/>
        </w:numPr>
        <w:shd w:val="clear" w:color="auto" w:fill="FFFFFF"/>
        <w:spacing w:after="100" w:afterAutospacing="1" w:line="240" w:lineRule="auto"/>
        <w:rPr>
          <w:rFonts w:ascii="Times New Roman" w:eastAsia="Times New Roman" w:hAnsi="Times New Roman" w:cs="Times New Roman"/>
          <w:b/>
          <w:bCs/>
          <w:sz w:val="28"/>
          <w:szCs w:val="24"/>
        </w:rPr>
      </w:pPr>
      <w:r w:rsidRPr="0059295D">
        <w:rPr>
          <w:rFonts w:ascii="Times New Roman" w:eastAsia="Times New Roman" w:hAnsi="Times New Roman" w:cs="Times New Roman"/>
          <w:b/>
          <w:bCs/>
          <w:sz w:val="28"/>
          <w:szCs w:val="24"/>
        </w:rPr>
        <w:t xml:space="preserve">Manage </w:t>
      </w:r>
    </w:p>
    <w:p w14:paraId="56DC1B76" w14:textId="67E9FC89" w:rsidR="0008569F" w:rsidRPr="00C0604E" w:rsidRDefault="00B42BE6" w:rsidP="0008569F">
      <w:pPr>
        <w:shd w:val="clear" w:color="auto" w:fill="FFFFFF"/>
        <w:spacing w:after="100" w:afterAutospacing="1" w:line="240" w:lineRule="auto"/>
        <w:rPr>
          <w:rFonts w:ascii="Times New Roman" w:eastAsia="Times New Roman" w:hAnsi="Times New Roman" w:cs="Times New Roman"/>
          <w:bCs/>
          <w:sz w:val="24"/>
          <w:szCs w:val="24"/>
        </w:rPr>
      </w:pPr>
      <w:r w:rsidRPr="00C0604E">
        <w:rPr>
          <w:rFonts w:ascii="Times New Roman" w:hAnsi="Times New Roman" w:cs="Times New Roman"/>
          <w:bCs/>
          <w:sz w:val="24"/>
          <w:szCs w:val="24"/>
          <w:shd w:val="clear" w:color="auto" w:fill="FFFFFF"/>
        </w:rPr>
        <w:t>After successfully identifying the claim denial cause, the next step is to manage the denial and get reimbursed. The denial management team can undertake this process through the following steps: </w:t>
      </w:r>
    </w:p>
    <w:p w14:paraId="18A5D4B3" w14:textId="3576CDEF" w:rsidR="00BF5DAF"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 xml:space="preserve">Directly Routing Denials </w:t>
      </w:r>
    </w:p>
    <w:p w14:paraId="29C72071" w14:textId="0D2572ED"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first and foremost action is to expedite and organize the paperwork for denial-related data. This involves using automated tools to direct the denied transactions to worklists.</w:t>
      </w:r>
    </w:p>
    <w:p w14:paraId="70B6A671" w14:textId="68B066CF"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Sorting the Action</w:t>
      </w:r>
    </w:p>
    <w:p w14:paraId="5264EFBC" w14:textId="730E986F"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denial management team uses complicated and innovative software to organize their worklists by time, amount, reason, and other factors. This allows their work to become more efficient and streamlined than manual systems. </w:t>
      </w:r>
    </w:p>
    <w:p w14:paraId="11FAC3C0" w14:textId="7F8C0F07"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Developing Standardized Workflow</w:t>
      </w:r>
    </w:p>
    <w:p w14:paraId="61ADE4FC" w14:textId="77777777" w:rsidR="00B82991" w:rsidRPr="00B82991" w:rsidRDefault="00B82991" w:rsidP="00B82991">
      <w:pPr>
        <w:shd w:val="clear" w:color="auto" w:fill="FFFFFF"/>
        <w:spacing w:after="100" w:afterAutospacing="1" w:line="240" w:lineRule="auto"/>
        <w:rPr>
          <w:rFonts w:ascii="Times New Roman" w:eastAsia="Times New Roman" w:hAnsi="Times New Roman" w:cs="Times New Roman"/>
          <w:bCs/>
          <w:sz w:val="24"/>
          <w:szCs w:val="24"/>
        </w:rPr>
      </w:pPr>
      <w:r w:rsidRPr="00B82991">
        <w:rPr>
          <w:rFonts w:ascii="Times New Roman" w:eastAsia="Times New Roman" w:hAnsi="Times New Roman" w:cs="Times New Roman"/>
          <w:bCs/>
          <w:sz w:val="24"/>
          <w:szCs w:val="24"/>
        </w:rPr>
        <w:t>The third action involves developing a standard action for every claim denial type through:</w:t>
      </w:r>
    </w:p>
    <w:p w14:paraId="673693B3"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Rooting out the insurer’s most typical denial reason </w:t>
      </w:r>
    </w:p>
    <w:p w14:paraId="33CD3968"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lastRenderedPageBreak/>
        <w:t>Determining that denial’s most frequently used code </w:t>
      </w:r>
    </w:p>
    <w:p w14:paraId="63201C87"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Developing a strategic action plan that manages similar claim denials </w:t>
      </w:r>
    </w:p>
    <w:p w14:paraId="3B298657" w14:textId="6F561ECF" w:rsidR="00621E92" w:rsidRPr="00845785" w:rsidRDefault="00B82991"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Using a Checklists</w:t>
      </w:r>
    </w:p>
    <w:p w14:paraId="41B5F652" w14:textId="0BA2EC4A" w:rsidR="00B82991" w:rsidRDefault="00B82991" w:rsidP="00B82991">
      <w:pPr>
        <w:pStyle w:val="NormalWeb"/>
        <w:shd w:val="clear" w:color="auto" w:fill="FFFFFF"/>
        <w:spacing w:before="0" w:beforeAutospacing="0" w:after="300" w:afterAutospacing="0"/>
        <w:ind w:left="60"/>
        <w:rPr>
          <w:bCs/>
          <w:shd w:val="clear" w:color="auto" w:fill="FFFFFF"/>
        </w:rPr>
      </w:pPr>
      <w:r w:rsidRPr="00C0604E">
        <w:rPr>
          <w:bCs/>
          <w:shd w:val="clear" w:color="auto" w:fill="FFFFFF"/>
        </w:rPr>
        <w:t>Checklists can help systemize a denial management process by rendering it error-free. Developing simple do’s, and don’ts can allow your team to avoid typical mistakes that result in stagnant denials or uncollectible bad debts. </w:t>
      </w:r>
    </w:p>
    <w:p w14:paraId="044F7E45" w14:textId="0FC1D359" w:rsidR="000C79BD" w:rsidRPr="000C79BD" w:rsidRDefault="000C79BD" w:rsidP="000C79BD">
      <w:pPr>
        <w:pStyle w:val="NormalWeb"/>
        <w:numPr>
          <w:ilvl w:val="1"/>
          <w:numId w:val="8"/>
        </w:numPr>
        <w:shd w:val="clear" w:color="auto" w:fill="FFFFFF"/>
        <w:spacing w:before="0" w:beforeAutospacing="0" w:after="300" w:afterAutospacing="0"/>
        <w:rPr>
          <w:b/>
          <w:bCs/>
          <w:shd w:val="clear" w:color="auto" w:fill="FFFFFF"/>
        </w:rPr>
      </w:pPr>
      <w:r w:rsidRPr="000C79BD">
        <w:rPr>
          <w:b/>
          <w:bCs/>
          <w:shd w:val="clear" w:color="auto" w:fill="FFFFFF"/>
        </w:rPr>
        <w:t xml:space="preserve">Monitor </w:t>
      </w:r>
    </w:p>
    <w:p w14:paraId="1B5A9362" w14:textId="77777777" w:rsidR="000C79BD" w:rsidRPr="000C79BD" w:rsidRDefault="000C79BD" w:rsidP="000C79BD">
      <w:pPr>
        <w:pStyle w:val="NormalWeb"/>
        <w:shd w:val="clear" w:color="auto" w:fill="FFFFFF"/>
        <w:spacing w:before="0" w:beforeAutospacing="0"/>
        <w:rPr>
          <w:bCs/>
        </w:rPr>
      </w:pPr>
      <w:r w:rsidRPr="000C79BD">
        <w:rPr>
          <w:bCs/>
        </w:rPr>
        <w:t>This step in the </w:t>
      </w:r>
      <w:hyperlink r:id="rId32" w:history="1">
        <w:r w:rsidRPr="000C79BD">
          <w:rPr>
            <w:rStyle w:val="Hyperlink"/>
            <w:bCs/>
            <w:color w:val="auto"/>
            <w:u w:val="none"/>
          </w:rPr>
          <w:t>denial management</w:t>
        </w:r>
      </w:hyperlink>
      <w:r w:rsidRPr="000C79BD">
        <w:rPr>
          <w:bCs/>
        </w:rPr>
        <w:t> process is crucial to keep all aspects accurate and on track, allowing a seamless compensation of your claim this time. Monitoring involves stacking your denial record according to the received date, type, disposition, and date appealed. It is also important to audit the denial management team’s work by supervising and sampling their appeals. </w:t>
      </w:r>
    </w:p>
    <w:p w14:paraId="09705D6B" w14:textId="17661A18" w:rsidR="000C79BD" w:rsidRPr="000C79BD" w:rsidRDefault="000C79BD" w:rsidP="000C79BD">
      <w:pPr>
        <w:pStyle w:val="NormalWeb"/>
        <w:shd w:val="clear" w:color="auto" w:fill="FFFFFF"/>
        <w:spacing w:before="0" w:beforeAutospacing="0"/>
        <w:rPr>
          <w:bCs/>
        </w:rPr>
      </w:pPr>
      <w:r w:rsidRPr="000C79BD">
        <w:rPr>
          <w:bCs/>
        </w:rPr>
        <w:t>Lastly, monitoring involves ensuring that your team possesses suitable technologies and resources to perform the job effectively and promptly. This step-in claim denial management extends to the insurer to help your team understand every claim denial better. The objective may be to determine the number, time, source, and type of denial. This information can help your organization conduct internal dialogues with the insurer to decide more convenient ways of conducting business and decreasing future claim denials.   </w:t>
      </w:r>
    </w:p>
    <w:p w14:paraId="778E4D6F" w14:textId="4A5D246E" w:rsidR="000C79BD" w:rsidRPr="000C79BD" w:rsidRDefault="000C79BD" w:rsidP="000C79BD">
      <w:pPr>
        <w:pStyle w:val="NormalWeb"/>
        <w:numPr>
          <w:ilvl w:val="1"/>
          <w:numId w:val="8"/>
        </w:numPr>
        <w:shd w:val="clear" w:color="auto" w:fill="FFFFFF"/>
        <w:spacing w:before="0" w:beforeAutospacing="0"/>
        <w:rPr>
          <w:b/>
          <w:bCs/>
        </w:rPr>
      </w:pPr>
      <w:r w:rsidRPr="000C79BD">
        <w:rPr>
          <w:b/>
          <w:bCs/>
        </w:rPr>
        <w:t>Prevent</w:t>
      </w:r>
    </w:p>
    <w:p w14:paraId="1201A4AA"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After a denial management team gathers all the necessary information regarding the claim denial, the final and most crucial step is to start a prevention campaign. The most common step in this process is to go through the intricacies of your denials another time to identify all aspects where you need to retrain your staff, revise procedures, or manage workflows. </w:t>
      </w:r>
    </w:p>
    <w:p w14:paraId="6416BB76"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The denial management team also brings together different teams that played a part in the claim denial in one way or the other. For example, in the case of a registration-related denial, the team must bring together the front desk team and debrief them about the prevention program to ensure that they don’t commit errors that can lead to further claim denials. Some other claim denial categories a team should focus on including a lack of authorization, coding systems, and medical necessities.</w:t>
      </w:r>
    </w:p>
    <w:p w14:paraId="19D5A56C" w14:textId="0BA0FE67" w:rsidR="000C79BD" w:rsidRDefault="00131900" w:rsidP="00A56AB1">
      <w:pPr>
        <w:pStyle w:val="NormalWeb"/>
        <w:shd w:val="clear" w:color="auto" w:fill="FFFFFF"/>
        <w:spacing w:before="0" w:beforeAutospacing="0"/>
        <w:jc w:val="center"/>
        <w:rPr>
          <w:rFonts w:ascii="Poppins" w:hAnsi="Poppins"/>
          <w:b/>
          <w:sz w:val="32"/>
          <w:szCs w:val="32"/>
          <w:shd w:val="clear" w:color="auto" w:fill="FFFFFF"/>
        </w:rPr>
      </w:pPr>
      <w:r w:rsidRPr="00A56AB1">
        <w:rPr>
          <w:rFonts w:ascii="Poppins" w:hAnsi="Poppins"/>
          <w:b/>
          <w:sz w:val="32"/>
          <w:szCs w:val="32"/>
          <w:shd w:val="clear" w:color="auto" w:fill="FFFFFF"/>
        </w:rPr>
        <w:t xml:space="preserve">What is meant by Provider </w:t>
      </w:r>
      <w:r w:rsidR="00A56AB1" w:rsidRPr="00A56AB1">
        <w:rPr>
          <w:rFonts w:ascii="Poppins" w:hAnsi="Poppins"/>
          <w:b/>
          <w:sz w:val="32"/>
          <w:szCs w:val="32"/>
          <w:shd w:val="clear" w:color="auto" w:fill="FFFFFF"/>
        </w:rPr>
        <w:t>Notes?</w:t>
      </w:r>
    </w:p>
    <w:p w14:paraId="6867E851" w14:textId="1F816B1E"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In US healthcare, provider notes refer to the written documentation created by healthcare providers (such as physicians, nurses, and other clinicians) during patient encounters. These notes are a critical part of a patient's medical record and provide a detailed account of the patient's medical history, examination findings, diagnoses, treatment plans, and other relevant information.</w:t>
      </w:r>
    </w:p>
    <w:p w14:paraId="75486CD3" w14:textId="77777777"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Provider notes can be created in a variety of formats, including electronic health records (EHRs), paper charts, and dictated or transcribed reports. They typically include information such as:</w:t>
      </w:r>
    </w:p>
    <w:p w14:paraId="7683CF17" w14:textId="77777777" w:rsidR="00A56AB1" w:rsidRPr="00A56AB1" w:rsidRDefault="00A56AB1" w:rsidP="00A56AB1">
      <w:pPr>
        <w:pStyle w:val="NormalWeb"/>
        <w:shd w:val="clear" w:color="auto" w:fill="FFFFFF"/>
        <w:rPr>
          <w:szCs w:val="32"/>
          <w:shd w:val="clear" w:color="auto" w:fill="FFFFFF"/>
        </w:rPr>
      </w:pPr>
    </w:p>
    <w:p w14:paraId="39AC89A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Patient demographics (name, age, sex, etc.)</w:t>
      </w:r>
    </w:p>
    <w:p w14:paraId="2B2AE0C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Reason for the visit</w:t>
      </w:r>
    </w:p>
    <w:p w14:paraId="26FF1DB2"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Medical history</w:t>
      </w:r>
    </w:p>
    <w:p w14:paraId="24230DD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Physical examination findings</w:t>
      </w:r>
    </w:p>
    <w:p w14:paraId="6FD75C6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Diagnostic test results</w:t>
      </w:r>
    </w:p>
    <w:p w14:paraId="33FFDC9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Diagnoses</w:t>
      </w:r>
    </w:p>
    <w:p w14:paraId="79BD6CB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Treatment plans</w:t>
      </w:r>
    </w:p>
    <w:p w14:paraId="73013BC4"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Medications prescribed</w:t>
      </w:r>
    </w:p>
    <w:p w14:paraId="115EB588"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Follow-up instructions</w:t>
      </w:r>
    </w:p>
    <w:p w14:paraId="3A4C6E97" w14:textId="0D667F3E" w:rsidR="00A56AB1" w:rsidRDefault="00A56AB1" w:rsidP="00A56AB1">
      <w:pPr>
        <w:pStyle w:val="NormalWeb"/>
        <w:shd w:val="clear" w:color="auto" w:fill="FFFFFF"/>
        <w:spacing w:before="0" w:beforeAutospacing="0"/>
        <w:rPr>
          <w:szCs w:val="32"/>
          <w:shd w:val="clear" w:color="auto" w:fill="FFFFFF"/>
        </w:rPr>
      </w:pPr>
      <w:r w:rsidRPr="00A56AB1">
        <w:rPr>
          <w:szCs w:val="32"/>
          <w:shd w:val="clear" w:color="auto" w:fill="FFFFFF"/>
        </w:rPr>
        <w:t>Provider notes are used by healthcare providers to document their assessments and treatments of patients, and they also serve as a communication tool among different providers involved in a patient's care. They are also used for billing and coding purposes to ensure that the services provided are accurately documented and billed.</w:t>
      </w:r>
    </w:p>
    <w:p w14:paraId="302C1503" w14:textId="1DDA4B9A" w:rsidR="00E942DE" w:rsidRPr="0074087C" w:rsidRDefault="00E942DE" w:rsidP="0074087C">
      <w:pPr>
        <w:pStyle w:val="NormalWeb"/>
        <w:shd w:val="clear" w:color="auto" w:fill="FFFFFF"/>
        <w:spacing w:before="0" w:beforeAutospacing="0"/>
        <w:rPr>
          <w:b/>
          <w:sz w:val="32"/>
          <w:szCs w:val="32"/>
          <w:shd w:val="clear" w:color="auto" w:fill="FFFFFF"/>
        </w:rPr>
      </w:pPr>
      <w:r w:rsidRPr="0074087C">
        <w:rPr>
          <w:b/>
          <w:sz w:val="32"/>
          <w:szCs w:val="32"/>
          <w:shd w:val="clear" w:color="auto" w:fill="FFFFFF"/>
        </w:rPr>
        <w:t>What is meant by Closing of Accounts in Billing Revenue Cycle</w:t>
      </w:r>
      <w:r w:rsidR="0074087C" w:rsidRPr="0074087C">
        <w:rPr>
          <w:b/>
          <w:sz w:val="32"/>
          <w:szCs w:val="32"/>
          <w:shd w:val="clear" w:color="auto" w:fill="FFFFFF"/>
        </w:rPr>
        <w:t>?</w:t>
      </w:r>
    </w:p>
    <w:p w14:paraId="020CAFF0" w14:textId="058D5F91"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In the billing revenue cycle, closing accounts refers to the final step in the process of billing and collecting payment for healthcare services rendered to patients. It involves completing all outstanding claims, resolving any issues or disputes, and closing out the account by reconciling all payments and outstanding balances.</w:t>
      </w:r>
    </w:p>
    <w:p w14:paraId="3DDCA415" w14:textId="1B97FDF8"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The process of closing accounts typically involves several steps, including:</w:t>
      </w:r>
    </w:p>
    <w:p w14:paraId="20B7CFAF" w14:textId="30F6C0BA"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Reviewing outstanding claims</w:t>
      </w:r>
      <w:r w:rsidRPr="0074087C">
        <w:rPr>
          <w:szCs w:val="32"/>
          <w:shd w:val="clear" w:color="auto" w:fill="FFFFFF"/>
        </w:rPr>
        <w:t>: The billing staff reviews all outstanding claims to ensure that they have been submitted and processed correctly. Any issues or errors are identified and corrected to prevent further delays in payment.</w:t>
      </w:r>
    </w:p>
    <w:p w14:paraId="18E671F6" w14:textId="054C6ACD"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Resolving denials and appeals:</w:t>
      </w:r>
      <w:r w:rsidRPr="0074087C">
        <w:rPr>
          <w:szCs w:val="32"/>
          <w:shd w:val="clear" w:color="auto" w:fill="FFFFFF"/>
        </w:rPr>
        <w:t xml:space="preserve"> Any denials or appeals that are still pending are addressed, and any necessary documentation or information is submitted to the payer to support the claim.</w:t>
      </w:r>
    </w:p>
    <w:p w14:paraId="557432EF" w14:textId="76CA8074"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Collecting payments:</w:t>
      </w:r>
      <w:r w:rsidRPr="0074087C">
        <w:rPr>
          <w:szCs w:val="32"/>
          <w:shd w:val="clear" w:color="auto" w:fill="FFFFFF"/>
        </w:rPr>
        <w:t xml:space="preserve"> The billing staff reviews all payments received from payers and patients and reconciles them against the outstanding balances on the account. Any discrepancies are identified and resolved.</w:t>
      </w:r>
    </w:p>
    <w:p w14:paraId="633E1A8D" w14:textId="51AED561"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Adjusting balances:</w:t>
      </w:r>
      <w:r w:rsidRPr="0074087C">
        <w:rPr>
          <w:szCs w:val="32"/>
          <w:shd w:val="clear" w:color="auto" w:fill="FFFFFF"/>
        </w:rPr>
        <w:t xml:space="preserve"> Any adjustments to the account balance are made, including write-offs for uncollectible amounts and adjustments for contractual allowances or discounts.</w:t>
      </w:r>
    </w:p>
    <w:p w14:paraId="2DEB417C" w14:textId="3B3CD22A"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Closing the account:</w:t>
      </w:r>
      <w:r w:rsidRPr="0074087C">
        <w:rPr>
          <w:szCs w:val="32"/>
          <w:shd w:val="clear" w:color="auto" w:fill="FFFFFF"/>
        </w:rPr>
        <w:t xml:space="preserve"> Once all outstanding claims have been paid or resolved, and the account balance has been adjusted, the account is closed out, and the patient's file is archived.</w:t>
      </w:r>
    </w:p>
    <w:p w14:paraId="732C0732" w14:textId="04046783" w:rsidR="0074087C" w:rsidRPr="0074087C" w:rsidRDefault="0074087C" w:rsidP="0074087C">
      <w:pPr>
        <w:pStyle w:val="NormalWeb"/>
        <w:shd w:val="clear" w:color="auto" w:fill="FFFFFF"/>
        <w:spacing w:before="0" w:beforeAutospacing="0"/>
        <w:rPr>
          <w:b/>
          <w:szCs w:val="32"/>
          <w:shd w:val="clear" w:color="auto" w:fill="FFFFFF"/>
        </w:rPr>
      </w:pPr>
      <w:r w:rsidRPr="0074087C">
        <w:rPr>
          <w:b/>
          <w:szCs w:val="32"/>
          <w:shd w:val="clear" w:color="auto" w:fill="FFFFFF"/>
        </w:rPr>
        <w:t>Conclusion</w:t>
      </w:r>
    </w:p>
    <w:p w14:paraId="05B66B1C" w14:textId="3803B56D" w:rsidR="0074087C" w:rsidRPr="0074087C" w:rsidRDefault="0074087C" w:rsidP="0074087C">
      <w:pPr>
        <w:pStyle w:val="NormalWeb"/>
        <w:shd w:val="clear" w:color="auto" w:fill="FFFFFF"/>
        <w:spacing w:before="0" w:beforeAutospacing="0"/>
        <w:rPr>
          <w:szCs w:val="32"/>
          <w:shd w:val="clear" w:color="auto" w:fill="FFFFFF"/>
        </w:rPr>
      </w:pPr>
      <w:r w:rsidRPr="0074087C">
        <w:rPr>
          <w:szCs w:val="32"/>
          <w:shd w:val="clear" w:color="auto" w:fill="FFFFFF"/>
        </w:rPr>
        <w:t>Closing accounts is a critical part of the billing revenue cycle, as it ensures that all payments have been collected, and all claims have been processed and resolved. It also helps healthcare providers maintain accurate financial records and comply with regulatory requirements.</w:t>
      </w:r>
    </w:p>
    <w:p w14:paraId="7A2DB553" w14:textId="594D4E01" w:rsidR="002B09EB" w:rsidRPr="00C0604E" w:rsidRDefault="00BF5DAF" w:rsidP="002B09EB">
      <w:pPr>
        <w:pStyle w:val="NormalWeb"/>
        <w:shd w:val="clear" w:color="auto" w:fill="FFFFFF"/>
        <w:spacing w:before="0" w:beforeAutospacing="0" w:after="300" w:afterAutospacing="0"/>
        <w:jc w:val="center"/>
        <w:rPr>
          <w:b/>
          <w:sz w:val="32"/>
        </w:rPr>
      </w:pPr>
      <w:r w:rsidRPr="00C0604E">
        <w:rPr>
          <w:b/>
          <w:bCs/>
          <w:color w:val="444444"/>
          <w:sz w:val="27"/>
          <w:szCs w:val="27"/>
          <w:shd w:val="clear" w:color="auto" w:fill="FFFFFF"/>
        </w:rPr>
        <w:lastRenderedPageBreak/>
        <w:t> </w:t>
      </w:r>
      <w:r w:rsidR="002B09EB" w:rsidRPr="00C0604E">
        <w:rPr>
          <w:b/>
          <w:sz w:val="32"/>
        </w:rPr>
        <w:t>Centers for Medicare and Medicaid Services (CMS)</w:t>
      </w:r>
    </w:p>
    <w:p w14:paraId="0AB916C5" w14:textId="24ECE775" w:rsidR="002B09EB" w:rsidRPr="00C0604E" w:rsidRDefault="002B09EB" w:rsidP="002B09EB">
      <w:pPr>
        <w:pStyle w:val="NormalWeb"/>
        <w:shd w:val="clear" w:color="auto" w:fill="FFFFFF"/>
        <w:spacing w:before="0" w:beforeAutospacing="0" w:after="300" w:afterAutospacing="0"/>
        <w:jc w:val="both"/>
      </w:pPr>
      <w:r w:rsidRPr="00C0604E">
        <w:t>The Centers for Medicare and Medicaid Services (CMS) is a federal agency that provides health insurance coverage to Americans via Medicare and works with state governments to provide insurance through Medicaid and </w:t>
      </w:r>
      <w:hyperlink r:id="rId33" w:history="1">
        <w:r w:rsidRPr="00C0604E">
          <w:rPr>
            <w:rStyle w:val="Hyperlink"/>
            <w:b/>
            <w:bCs/>
            <w:color w:val="auto"/>
            <w:u w:val="none"/>
            <w:bdr w:val="none" w:sz="0" w:space="0" w:color="auto" w:frame="1"/>
          </w:rPr>
          <w:t>CHIP</w:t>
        </w:r>
      </w:hyperlink>
      <w:r w:rsidRPr="00C0604E">
        <w:t>. CMS is also responsible for overseeing HIPAA administration, quality standards in </w:t>
      </w:r>
      <w:hyperlink r:id="rId34" w:history="1">
        <w:r w:rsidRPr="00C0604E">
          <w:rPr>
            <w:rStyle w:val="Hyperlink"/>
            <w:b/>
            <w:bCs/>
            <w:color w:val="auto"/>
            <w:u w:val="none"/>
            <w:bdr w:val="none" w:sz="0" w:space="0" w:color="auto" w:frame="1"/>
          </w:rPr>
          <w:t>long-term care facilities</w:t>
        </w:r>
      </w:hyperlink>
      <w:r w:rsidRPr="00C0604E">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AA0A64">
      <w:pPr>
        <w:pStyle w:val="ListParagraph"/>
        <w:numPr>
          <w:ilvl w:val="0"/>
          <w:numId w:val="2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Traumatic injury</w:t>
      </w:r>
    </w:p>
    <w:p w14:paraId="53616FD3" w14:textId="12C0A981"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5"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6"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stay in a long-term care hospital</w:t>
      </w:r>
    </w:p>
    <w:p w14:paraId="24304D9A"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7"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8"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AA0A64">
      <w:pPr>
        <w:numPr>
          <w:ilvl w:val="0"/>
          <w:numId w:val="40"/>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1C7F907C"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39"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40"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AA0A64">
      <w:pPr>
        <w:pStyle w:val="ListParagraph"/>
        <w:numPr>
          <w:ilvl w:val="1"/>
          <w:numId w:val="59"/>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000000" w:rsidP="00AA0A64">
      <w:pPr>
        <w:numPr>
          <w:ilvl w:val="0"/>
          <w:numId w:val="35"/>
        </w:numPr>
        <w:spacing w:before="100" w:beforeAutospacing="1" w:after="120" w:line="390" w:lineRule="atLeast"/>
        <w:rPr>
          <w:rFonts w:ascii="Times New Roman" w:hAnsi="Times New Roman" w:cs="Times New Roman"/>
          <w:sz w:val="24"/>
          <w:szCs w:val="24"/>
        </w:rPr>
      </w:pPr>
      <w:hyperlink r:id="rId41"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000000" w:rsidP="00AA0A64">
      <w:pPr>
        <w:numPr>
          <w:ilvl w:val="0"/>
          <w:numId w:val="35"/>
        </w:numPr>
        <w:spacing w:before="100" w:beforeAutospacing="1" w:after="120" w:line="390" w:lineRule="atLeast"/>
        <w:rPr>
          <w:rFonts w:ascii="Times New Roman" w:hAnsi="Times New Roman" w:cs="Times New Roman"/>
          <w:sz w:val="24"/>
          <w:szCs w:val="24"/>
        </w:rPr>
      </w:pPr>
      <w:hyperlink r:id="rId42"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3"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4"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AA0A64">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5"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6"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7"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000000" w:rsidP="00AA0A64">
      <w:pPr>
        <w:numPr>
          <w:ilvl w:val="0"/>
          <w:numId w:val="37"/>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000000" w:rsidP="00AA0A64">
      <w:pPr>
        <w:numPr>
          <w:ilvl w:val="0"/>
          <w:numId w:val="37"/>
        </w:numPr>
        <w:spacing w:before="100" w:beforeAutospacing="1" w:after="120" w:line="390" w:lineRule="atLeast"/>
        <w:rPr>
          <w:rFonts w:ascii="Times New Roman" w:hAnsi="Times New Roman" w:cs="Times New Roman"/>
          <w:sz w:val="24"/>
          <w:szCs w:val="24"/>
        </w:rPr>
      </w:pPr>
      <w:hyperlink r:id="rId49"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000000" w:rsidP="00AA0A64">
      <w:pPr>
        <w:numPr>
          <w:ilvl w:val="0"/>
          <w:numId w:val="37"/>
        </w:numPr>
        <w:spacing w:before="100" w:beforeAutospacing="1" w:after="120" w:line="390" w:lineRule="atLeast"/>
        <w:rPr>
          <w:rFonts w:ascii="Times New Roman" w:hAnsi="Times New Roman" w:cs="Times New Roman"/>
          <w:sz w:val="24"/>
          <w:szCs w:val="24"/>
        </w:rPr>
      </w:pPr>
      <w:hyperlink r:id="rId50"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000000" w:rsidP="00AA0A64">
      <w:pPr>
        <w:numPr>
          <w:ilvl w:val="0"/>
          <w:numId w:val="37"/>
        </w:numPr>
        <w:spacing w:before="100" w:beforeAutospacing="1" w:after="120" w:line="390" w:lineRule="atLeast"/>
        <w:rPr>
          <w:rFonts w:ascii="Times New Roman" w:hAnsi="Times New Roman" w:cs="Times New Roman"/>
          <w:sz w:val="24"/>
          <w:szCs w:val="24"/>
        </w:rPr>
      </w:pPr>
      <w:hyperlink r:id="rId51"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2"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AA0A64">
      <w:pPr>
        <w:numPr>
          <w:ilvl w:val="0"/>
          <w:numId w:val="41"/>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74087C">
      <w:pPr>
        <w:pStyle w:val="ListParagraph"/>
        <w:numPr>
          <w:ilvl w:val="1"/>
          <w:numId w:val="72"/>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000000" w:rsidP="00AA0A64">
      <w:pPr>
        <w:numPr>
          <w:ilvl w:val="0"/>
          <w:numId w:val="42"/>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4"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000000" w:rsidP="00AA0A64">
      <w:pPr>
        <w:numPr>
          <w:ilvl w:val="0"/>
          <w:numId w:val="42"/>
        </w:numPr>
        <w:spacing w:before="100" w:beforeAutospacing="1" w:after="120" w:line="390" w:lineRule="atLeast"/>
        <w:rPr>
          <w:rFonts w:ascii="Times New Roman" w:hAnsi="Times New Roman" w:cs="Times New Roman"/>
          <w:sz w:val="24"/>
          <w:szCs w:val="24"/>
        </w:rPr>
      </w:pPr>
      <w:hyperlink r:id="rId55"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AA0A64">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000000" w:rsidP="00AA0A64">
      <w:pPr>
        <w:numPr>
          <w:ilvl w:val="0"/>
          <w:numId w:val="42"/>
        </w:numPr>
        <w:spacing w:before="100" w:beforeAutospacing="1" w:after="120" w:line="390" w:lineRule="atLeast"/>
        <w:rPr>
          <w:rFonts w:ascii="Times New Roman" w:hAnsi="Times New Roman" w:cs="Times New Roman"/>
          <w:sz w:val="24"/>
          <w:szCs w:val="24"/>
        </w:rPr>
      </w:pPr>
      <w:hyperlink r:id="rId56"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signs of </w:t>
      </w:r>
      <w:hyperlink r:id="rId57"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74087C">
      <w:pPr>
        <w:pStyle w:val="ListParagraph"/>
        <w:numPr>
          <w:ilvl w:val="1"/>
          <w:numId w:val="72"/>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AA0A64">
      <w:pPr>
        <w:pStyle w:val="ListParagraph"/>
        <w:numPr>
          <w:ilvl w:val="0"/>
          <w:numId w:val="44"/>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lastRenderedPageBreak/>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lastRenderedPageBreak/>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DA759FE" w14:textId="5BBA3D8F" w:rsidR="00457354" w:rsidRPr="00A37AB1" w:rsidRDefault="00457354"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1033E266" w:rsidR="000279B1" w:rsidRPr="001D144D" w:rsidRDefault="007266C5" w:rsidP="007266C5">
      <w:pPr>
        <w:spacing w:before="100" w:beforeAutospacing="1" w:after="100" w:afterAutospacing="1" w:line="240" w:lineRule="auto"/>
        <w:textAlignment w:val="baseline"/>
        <w:rPr>
          <w:rFonts w:ascii="Times New Roman" w:hAnsi="Times New Roman" w:cs="Times New Roman"/>
          <w:b/>
          <w:bCs/>
          <w:sz w:val="28"/>
          <w:szCs w:val="28"/>
          <w:shd w:val="clear" w:color="auto" w:fill="FFFFFF"/>
        </w:rPr>
      </w:pPr>
      <w:r w:rsidRPr="001D144D">
        <w:rPr>
          <w:rFonts w:ascii="Times New Roman" w:hAnsi="Times New Roman" w:cs="Times New Roman"/>
          <w:b/>
          <w:bCs/>
          <w:sz w:val="28"/>
          <w:szCs w:val="28"/>
          <w:shd w:val="clear" w:color="auto" w:fill="FFFFFF"/>
        </w:rPr>
        <w:lastRenderedPageBreak/>
        <w:t>What is CLIA?</w:t>
      </w:r>
    </w:p>
    <w:p w14:paraId="10B3A59F" w14:textId="3FC3657C" w:rsidR="007266C5" w:rsidRP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CLIA stands for Clinical Laboratory Improvement Amendments. These are federal regulations established in 1988 in the United States that set standards for laboratory testing to ensure the accuracy, reliability, and timeliness of patient test results.</w:t>
      </w:r>
    </w:p>
    <w:p w14:paraId="318128AA" w14:textId="46190BA8" w:rsid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Under CLIA, all clinical laboratories in the United States that test human specimens for health assessment or to diagnose, prevent, or treat disease must meet certain quality standards. The CLIA program is administered by the Centers for Medicare &amp; Medicaid Services (CMS) in partnership with the Centers for Disease Control and Prevention (CDC) and the Food and Drug Administration (FDA).</w:t>
      </w:r>
    </w:p>
    <w:p w14:paraId="49E0FC0E" w14:textId="45A5E9B9" w:rsidR="007266C5" w:rsidRPr="001D144D" w:rsidRDefault="007266C5" w:rsidP="007266C5">
      <w:pPr>
        <w:spacing w:before="100" w:beforeAutospacing="1" w:after="100" w:afterAutospacing="1" w:line="240" w:lineRule="auto"/>
        <w:textAlignment w:val="baseline"/>
        <w:rPr>
          <w:rFonts w:ascii="Times New Roman" w:hAnsi="Times New Roman" w:cs="Times New Roman"/>
          <w:b/>
          <w:bCs/>
          <w:sz w:val="32"/>
          <w:szCs w:val="32"/>
          <w:shd w:val="clear" w:color="auto" w:fill="FFFFFF"/>
        </w:rPr>
      </w:pPr>
      <w:r w:rsidRPr="001D144D">
        <w:rPr>
          <w:rFonts w:ascii="Times New Roman" w:hAnsi="Times New Roman" w:cs="Times New Roman"/>
          <w:b/>
          <w:bCs/>
          <w:sz w:val="28"/>
          <w:szCs w:val="28"/>
          <w:shd w:val="clear" w:color="auto" w:fill="FFFFFF"/>
        </w:rPr>
        <w:t>What is CLIA Quality Requirement?</w:t>
      </w:r>
    </w:p>
    <w:p w14:paraId="4BD99C3F" w14:textId="1C7A7E99" w:rsidR="007266C5" w:rsidRP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CLIA Quality Requirements are a set of standards that laboratories in the United States must meet to ensure the accuracy, reliability, and timeliness of patient test results. These requirements are established under the Clinical Laboratory Improvement Amendments (CLIA) of 1988, which are federal regulations that set standards for laboratory testing.</w:t>
      </w:r>
    </w:p>
    <w:p w14:paraId="5A2B5BEA" w14:textId="22578688" w:rsidR="007266C5" w:rsidRP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There are several components to the CLIA Quality Requirements, including:</w:t>
      </w:r>
    </w:p>
    <w:p w14:paraId="4E81A95C" w14:textId="2BFD63B3" w:rsidR="007266C5" w:rsidRPr="007266C5" w:rsidRDefault="007266C5" w:rsidP="007266C5">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Personnel Qualifications:</w:t>
      </w:r>
      <w:r w:rsidRPr="007266C5">
        <w:rPr>
          <w:rFonts w:ascii="Times New Roman" w:hAnsi="Times New Roman" w:cs="Times New Roman"/>
          <w:sz w:val="24"/>
          <w:szCs w:val="24"/>
          <w:shd w:val="clear" w:color="auto" w:fill="FFFFFF"/>
        </w:rPr>
        <w:t xml:space="preserve"> Laboratories must employ personnel who are qualified to perform the tests and interpret the results. The personnel must have the appropriate education, training, and experience for the type of testing being performed.</w:t>
      </w:r>
    </w:p>
    <w:p w14:paraId="60265A5E" w14:textId="7EB42CB8" w:rsidR="007266C5" w:rsidRPr="007266C5" w:rsidRDefault="007266C5" w:rsidP="007266C5">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Quality Control:</w:t>
      </w:r>
      <w:r w:rsidRPr="007266C5">
        <w:rPr>
          <w:rFonts w:ascii="Times New Roman" w:hAnsi="Times New Roman" w:cs="Times New Roman"/>
          <w:sz w:val="24"/>
          <w:szCs w:val="24"/>
          <w:shd w:val="clear" w:color="auto" w:fill="FFFFFF"/>
        </w:rPr>
        <w:t xml:space="preserve"> Laboratories must establish and maintain a quality control program to ensure that the tests are accurate and reliable. This includes monitoring the performance of instruments, reagents, and other materials used in the testing process.</w:t>
      </w:r>
    </w:p>
    <w:p w14:paraId="6A4E9E32" w14:textId="03C9EA48" w:rsidR="007266C5" w:rsidRPr="007266C5" w:rsidRDefault="007266C5" w:rsidP="007266C5">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Proficiency Testing:</w:t>
      </w:r>
      <w:r w:rsidRPr="007266C5">
        <w:rPr>
          <w:rFonts w:ascii="Times New Roman" w:hAnsi="Times New Roman" w:cs="Times New Roman"/>
          <w:sz w:val="24"/>
          <w:szCs w:val="24"/>
          <w:shd w:val="clear" w:color="auto" w:fill="FFFFFF"/>
        </w:rPr>
        <w:t xml:space="preserve"> Laboratories must participate in proficiency testing programs to assess their performance and ensure that the tests are accurate and reliable. Proficiency testing involves testing samples provided by an external organization and comparing the laboratory's results to the expected results.</w:t>
      </w:r>
    </w:p>
    <w:p w14:paraId="610DF6E7" w14:textId="18913A4C" w:rsidR="007266C5" w:rsidRPr="007266C5" w:rsidRDefault="007266C5" w:rsidP="007266C5">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Quality Assurance:</w:t>
      </w:r>
      <w:r w:rsidRPr="007266C5">
        <w:rPr>
          <w:rFonts w:ascii="Times New Roman" w:hAnsi="Times New Roman" w:cs="Times New Roman"/>
          <w:sz w:val="24"/>
          <w:szCs w:val="24"/>
          <w:shd w:val="clear" w:color="auto" w:fill="FFFFFF"/>
        </w:rPr>
        <w:t xml:space="preserve"> Laboratories must establish and maintain a quality assurance program to monitor and evaluate the overall quality of the testing process. This includes monitoring the performance of personnel, instruments, and reagents, as well as ensuring that the laboratory's policies and procedures are being followed.</w:t>
      </w:r>
    </w:p>
    <w:p w14:paraId="18DC0925" w14:textId="0E330635" w:rsidR="007266C5" w:rsidRPr="001D144D" w:rsidRDefault="007266C5" w:rsidP="007266C5">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Record Keeping:</w:t>
      </w:r>
      <w:r w:rsidRPr="007266C5">
        <w:rPr>
          <w:rFonts w:ascii="Times New Roman" w:hAnsi="Times New Roman" w:cs="Times New Roman"/>
          <w:sz w:val="24"/>
          <w:szCs w:val="24"/>
          <w:shd w:val="clear" w:color="auto" w:fill="FFFFFF"/>
        </w:rPr>
        <w:t xml:space="preserve"> Laboratories must maintain accurate and complete records of all testing performed, including the results of proficiency testing, quality control, and quality assurance activities.</w:t>
      </w:r>
    </w:p>
    <w:p w14:paraId="09043D12" w14:textId="6C4B3699" w:rsidR="007266C5" w:rsidRP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By meeting these CLIA Quality Requirements, laboratories can ensure that their test results are accurate, reliable, and timely, which is essential for providing high-quality patient care.</w:t>
      </w:r>
    </w:p>
    <w:p w14:paraId="7646D807" w14:textId="77777777" w:rsidR="007266C5" w:rsidRPr="007266C5" w:rsidRDefault="007266C5" w:rsidP="007266C5">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5681CEFB" w:rsidR="00457354"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CEE6812" w14:textId="711B622A" w:rsidR="001D144D" w:rsidRDefault="001D144D"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291C71D" w14:textId="047D9121" w:rsidR="001D144D" w:rsidRPr="001D144D" w:rsidRDefault="001D144D" w:rsidP="00457354">
      <w:pPr>
        <w:spacing w:before="100" w:beforeAutospacing="1" w:after="100" w:afterAutospacing="1" w:line="240" w:lineRule="auto"/>
        <w:textAlignment w:val="baseline"/>
        <w:rPr>
          <w:rFonts w:ascii="Times New Roman" w:hAnsi="Times New Roman" w:cs="Times New Roman"/>
          <w:b/>
          <w:bCs/>
          <w:sz w:val="28"/>
          <w:szCs w:val="28"/>
        </w:rPr>
      </w:pPr>
      <w:r w:rsidRPr="001D144D">
        <w:rPr>
          <w:rFonts w:ascii="Times New Roman" w:hAnsi="Times New Roman" w:cs="Times New Roman"/>
          <w:b/>
          <w:bCs/>
          <w:sz w:val="28"/>
          <w:szCs w:val="28"/>
        </w:rPr>
        <w:lastRenderedPageBreak/>
        <w:t>What is CLIA Number?</w:t>
      </w:r>
    </w:p>
    <w:p w14:paraId="257A936D" w14:textId="2AC81C96" w:rsidR="001D144D" w:rsidRPr="001D144D" w:rsidRDefault="001D144D" w:rsidP="001D144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A CLIA number is a unique identifier assigned by the Centers for Medicare &amp; Medicaid Services (CMS) to a laboratory that meets the requirements of the Clinical Laboratory Improvement Amendments (CLIA) of 1988. The CLIA number is used to track and identify laboratories that perform testing on human specimens for health assessment or to diagnose, prevent, or treat disease.</w:t>
      </w:r>
    </w:p>
    <w:p w14:paraId="6A768008" w14:textId="77777777" w:rsidR="001D144D" w:rsidRPr="001D144D" w:rsidRDefault="001D144D" w:rsidP="001D144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CLIA number is a ten-digit number that is assigned to a laboratory when it applies for certification under CLIA. The number is composed of three parts:</w:t>
      </w:r>
    </w:p>
    <w:p w14:paraId="7433FF28" w14:textId="59FD7B4F" w:rsidR="001D144D" w:rsidRPr="001D144D" w:rsidRDefault="001D144D" w:rsidP="001D144D">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first two digits represent the state in which the laboratory is located.</w:t>
      </w:r>
    </w:p>
    <w:p w14:paraId="244F55AB" w14:textId="6C707737" w:rsidR="001D144D" w:rsidRPr="001D144D" w:rsidRDefault="001D144D" w:rsidP="001D144D">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next two digits represent the type of laboratory, such as a physician office laboratory (POL), independent laboratory, or hospital laboratory.</w:t>
      </w:r>
    </w:p>
    <w:p w14:paraId="12964B01" w14:textId="6E8D5843" w:rsidR="001D144D" w:rsidRDefault="001D144D" w:rsidP="001D144D">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final six digits are unique to the laboratory and are assigned by CMS.</w:t>
      </w:r>
    </w:p>
    <w:p w14:paraId="65EF42BD" w14:textId="38A7D286" w:rsidR="00552905" w:rsidRPr="00552905" w:rsidRDefault="00552905" w:rsidP="00552905">
      <w:pPr>
        <w:spacing w:before="100" w:beforeAutospacing="1" w:after="100" w:afterAutospacing="1" w:line="240" w:lineRule="auto"/>
        <w:jc w:val="center"/>
        <w:textAlignment w:val="baseline"/>
        <w:rPr>
          <w:rFonts w:ascii="Times New Roman" w:hAnsi="Times New Roman" w:cs="Times New Roman"/>
          <w:b/>
          <w:bCs/>
          <w:sz w:val="32"/>
          <w:szCs w:val="32"/>
          <w:shd w:val="clear" w:color="auto" w:fill="FFFFFF"/>
        </w:rPr>
      </w:pPr>
      <w:r w:rsidRPr="00552905">
        <w:rPr>
          <w:rFonts w:ascii="Times New Roman" w:hAnsi="Times New Roman" w:cs="Times New Roman"/>
          <w:b/>
          <w:bCs/>
          <w:sz w:val="32"/>
          <w:szCs w:val="32"/>
          <w:shd w:val="clear" w:color="auto" w:fill="FFFFFF"/>
        </w:rPr>
        <w:t>W</w:t>
      </w:r>
      <w:r w:rsidRPr="00552905">
        <w:rPr>
          <w:rFonts w:ascii="Times New Roman" w:hAnsi="Times New Roman" w:cs="Times New Roman"/>
          <w:b/>
          <w:bCs/>
          <w:sz w:val="32"/>
          <w:szCs w:val="32"/>
          <w:shd w:val="clear" w:color="auto" w:fill="FFFFFF"/>
        </w:rPr>
        <w:t xml:space="preserve">hat are </w:t>
      </w:r>
      <w:r w:rsidRPr="00552905">
        <w:rPr>
          <w:rFonts w:ascii="Times New Roman" w:hAnsi="Times New Roman" w:cs="Times New Roman"/>
          <w:b/>
          <w:bCs/>
          <w:sz w:val="32"/>
          <w:szCs w:val="32"/>
          <w:shd w:val="clear" w:color="auto" w:fill="FFFFFF"/>
        </w:rPr>
        <w:t>C</w:t>
      </w:r>
      <w:r w:rsidRPr="00552905">
        <w:rPr>
          <w:rFonts w:ascii="Times New Roman" w:hAnsi="Times New Roman" w:cs="Times New Roman"/>
          <w:b/>
          <w:bCs/>
          <w:sz w:val="32"/>
          <w:szCs w:val="32"/>
          <w:shd w:val="clear" w:color="auto" w:fill="FFFFFF"/>
        </w:rPr>
        <w:t xml:space="preserve">laim </w:t>
      </w:r>
      <w:r w:rsidRPr="00552905">
        <w:rPr>
          <w:rFonts w:ascii="Times New Roman" w:hAnsi="Times New Roman" w:cs="Times New Roman"/>
          <w:b/>
          <w:bCs/>
          <w:sz w:val="32"/>
          <w:szCs w:val="32"/>
          <w:shd w:val="clear" w:color="auto" w:fill="FFFFFF"/>
        </w:rPr>
        <w:t>S</w:t>
      </w:r>
      <w:r w:rsidRPr="00552905">
        <w:rPr>
          <w:rFonts w:ascii="Times New Roman" w:hAnsi="Times New Roman" w:cs="Times New Roman"/>
          <w:b/>
          <w:bCs/>
          <w:sz w:val="32"/>
          <w:szCs w:val="32"/>
          <w:shd w:val="clear" w:color="auto" w:fill="FFFFFF"/>
        </w:rPr>
        <w:t>tatuses in medical billing?</w:t>
      </w:r>
    </w:p>
    <w:p w14:paraId="0B4FEC8B" w14:textId="194429D6" w:rsidR="00552905" w:rsidRPr="00552905" w:rsidRDefault="00552905" w:rsidP="0055290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sz w:val="24"/>
          <w:szCs w:val="24"/>
          <w:shd w:val="clear" w:color="auto" w:fill="FFFFFF"/>
        </w:rPr>
        <w:t>Claim statuses in medical billing refer to the different stages of processing a claim for payment from a healthcare payer. When a healthcare provider submits a claim to a payer, the claim goes through several different statuses as it is reviewed and processed.</w:t>
      </w:r>
    </w:p>
    <w:p w14:paraId="69FE7B41" w14:textId="6705B156" w:rsidR="00552905" w:rsidRPr="00552905" w:rsidRDefault="00552905" w:rsidP="0055290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sz w:val="24"/>
          <w:szCs w:val="24"/>
          <w:shd w:val="clear" w:color="auto" w:fill="FFFFFF"/>
        </w:rPr>
        <w:t>The following are some of the most common claim statuses in medical billing:</w:t>
      </w:r>
    </w:p>
    <w:p w14:paraId="2C5A764E" w14:textId="4C9D7EBD"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Submitted:</w:t>
      </w:r>
      <w:r w:rsidRPr="00552905">
        <w:rPr>
          <w:rFonts w:ascii="Times New Roman" w:hAnsi="Times New Roman" w:cs="Times New Roman"/>
          <w:sz w:val="24"/>
          <w:szCs w:val="24"/>
          <w:shd w:val="clear" w:color="auto" w:fill="FFFFFF"/>
        </w:rPr>
        <w:t xml:space="preserve"> This status means that the claim has been submitted to the payer for processing.</w:t>
      </w:r>
    </w:p>
    <w:p w14:paraId="3A541DEA" w14:textId="29F29520"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Pending:</w:t>
      </w:r>
      <w:r w:rsidRPr="00552905">
        <w:rPr>
          <w:rFonts w:ascii="Times New Roman" w:hAnsi="Times New Roman" w:cs="Times New Roman"/>
          <w:sz w:val="24"/>
          <w:szCs w:val="24"/>
          <w:shd w:val="clear" w:color="auto" w:fill="FFFFFF"/>
        </w:rPr>
        <w:t xml:space="preserve"> This status means that the claim is still being reviewed and has not yet been processed.</w:t>
      </w:r>
    </w:p>
    <w:p w14:paraId="1DAEA112" w14:textId="362F7873"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Denied:</w:t>
      </w:r>
      <w:r w:rsidRPr="00552905">
        <w:rPr>
          <w:rFonts w:ascii="Times New Roman" w:hAnsi="Times New Roman" w:cs="Times New Roman"/>
          <w:sz w:val="24"/>
          <w:szCs w:val="24"/>
          <w:shd w:val="clear" w:color="auto" w:fill="FFFFFF"/>
        </w:rPr>
        <w:t xml:space="preserve"> This status means that the claim has been denied by the payer and will not be paid.</w:t>
      </w:r>
    </w:p>
    <w:p w14:paraId="15CDDF15" w14:textId="762100A4"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Rejected:</w:t>
      </w:r>
      <w:r w:rsidRPr="00552905">
        <w:rPr>
          <w:rFonts w:ascii="Times New Roman" w:hAnsi="Times New Roman" w:cs="Times New Roman"/>
          <w:sz w:val="24"/>
          <w:szCs w:val="24"/>
          <w:shd w:val="clear" w:color="auto" w:fill="FFFFFF"/>
        </w:rPr>
        <w:t xml:space="preserve"> This status means that the claim has been rejected by the payer due to errors or missing information.</w:t>
      </w:r>
    </w:p>
    <w:p w14:paraId="469AB1A1" w14:textId="5096FEF7"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Paid:</w:t>
      </w:r>
      <w:r w:rsidRPr="00552905">
        <w:rPr>
          <w:rFonts w:ascii="Times New Roman" w:hAnsi="Times New Roman" w:cs="Times New Roman"/>
          <w:sz w:val="24"/>
          <w:szCs w:val="24"/>
          <w:shd w:val="clear" w:color="auto" w:fill="FFFFFF"/>
        </w:rPr>
        <w:t xml:space="preserve"> This status means that the claim has been processed and the provider has received payment from the payer.</w:t>
      </w:r>
    </w:p>
    <w:p w14:paraId="265EE35B" w14:textId="4AAAB730" w:rsidR="00552905" w:rsidRPr="00552905"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Adjusted:</w:t>
      </w:r>
      <w:r w:rsidRPr="00552905">
        <w:rPr>
          <w:rFonts w:ascii="Times New Roman" w:hAnsi="Times New Roman" w:cs="Times New Roman"/>
          <w:sz w:val="24"/>
          <w:szCs w:val="24"/>
          <w:shd w:val="clear" w:color="auto" w:fill="FFFFFF"/>
        </w:rPr>
        <w:t xml:space="preserve"> This status means that the payment amount for the claim has been adjusted due to changes made by the payer.</w:t>
      </w:r>
    </w:p>
    <w:p w14:paraId="69F216E5" w14:textId="60B0980E" w:rsidR="00552905" w:rsidRPr="009A6781" w:rsidRDefault="00552905" w:rsidP="00552905">
      <w:pPr>
        <w:pStyle w:val="ListParagraph"/>
        <w:numPr>
          <w:ilvl w:val="0"/>
          <w:numId w:val="77"/>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In Process:</w:t>
      </w:r>
      <w:r w:rsidRPr="00552905">
        <w:rPr>
          <w:rFonts w:ascii="Times New Roman" w:hAnsi="Times New Roman" w:cs="Times New Roman"/>
          <w:sz w:val="24"/>
          <w:szCs w:val="24"/>
          <w:shd w:val="clear" w:color="auto" w:fill="FFFFFF"/>
        </w:rPr>
        <w:t xml:space="preserve"> This status means that the claim is currently being processed and reviewed by the payer.</w:t>
      </w:r>
    </w:p>
    <w:p w14:paraId="3F7FE5D8" w14:textId="07652D28" w:rsidR="00552905" w:rsidRPr="00552905" w:rsidRDefault="00552905" w:rsidP="0055290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sz w:val="24"/>
          <w:szCs w:val="24"/>
          <w:shd w:val="clear" w:color="auto" w:fill="FFFFFF"/>
        </w:rPr>
        <w:t>Tracking claim statuses is an important part of medical billing because it allows healthcare providers to monitor the progress of their claims and identify any issues that need to be addressed. By understanding the different claim statuses and what they mean, providers can take appropriate actions to resolve any issues and ensure that they receive timely and accurate payment for their services.</w:t>
      </w:r>
    </w:p>
    <w:p w14:paraId="6035645F" w14:textId="20B7A919" w:rsidR="001D144D" w:rsidRDefault="001304BD"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is NF 3 form?</w:t>
      </w:r>
    </w:p>
    <w:p w14:paraId="4F05708C" w14:textId="33C0239A" w:rsidR="001304BD" w:rsidRP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NF stands for No Fault Verification Form. </w:t>
      </w:r>
      <w:r w:rsidRPr="001304BD">
        <w:rPr>
          <w:rFonts w:ascii="Times New Roman" w:hAnsi="Times New Roman" w:cs="Times New Roman"/>
          <w:sz w:val="24"/>
          <w:szCs w:val="24"/>
          <w:shd w:val="clear" w:color="auto" w:fill="FFFFFF"/>
        </w:rPr>
        <w:t>A "no fault verification form" is a document used in some states in the United States to confirm that an individual who was injured in an accident was not at fault</w:t>
      </w:r>
      <w:r>
        <w:rPr>
          <w:rFonts w:ascii="Times New Roman" w:hAnsi="Times New Roman" w:cs="Times New Roman"/>
          <w:sz w:val="24"/>
          <w:szCs w:val="24"/>
          <w:shd w:val="clear" w:color="auto" w:fill="FFFFFF"/>
        </w:rPr>
        <w:t xml:space="preserve"> </w:t>
      </w:r>
      <w:r w:rsidRPr="001304BD">
        <w:rPr>
          <w:rFonts w:ascii="Times New Roman" w:hAnsi="Times New Roman" w:cs="Times New Roman"/>
          <w:sz w:val="24"/>
          <w:szCs w:val="24"/>
          <w:shd w:val="clear" w:color="auto" w:fill="FFFFFF"/>
        </w:rPr>
        <w:lastRenderedPageBreak/>
        <w:t>for the accident. This form is often required by insurance companies or healthcare providers in order to establish liability for the injuries sustained in the accident.</w:t>
      </w:r>
    </w:p>
    <w:p w14:paraId="6875C74F" w14:textId="63B134DB" w:rsidR="001304BD" w:rsidRP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304BD">
        <w:rPr>
          <w:rFonts w:ascii="Times New Roman" w:hAnsi="Times New Roman" w:cs="Times New Roman"/>
          <w:sz w:val="24"/>
          <w:szCs w:val="24"/>
          <w:shd w:val="clear" w:color="auto" w:fill="FFFFFF"/>
        </w:rPr>
        <w:t>The form typically includes information about the accident, such as the date and location of the accident, the names of the individuals involved, and a description of the injuries sustained. The form may also require a statement from the individual confirming that they were not at fault for the accident.</w:t>
      </w:r>
    </w:p>
    <w:p w14:paraId="108658D3" w14:textId="2A02320D" w:rsid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304BD">
        <w:rPr>
          <w:rFonts w:ascii="Times New Roman" w:hAnsi="Times New Roman" w:cs="Times New Roman"/>
          <w:sz w:val="24"/>
          <w:szCs w:val="24"/>
          <w:shd w:val="clear" w:color="auto" w:fill="FFFFFF"/>
        </w:rPr>
        <w:t>In some states, such as New York, a "no fault verification form" is required as part of the process for receiving no-fault insurance benefits. No-fault insurance is a type of insurance that provides coverage for medical expenses and lost wages resulting from a motor vehicle accident, regardless of who was at fault for the accident.</w:t>
      </w:r>
    </w:p>
    <w:p w14:paraId="05FBF23E" w14:textId="2D88DA5D" w:rsidR="001304BD" w:rsidRP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Conclusion:</w:t>
      </w:r>
    </w:p>
    <w:p w14:paraId="0D0A3FA4" w14:textId="7F3F1CC4" w:rsid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304BD">
        <w:rPr>
          <w:rFonts w:ascii="Times New Roman" w:hAnsi="Times New Roman" w:cs="Times New Roman"/>
          <w:sz w:val="24"/>
          <w:szCs w:val="24"/>
          <w:shd w:val="clear" w:color="auto" w:fill="FFFFFF"/>
        </w:rPr>
        <w:t>Overall, the purpose of the no fault verification form is to establish that the individual who was injured was not at fault for the accident, and to facilitate the processing of insurance claims and medical billing related to the injuries sustained in the accident.</w:t>
      </w:r>
    </w:p>
    <w:p w14:paraId="333F9021" w14:textId="0756A01B" w:rsidR="000D653C" w:rsidRDefault="000D653C" w:rsidP="000D653C">
      <w:pPr>
        <w:spacing w:before="100" w:beforeAutospacing="1" w:after="100" w:afterAutospacing="1" w:line="240" w:lineRule="auto"/>
        <w:jc w:val="center"/>
        <w:textAlignment w:val="baseline"/>
        <w:rPr>
          <w:rFonts w:ascii="Times New Roman" w:hAnsi="Times New Roman" w:cs="Times New Roman"/>
          <w:b/>
          <w:bCs/>
          <w:sz w:val="32"/>
          <w:szCs w:val="32"/>
          <w:shd w:val="clear" w:color="auto" w:fill="FFFFFF"/>
        </w:rPr>
      </w:pPr>
      <w:r w:rsidRPr="000D653C">
        <w:rPr>
          <w:rFonts w:ascii="Times New Roman" w:hAnsi="Times New Roman" w:cs="Times New Roman"/>
          <w:b/>
          <w:bCs/>
          <w:sz w:val="32"/>
          <w:szCs w:val="32"/>
          <w:shd w:val="clear" w:color="auto" w:fill="FFFFFF"/>
        </w:rPr>
        <w:t>What is meant by C 4 form?</w:t>
      </w:r>
    </w:p>
    <w:p w14:paraId="2BC5B5FE" w14:textId="51B089A0"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In medical billing, a workers' compensation form is a document used to report an employee's injury or illness that occurred while on the job. Workers' compensation is a type of insurance that provides benefits to employees who are injured or become ill as a result of their job duties.</w:t>
      </w:r>
    </w:p>
    <w:p w14:paraId="704A2CCA" w14:textId="2F95F7FB"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The workers' compensation form is typically used to gather information about the employee's injury or illness and to begin the process of filing a workers' compensation claim. The form may include details such as the employee's name and contact information, the date and location of the incident, the nature and severity of the injury or illness, and other relevant details.</w:t>
      </w:r>
    </w:p>
    <w:p w14:paraId="23AA2DA8" w14:textId="27573399"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571E0">
        <w:rPr>
          <w:rFonts w:ascii="Times New Roman" w:hAnsi="Times New Roman" w:cs="Times New Roman"/>
          <w:sz w:val="24"/>
          <w:szCs w:val="24"/>
          <w:shd w:val="clear" w:color="auto" w:fill="FFFFFF"/>
        </w:rPr>
        <w:t>Once the workers' compensation form is completed, it is submitted to the employer's insurance carrier, who reviews the claim and determines the employee's eligibility for benefits. The insurance carrier may also request additional information, such as medical records, to evaluate the claim.</w:t>
      </w:r>
    </w:p>
    <w:p w14:paraId="52A64E1D" w14:textId="77777777"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Once the workers' compensation claim is approved, the insurance carrier will cover the costs of the employee's medical treatment and provide compensation for any lost wages due to the injury or illness. The medical billing process for workers' compensation claims may differ from other types of medical billing, as there may be specific requirements and procedures that must be followed in order to receive payment.</w:t>
      </w:r>
    </w:p>
    <w:p w14:paraId="510F7E55" w14:textId="77777777"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5A6E6DE0" w14:textId="77777777" w:rsidR="000D653C" w:rsidRPr="000D653C" w:rsidRDefault="000D653C" w:rsidP="000D653C">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Overall, workers' compensation forms are an important tool in medical billing for healthcare providers who treat patients with work-related injuries or illnesses. By completing and submitting the necessary forms, healthcare providers can help ensure that their patients receive the appropriate medical care and financial support they need to recover from their injuries and return to work.</w:t>
      </w:r>
    </w:p>
    <w:p w14:paraId="2148ED13" w14:textId="77777777" w:rsidR="000D653C" w:rsidRPr="000D653C" w:rsidRDefault="000D653C" w:rsidP="000D653C">
      <w:pPr>
        <w:spacing w:before="100" w:beforeAutospacing="1" w:after="100" w:afterAutospacing="1" w:line="240" w:lineRule="auto"/>
        <w:textAlignment w:val="baseline"/>
        <w:rPr>
          <w:rFonts w:ascii="Times New Roman" w:hAnsi="Times New Roman" w:cs="Times New Roman"/>
          <w:b/>
          <w:bCs/>
          <w:sz w:val="24"/>
          <w:szCs w:val="24"/>
          <w:shd w:val="clear" w:color="auto" w:fill="FFFFFF"/>
        </w:rPr>
      </w:pPr>
    </w:p>
    <w:p w14:paraId="5D3837C4" w14:textId="77777777" w:rsidR="001304BD" w:rsidRP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50C03517" w14:textId="77777777" w:rsidR="001304BD" w:rsidRPr="001304BD" w:rsidRDefault="001304BD" w:rsidP="001304BD">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18EF10E1" w14:textId="78C199DB" w:rsidR="001304BD" w:rsidRPr="00A37AB1" w:rsidRDefault="001304BD"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1304BD" w:rsidRPr="00A37AB1"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15300"/>
    <w:multiLevelType w:val="hybridMultilevel"/>
    <w:tmpl w:val="D2A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9162E9"/>
    <w:multiLevelType w:val="hybridMultilevel"/>
    <w:tmpl w:val="970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575FEE"/>
    <w:multiLevelType w:val="hybridMultilevel"/>
    <w:tmpl w:val="E02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F05AB"/>
    <w:multiLevelType w:val="hybridMultilevel"/>
    <w:tmpl w:val="01B2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A6F85"/>
    <w:multiLevelType w:val="hybridMultilevel"/>
    <w:tmpl w:val="1B30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2C5902"/>
    <w:multiLevelType w:val="hybridMultilevel"/>
    <w:tmpl w:val="8ADC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1111E7"/>
    <w:multiLevelType w:val="hybridMultilevel"/>
    <w:tmpl w:val="1FB0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0" w15:restartNumberingAfterBreak="0">
    <w:nsid w:val="39471B1E"/>
    <w:multiLevelType w:val="hybridMultilevel"/>
    <w:tmpl w:val="F8D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10C82"/>
    <w:multiLevelType w:val="hybridMultilevel"/>
    <w:tmpl w:val="532AFD1E"/>
    <w:lvl w:ilvl="0" w:tplc="A7A85D94">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15:restartNumberingAfterBreak="0">
    <w:nsid w:val="3F16656C"/>
    <w:multiLevelType w:val="hybridMultilevel"/>
    <w:tmpl w:val="560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BB5C52"/>
    <w:multiLevelType w:val="multilevel"/>
    <w:tmpl w:val="E9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F6202D"/>
    <w:multiLevelType w:val="hybridMultilevel"/>
    <w:tmpl w:val="2F6E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7874B6"/>
    <w:multiLevelType w:val="hybridMultilevel"/>
    <w:tmpl w:val="9626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A924CE"/>
    <w:multiLevelType w:val="hybridMultilevel"/>
    <w:tmpl w:val="40FA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66A9"/>
    <w:multiLevelType w:val="multilevel"/>
    <w:tmpl w:val="420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9768B3"/>
    <w:multiLevelType w:val="hybridMultilevel"/>
    <w:tmpl w:val="CACA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9A6E0A"/>
    <w:multiLevelType w:val="multilevel"/>
    <w:tmpl w:val="AA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466F57"/>
    <w:multiLevelType w:val="hybridMultilevel"/>
    <w:tmpl w:val="8696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8D0981"/>
    <w:multiLevelType w:val="multilevel"/>
    <w:tmpl w:val="AB2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F46A07"/>
    <w:multiLevelType w:val="multilevel"/>
    <w:tmpl w:val="12FE1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23724B"/>
    <w:multiLevelType w:val="multilevel"/>
    <w:tmpl w:val="D94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8933">
    <w:abstractNumId w:val="34"/>
  </w:num>
  <w:num w:numId="2" w16cid:durableId="1203208096">
    <w:abstractNumId w:val="20"/>
  </w:num>
  <w:num w:numId="3" w16cid:durableId="384064742">
    <w:abstractNumId w:val="33"/>
  </w:num>
  <w:num w:numId="4" w16cid:durableId="1531458024">
    <w:abstractNumId w:val="58"/>
  </w:num>
  <w:num w:numId="5" w16cid:durableId="1187136125">
    <w:abstractNumId w:val="75"/>
  </w:num>
  <w:num w:numId="6" w16cid:durableId="1441299990">
    <w:abstractNumId w:val="5"/>
  </w:num>
  <w:num w:numId="7" w16cid:durableId="229049270">
    <w:abstractNumId w:val="41"/>
  </w:num>
  <w:num w:numId="8" w16cid:durableId="1243298190">
    <w:abstractNumId w:val="15"/>
  </w:num>
  <w:num w:numId="9" w16cid:durableId="1815442882">
    <w:abstractNumId w:val="24"/>
  </w:num>
  <w:num w:numId="10" w16cid:durableId="2103641912">
    <w:abstractNumId w:val="10"/>
  </w:num>
  <w:num w:numId="11" w16cid:durableId="665792544">
    <w:abstractNumId w:val="52"/>
  </w:num>
  <w:num w:numId="12" w16cid:durableId="1271007642">
    <w:abstractNumId w:val="37"/>
  </w:num>
  <w:num w:numId="13" w16cid:durableId="1349523989">
    <w:abstractNumId w:val="42"/>
  </w:num>
  <w:num w:numId="14" w16cid:durableId="944768882">
    <w:abstractNumId w:val="25"/>
  </w:num>
  <w:num w:numId="15" w16cid:durableId="203686610">
    <w:abstractNumId w:val="64"/>
  </w:num>
  <w:num w:numId="16" w16cid:durableId="1717778042">
    <w:abstractNumId w:val="60"/>
  </w:num>
  <w:num w:numId="17" w16cid:durableId="1570724921">
    <w:abstractNumId w:val="35"/>
  </w:num>
  <w:num w:numId="18" w16cid:durableId="21444225">
    <w:abstractNumId w:val="39"/>
  </w:num>
  <w:num w:numId="19" w16cid:durableId="929967767">
    <w:abstractNumId w:val="2"/>
  </w:num>
  <w:num w:numId="20" w16cid:durableId="554119519">
    <w:abstractNumId w:val="55"/>
  </w:num>
  <w:num w:numId="21" w16cid:durableId="483551518">
    <w:abstractNumId w:val="13"/>
  </w:num>
  <w:num w:numId="22" w16cid:durableId="1571964183">
    <w:abstractNumId w:val="23"/>
  </w:num>
  <w:num w:numId="23" w16cid:durableId="673996322">
    <w:abstractNumId w:val="72"/>
  </w:num>
  <w:num w:numId="24" w16cid:durableId="158663038">
    <w:abstractNumId w:val="18"/>
  </w:num>
  <w:num w:numId="25" w16cid:durableId="425617687">
    <w:abstractNumId w:val="63"/>
  </w:num>
  <w:num w:numId="26" w16cid:durableId="1214779493">
    <w:abstractNumId w:val="31"/>
  </w:num>
  <w:num w:numId="27" w16cid:durableId="242423428">
    <w:abstractNumId w:val="9"/>
  </w:num>
  <w:num w:numId="28" w16cid:durableId="1649091109">
    <w:abstractNumId w:val="68"/>
  </w:num>
  <w:num w:numId="29" w16cid:durableId="1372530308">
    <w:abstractNumId w:val="50"/>
  </w:num>
  <w:num w:numId="30" w16cid:durableId="1632176069">
    <w:abstractNumId w:val="71"/>
  </w:num>
  <w:num w:numId="31" w16cid:durableId="2084258113">
    <w:abstractNumId w:val="69"/>
  </w:num>
  <w:num w:numId="32" w16cid:durableId="590043847">
    <w:abstractNumId w:val="1"/>
  </w:num>
  <w:num w:numId="33" w16cid:durableId="1459034459">
    <w:abstractNumId w:val="17"/>
  </w:num>
  <w:num w:numId="34" w16cid:durableId="1062286566">
    <w:abstractNumId w:val="67"/>
  </w:num>
  <w:num w:numId="35" w16cid:durableId="860515971">
    <w:abstractNumId w:val="26"/>
  </w:num>
  <w:num w:numId="36" w16cid:durableId="697700812">
    <w:abstractNumId w:val="0"/>
  </w:num>
  <w:num w:numId="37" w16cid:durableId="420293237">
    <w:abstractNumId w:val="6"/>
  </w:num>
  <w:num w:numId="38" w16cid:durableId="685519676">
    <w:abstractNumId w:val="76"/>
  </w:num>
  <w:num w:numId="39" w16cid:durableId="1668947371">
    <w:abstractNumId w:val="16"/>
  </w:num>
  <w:num w:numId="40" w16cid:durableId="658658798">
    <w:abstractNumId w:val="65"/>
  </w:num>
  <w:num w:numId="41" w16cid:durableId="845560398">
    <w:abstractNumId w:val="74"/>
  </w:num>
  <w:num w:numId="42" w16cid:durableId="634873868">
    <w:abstractNumId w:val="11"/>
  </w:num>
  <w:num w:numId="43" w16cid:durableId="1110390819">
    <w:abstractNumId w:val="12"/>
  </w:num>
  <w:num w:numId="44" w16cid:durableId="1842811866">
    <w:abstractNumId w:val="51"/>
  </w:num>
  <w:num w:numId="45" w16cid:durableId="1539660176">
    <w:abstractNumId w:val="3"/>
  </w:num>
  <w:num w:numId="46" w16cid:durableId="603612563">
    <w:abstractNumId w:val="73"/>
  </w:num>
  <w:num w:numId="47" w16cid:durableId="769089160">
    <w:abstractNumId w:val="27"/>
  </w:num>
  <w:num w:numId="48" w16cid:durableId="1365904740">
    <w:abstractNumId w:val="21"/>
  </w:num>
  <w:num w:numId="49" w16cid:durableId="1236628767">
    <w:abstractNumId w:val="47"/>
  </w:num>
  <w:num w:numId="50" w16cid:durableId="1024937680">
    <w:abstractNumId w:val="56"/>
  </w:num>
  <w:num w:numId="51" w16cid:durableId="1299996479">
    <w:abstractNumId w:val="19"/>
  </w:num>
  <w:num w:numId="52" w16cid:durableId="1624533971">
    <w:abstractNumId w:val="38"/>
  </w:num>
  <w:num w:numId="53" w16cid:durableId="708264082">
    <w:abstractNumId w:val="61"/>
  </w:num>
  <w:num w:numId="54" w16cid:durableId="1417165698">
    <w:abstractNumId w:val="70"/>
  </w:num>
  <w:num w:numId="55" w16cid:durableId="847331526">
    <w:abstractNumId w:val="8"/>
  </w:num>
  <w:num w:numId="56" w16cid:durableId="663554378">
    <w:abstractNumId w:val="30"/>
  </w:num>
  <w:num w:numId="57" w16cid:durableId="1093206249">
    <w:abstractNumId w:val="4"/>
  </w:num>
  <w:num w:numId="58" w16cid:durableId="1953053509">
    <w:abstractNumId w:val="66"/>
  </w:num>
  <w:num w:numId="59" w16cid:durableId="1362895338">
    <w:abstractNumId w:val="28"/>
  </w:num>
  <w:num w:numId="60" w16cid:durableId="1838878986">
    <w:abstractNumId w:val="62"/>
  </w:num>
  <w:num w:numId="61" w16cid:durableId="1879664281">
    <w:abstractNumId w:val="54"/>
  </w:num>
  <w:num w:numId="62" w16cid:durableId="476804561">
    <w:abstractNumId w:val="49"/>
  </w:num>
  <w:num w:numId="63" w16cid:durableId="704914801">
    <w:abstractNumId w:val="59"/>
  </w:num>
  <w:num w:numId="64" w16cid:durableId="401147976">
    <w:abstractNumId w:val="29"/>
  </w:num>
  <w:num w:numId="65" w16cid:durableId="2090689853">
    <w:abstractNumId w:val="48"/>
  </w:num>
  <w:num w:numId="66" w16cid:durableId="1755591507">
    <w:abstractNumId w:val="53"/>
  </w:num>
  <w:num w:numId="67" w16cid:durableId="2113814179">
    <w:abstractNumId w:val="44"/>
  </w:num>
  <w:num w:numId="68" w16cid:durableId="1277172380">
    <w:abstractNumId w:val="7"/>
  </w:num>
  <w:num w:numId="69" w16cid:durableId="1415518732">
    <w:abstractNumId w:val="32"/>
  </w:num>
  <w:num w:numId="70" w16cid:durableId="1382941986">
    <w:abstractNumId w:val="14"/>
  </w:num>
  <w:num w:numId="71" w16cid:durableId="239412002">
    <w:abstractNumId w:val="57"/>
  </w:num>
  <w:num w:numId="72" w16cid:durableId="1267693794">
    <w:abstractNumId w:val="43"/>
  </w:num>
  <w:num w:numId="73" w16cid:durableId="1328753326">
    <w:abstractNumId w:val="45"/>
  </w:num>
  <w:num w:numId="74" w16cid:durableId="814567939">
    <w:abstractNumId w:val="46"/>
  </w:num>
  <w:num w:numId="75" w16cid:durableId="156500264">
    <w:abstractNumId w:val="22"/>
  </w:num>
  <w:num w:numId="76" w16cid:durableId="1997686479">
    <w:abstractNumId w:val="40"/>
  </w:num>
  <w:num w:numId="77" w16cid:durableId="761146798">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40575"/>
    <w:rsid w:val="00043CE6"/>
    <w:rsid w:val="000571E0"/>
    <w:rsid w:val="0007117A"/>
    <w:rsid w:val="00077E1A"/>
    <w:rsid w:val="0008253C"/>
    <w:rsid w:val="00084467"/>
    <w:rsid w:val="0008569F"/>
    <w:rsid w:val="00087E84"/>
    <w:rsid w:val="000961FC"/>
    <w:rsid w:val="000A72C2"/>
    <w:rsid w:val="000C2B1F"/>
    <w:rsid w:val="000C79BD"/>
    <w:rsid w:val="000D050A"/>
    <w:rsid w:val="000D085A"/>
    <w:rsid w:val="000D653C"/>
    <w:rsid w:val="000E0A6B"/>
    <w:rsid w:val="000E5033"/>
    <w:rsid w:val="000F1E88"/>
    <w:rsid w:val="000F762C"/>
    <w:rsid w:val="001144EF"/>
    <w:rsid w:val="001165F3"/>
    <w:rsid w:val="001239A5"/>
    <w:rsid w:val="001304BD"/>
    <w:rsid w:val="00131900"/>
    <w:rsid w:val="00147206"/>
    <w:rsid w:val="00147A9E"/>
    <w:rsid w:val="00165330"/>
    <w:rsid w:val="00171CF7"/>
    <w:rsid w:val="001803FF"/>
    <w:rsid w:val="00190B38"/>
    <w:rsid w:val="00193644"/>
    <w:rsid w:val="00195A3F"/>
    <w:rsid w:val="00196D55"/>
    <w:rsid w:val="001A46AF"/>
    <w:rsid w:val="001B277D"/>
    <w:rsid w:val="001B369D"/>
    <w:rsid w:val="001D144D"/>
    <w:rsid w:val="001D73E5"/>
    <w:rsid w:val="002305CF"/>
    <w:rsid w:val="00232076"/>
    <w:rsid w:val="00233CAB"/>
    <w:rsid w:val="00236DB1"/>
    <w:rsid w:val="00242030"/>
    <w:rsid w:val="00245675"/>
    <w:rsid w:val="00272855"/>
    <w:rsid w:val="00272C50"/>
    <w:rsid w:val="00277B6A"/>
    <w:rsid w:val="002812C4"/>
    <w:rsid w:val="0028759C"/>
    <w:rsid w:val="002B09EB"/>
    <w:rsid w:val="002C43CD"/>
    <w:rsid w:val="002C7943"/>
    <w:rsid w:val="002D4DF6"/>
    <w:rsid w:val="002F777D"/>
    <w:rsid w:val="00307157"/>
    <w:rsid w:val="00311C8C"/>
    <w:rsid w:val="003337B0"/>
    <w:rsid w:val="00337E33"/>
    <w:rsid w:val="003424A6"/>
    <w:rsid w:val="00344AF3"/>
    <w:rsid w:val="0034606C"/>
    <w:rsid w:val="0034617A"/>
    <w:rsid w:val="00363A81"/>
    <w:rsid w:val="0037058F"/>
    <w:rsid w:val="003770BF"/>
    <w:rsid w:val="00393C71"/>
    <w:rsid w:val="003A16E4"/>
    <w:rsid w:val="003B3D81"/>
    <w:rsid w:val="003D31AE"/>
    <w:rsid w:val="003E2FF1"/>
    <w:rsid w:val="003E4446"/>
    <w:rsid w:val="004029B8"/>
    <w:rsid w:val="0040475E"/>
    <w:rsid w:val="0041561B"/>
    <w:rsid w:val="00430D35"/>
    <w:rsid w:val="00441889"/>
    <w:rsid w:val="00452BE0"/>
    <w:rsid w:val="00457354"/>
    <w:rsid w:val="00471DA5"/>
    <w:rsid w:val="004769D3"/>
    <w:rsid w:val="004839CD"/>
    <w:rsid w:val="0048414D"/>
    <w:rsid w:val="00484B9A"/>
    <w:rsid w:val="00486F3B"/>
    <w:rsid w:val="004B137B"/>
    <w:rsid w:val="004B77BF"/>
    <w:rsid w:val="004B7A01"/>
    <w:rsid w:val="004E0BA0"/>
    <w:rsid w:val="004E22F2"/>
    <w:rsid w:val="004E3439"/>
    <w:rsid w:val="00500A0C"/>
    <w:rsid w:val="00512244"/>
    <w:rsid w:val="00524320"/>
    <w:rsid w:val="00540EC8"/>
    <w:rsid w:val="0054291F"/>
    <w:rsid w:val="00552905"/>
    <w:rsid w:val="00563791"/>
    <w:rsid w:val="005704DA"/>
    <w:rsid w:val="00571416"/>
    <w:rsid w:val="00576722"/>
    <w:rsid w:val="00576CD6"/>
    <w:rsid w:val="00576D56"/>
    <w:rsid w:val="00580C6A"/>
    <w:rsid w:val="0059295D"/>
    <w:rsid w:val="00593E91"/>
    <w:rsid w:val="005B7350"/>
    <w:rsid w:val="005B7A39"/>
    <w:rsid w:val="005D5A98"/>
    <w:rsid w:val="005D6695"/>
    <w:rsid w:val="005E37D9"/>
    <w:rsid w:val="005E3A9B"/>
    <w:rsid w:val="005E6D6B"/>
    <w:rsid w:val="005F6F3D"/>
    <w:rsid w:val="00600600"/>
    <w:rsid w:val="006010E4"/>
    <w:rsid w:val="006035CA"/>
    <w:rsid w:val="006049AC"/>
    <w:rsid w:val="006152AB"/>
    <w:rsid w:val="00615649"/>
    <w:rsid w:val="00621E92"/>
    <w:rsid w:val="00636AEF"/>
    <w:rsid w:val="00652C28"/>
    <w:rsid w:val="00654A75"/>
    <w:rsid w:val="00665333"/>
    <w:rsid w:val="006653EB"/>
    <w:rsid w:val="00697CD9"/>
    <w:rsid w:val="006A6AF8"/>
    <w:rsid w:val="006B2CD0"/>
    <w:rsid w:val="006B6E50"/>
    <w:rsid w:val="006C3CCF"/>
    <w:rsid w:val="006C4673"/>
    <w:rsid w:val="006E4EA6"/>
    <w:rsid w:val="006E4EBA"/>
    <w:rsid w:val="006F46A3"/>
    <w:rsid w:val="006F7192"/>
    <w:rsid w:val="00700309"/>
    <w:rsid w:val="00711898"/>
    <w:rsid w:val="00723FF6"/>
    <w:rsid w:val="007266C5"/>
    <w:rsid w:val="0074087C"/>
    <w:rsid w:val="00756083"/>
    <w:rsid w:val="00760F68"/>
    <w:rsid w:val="00761B66"/>
    <w:rsid w:val="00761B8A"/>
    <w:rsid w:val="00763A40"/>
    <w:rsid w:val="00764C7D"/>
    <w:rsid w:val="00767B43"/>
    <w:rsid w:val="00770028"/>
    <w:rsid w:val="007852DC"/>
    <w:rsid w:val="0078782B"/>
    <w:rsid w:val="00790CA9"/>
    <w:rsid w:val="007C011C"/>
    <w:rsid w:val="007C22BB"/>
    <w:rsid w:val="007C31AD"/>
    <w:rsid w:val="007C3FB7"/>
    <w:rsid w:val="007C4297"/>
    <w:rsid w:val="007D6534"/>
    <w:rsid w:val="007E644F"/>
    <w:rsid w:val="008201CD"/>
    <w:rsid w:val="00826603"/>
    <w:rsid w:val="008272BD"/>
    <w:rsid w:val="00836D33"/>
    <w:rsid w:val="008447D2"/>
    <w:rsid w:val="00844BD0"/>
    <w:rsid w:val="00845785"/>
    <w:rsid w:val="00847AAD"/>
    <w:rsid w:val="00853065"/>
    <w:rsid w:val="008567F2"/>
    <w:rsid w:val="008636CC"/>
    <w:rsid w:val="008727C4"/>
    <w:rsid w:val="00873166"/>
    <w:rsid w:val="00876D6B"/>
    <w:rsid w:val="00884556"/>
    <w:rsid w:val="00891CCB"/>
    <w:rsid w:val="00892D1D"/>
    <w:rsid w:val="008A1043"/>
    <w:rsid w:val="008B0A4D"/>
    <w:rsid w:val="008B7A0D"/>
    <w:rsid w:val="008C25CB"/>
    <w:rsid w:val="008C49A3"/>
    <w:rsid w:val="008C6C8F"/>
    <w:rsid w:val="008D4825"/>
    <w:rsid w:val="008E6DB3"/>
    <w:rsid w:val="0090523B"/>
    <w:rsid w:val="00905865"/>
    <w:rsid w:val="009134AC"/>
    <w:rsid w:val="00920D41"/>
    <w:rsid w:val="00934D30"/>
    <w:rsid w:val="009406DC"/>
    <w:rsid w:val="00946C03"/>
    <w:rsid w:val="00956850"/>
    <w:rsid w:val="009579D5"/>
    <w:rsid w:val="00963769"/>
    <w:rsid w:val="00971314"/>
    <w:rsid w:val="00977552"/>
    <w:rsid w:val="009903D6"/>
    <w:rsid w:val="009A1287"/>
    <w:rsid w:val="009A29AF"/>
    <w:rsid w:val="009A32FD"/>
    <w:rsid w:val="009A6781"/>
    <w:rsid w:val="009A6C6F"/>
    <w:rsid w:val="009C02B9"/>
    <w:rsid w:val="009C0D15"/>
    <w:rsid w:val="009C5CEF"/>
    <w:rsid w:val="009D3A86"/>
    <w:rsid w:val="009F0382"/>
    <w:rsid w:val="009F142E"/>
    <w:rsid w:val="009F3D89"/>
    <w:rsid w:val="009F7CBC"/>
    <w:rsid w:val="00A016B5"/>
    <w:rsid w:val="00A07064"/>
    <w:rsid w:val="00A23434"/>
    <w:rsid w:val="00A2722A"/>
    <w:rsid w:val="00A37AB1"/>
    <w:rsid w:val="00A44F50"/>
    <w:rsid w:val="00A544B1"/>
    <w:rsid w:val="00A56AB1"/>
    <w:rsid w:val="00A71BEF"/>
    <w:rsid w:val="00A73609"/>
    <w:rsid w:val="00A75C2A"/>
    <w:rsid w:val="00A7638A"/>
    <w:rsid w:val="00AA0A64"/>
    <w:rsid w:val="00AA180F"/>
    <w:rsid w:val="00AA1C0B"/>
    <w:rsid w:val="00AD19B4"/>
    <w:rsid w:val="00AE2F16"/>
    <w:rsid w:val="00B132CF"/>
    <w:rsid w:val="00B21E75"/>
    <w:rsid w:val="00B2219E"/>
    <w:rsid w:val="00B234BB"/>
    <w:rsid w:val="00B24EA8"/>
    <w:rsid w:val="00B3661E"/>
    <w:rsid w:val="00B42BE6"/>
    <w:rsid w:val="00B44527"/>
    <w:rsid w:val="00B47A47"/>
    <w:rsid w:val="00B5075C"/>
    <w:rsid w:val="00B51BEB"/>
    <w:rsid w:val="00B759FA"/>
    <w:rsid w:val="00B75E26"/>
    <w:rsid w:val="00B82991"/>
    <w:rsid w:val="00B82DF8"/>
    <w:rsid w:val="00B86F44"/>
    <w:rsid w:val="00B9315D"/>
    <w:rsid w:val="00B9384F"/>
    <w:rsid w:val="00BA27EA"/>
    <w:rsid w:val="00BD4958"/>
    <w:rsid w:val="00BE2C8F"/>
    <w:rsid w:val="00BE4067"/>
    <w:rsid w:val="00BE7D19"/>
    <w:rsid w:val="00BF2F9D"/>
    <w:rsid w:val="00BF5DAF"/>
    <w:rsid w:val="00BF792C"/>
    <w:rsid w:val="00C05ADD"/>
    <w:rsid w:val="00C05B3F"/>
    <w:rsid w:val="00C0604E"/>
    <w:rsid w:val="00C13D88"/>
    <w:rsid w:val="00C25FCC"/>
    <w:rsid w:val="00C416A7"/>
    <w:rsid w:val="00C43C0A"/>
    <w:rsid w:val="00C5465F"/>
    <w:rsid w:val="00C61427"/>
    <w:rsid w:val="00C614C5"/>
    <w:rsid w:val="00C67345"/>
    <w:rsid w:val="00C73510"/>
    <w:rsid w:val="00C82660"/>
    <w:rsid w:val="00C90620"/>
    <w:rsid w:val="00C94394"/>
    <w:rsid w:val="00CA2C40"/>
    <w:rsid w:val="00CB24E6"/>
    <w:rsid w:val="00CC5F15"/>
    <w:rsid w:val="00CD2B4D"/>
    <w:rsid w:val="00CE50A1"/>
    <w:rsid w:val="00CF4856"/>
    <w:rsid w:val="00CF781E"/>
    <w:rsid w:val="00D03232"/>
    <w:rsid w:val="00D07F9F"/>
    <w:rsid w:val="00D25ED8"/>
    <w:rsid w:val="00D32C02"/>
    <w:rsid w:val="00D37DCF"/>
    <w:rsid w:val="00D5634A"/>
    <w:rsid w:val="00D5698F"/>
    <w:rsid w:val="00D825BC"/>
    <w:rsid w:val="00DB1477"/>
    <w:rsid w:val="00DB1584"/>
    <w:rsid w:val="00DB352A"/>
    <w:rsid w:val="00DB7353"/>
    <w:rsid w:val="00DC0CB2"/>
    <w:rsid w:val="00DC739C"/>
    <w:rsid w:val="00DD5189"/>
    <w:rsid w:val="00DE07EF"/>
    <w:rsid w:val="00DE6317"/>
    <w:rsid w:val="00DF23BB"/>
    <w:rsid w:val="00DF7DA0"/>
    <w:rsid w:val="00E04947"/>
    <w:rsid w:val="00E22312"/>
    <w:rsid w:val="00E2765F"/>
    <w:rsid w:val="00E42327"/>
    <w:rsid w:val="00E45E3B"/>
    <w:rsid w:val="00E5060D"/>
    <w:rsid w:val="00E52016"/>
    <w:rsid w:val="00E5275C"/>
    <w:rsid w:val="00E67412"/>
    <w:rsid w:val="00E67501"/>
    <w:rsid w:val="00E82151"/>
    <w:rsid w:val="00E8457D"/>
    <w:rsid w:val="00E8684F"/>
    <w:rsid w:val="00E877D0"/>
    <w:rsid w:val="00E909E7"/>
    <w:rsid w:val="00E9247E"/>
    <w:rsid w:val="00E93F9B"/>
    <w:rsid w:val="00E942DE"/>
    <w:rsid w:val="00EE1910"/>
    <w:rsid w:val="00EE6885"/>
    <w:rsid w:val="00EF1757"/>
    <w:rsid w:val="00EF3192"/>
    <w:rsid w:val="00EF646C"/>
    <w:rsid w:val="00F03ABC"/>
    <w:rsid w:val="00F14494"/>
    <w:rsid w:val="00F15F5F"/>
    <w:rsid w:val="00F21F17"/>
    <w:rsid w:val="00F50BF3"/>
    <w:rsid w:val="00F82420"/>
    <w:rsid w:val="00F94ED2"/>
    <w:rsid w:val="00FA0F7E"/>
    <w:rsid w:val="00FA7522"/>
    <w:rsid w:val="00FB45EA"/>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 w:type="character" w:styleId="FollowedHyperlink">
    <w:name w:val="FollowedHyperlink"/>
    <w:basedOn w:val="DefaultParagraphFont"/>
    <w:uiPriority w:val="99"/>
    <w:semiHidden/>
    <w:unhideWhenUsed/>
    <w:rsid w:val="000C7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2023265">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3380071">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192773075">
      <w:bodyDiv w:val="1"/>
      <w:marLeft w:val="0"/>
      <w:marRight w:val="0"/>
      <w:marTop w:val="0"/>
      <w:marBottom w:val="0"/>
      <w:divBdr>
        <w:top w:val="none" w:sz="0" w:space="0" w:color="auto"/>
        <w:left w:val="none" w:sz="0" w:space="0" w:color="auto"/>
        <w:bottom w:val="none" w:sz="0" w:space="0" w:color="auto"/>
        <w:right w:val="none" w:sz="0" w:space="0" w:color="auto"/>
      </w:divBdr>
      <w:divsChild>
        <w:div w:id="1286084706">
          <w:marLeft w:val="0"/>
          <w:marRight w:val="0"/>
          <w:marTop w:val="0"/>
          <w:marBottom w:val="0"/>
          <w:divBdr>
            <w:top w:val="none" w:sz="0" w:space="0" w:color="auto"/>
            <w:left w:val="none" w:sz="0" w:space="0" w:color="auto"/>
            <w:bottom w:val="none" w:sz="0" w:space="0" w:color="auto"/>
            <w:right w:val="none" w:sz="0" w:space="0" w:color="auto"/>
          </w:divBdr>
          <w:divsChild>
            <w:div w:id="825630681">
              <w:marLeft w:val="0"/>
              <w:marRight w:val="0"/>
              <w:marTop w:val="0"/>
              <w:marBottom w:val="0"/>
              <w:divBdr>
                <w:top w:val="none" w:sz="0" w:space="0" w:color="auto"/>
                <w:left w:val="none" w:sz="0" w:space="0" w:color="auto"/>
                <w:bottom w:val="none" w:sz="0" w:space="0" w:color="auto"/>
                <w:right w:val="none" w:sz="0" w:space="0" w:color="auto"/>
              </w:divBdr>
              <w:divsChild>
                <w:div w:id="72622830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1630054">
      <w:bodyDiv w:val="1"/>
      <w:marLeft w:val="0"/>
      <w:marRight w:val="0"/>
      <w:marTop w:val="0"/>
      <w:marBottom w:val="0"/>
      <w:divBdr>
        <w:top w:val="none" w:sz="0" w:space="0" w:color="auto"/>
        <w:left w:val="none" w:sz="0" w:space="0" w:color="auto"/>
        <w:bottom w:val="none" w:sz="0" w:space="0" w:color="auto"/>
        <w:right w:val="none" w:sz="0" w:space="0" w:color="auto"/>
      </w:divBdr>
      <w:divsChild>
        <w:div w:id="1138181476">
          <w:marLeft w:val="0"/>
          <w:marRight w:val="0"/>
          <w:marTop w:val="0"/>
          <w:marBottom w:val="0"/>
          <w:divBdr>
            <w:top w:val="none" w:sz="0" w:space="0" w:color="auto"/>
            <w:left w:val="none" w:sz="0" w:space="0" w:color="auto"/>
            <w:bottom w:val="none" w:sz="0" w:space="0" w:color="auto"/>
            <w:right w:val="none" w:sz="0" w:space="0" w:color="auto"/>
          </w:divBdr>
        </w:div>
        <w:div w:id="642931644">
          <w:marLeft w:val="0"/>
          <w:marRight w:val="0"/>
          <w:marTop w:val="0"/>
          <w:marBottom w:val="0"/>
          <w:divBdr>
            <w:top w:val="none" w:sz="0" w:space="0" w:color="auto"/>
            <w:left w:val="none" w:sz="0" w:space="0" w:color="auto"/>
            <w:bottom w:val="none" w:sz="0" w:space="0" w:color="auto"/>
            <w:right w:val="none" w:sz="0" w:space="0" w:color="auto"/>
          </w:divBdr>
        </w:div>
        <w:div w:id="1447039918">
          <w:marLeft w:val="0"/>
          <w:marRight w:val="0"/>
          <w:marTop w:val="0"/>
          <w:marBottom w:val="0"/>
          <w:divBdr>
            <w:top w:val="none" w:sz="0" w:space="0" w:color="auto"/>
            <w:left w:val="none" w:sz="0" w:space="0" w:color="auto"/>
            <w:bottom w:val="none" w:sz="0" w:space="0" w:color="auto"/>
            <w:right w:val="none" w:sz="0" w:space="0" w:color="auto"/>
          </w:divBdr>
        </w:div>
        <w:div w:id="64572477">
          <w:marLeft w:val="0"/>
          <w:marRight w:val="0"/>
          <w:marTop w:val="0"/>
          <w:marBottom w:val="0"/>
          <w:divBdr>
            <w:top w:val="none" w:sz="0" w:space="0" w:color="auto"/>
            <w:left w:val="none" w:sz="0" w:space="0" w:color="auto"/>
            <w:bottom w:val="none" w:sz="0" w:space="0" w:color="auto"/>
            <w:right w:val="none" w:sz="0" w:space="0" w:color="auto"/>
          </w:divBdr>
        </w:div>
        <w:div w:id="1700203265">
          <w:marLeft w:val="0"/>
          <w:marRight w:val="0"/>
          <w:marTop w:val="0"/>
          <w:marBottom w:val="0"/>
          <w:divBdr>
            <w:top w:val="none" w:sz="0" w:space="0" w:color="auto"/>
            <w:left w:val="none" w:sz="0" w:space="0" w:color="auto"/>
            <w:bottom w:val="none" w:sz="0" w:space="0" w:color="auto"/>
            <w:right w:val="none" w:sz="0" w:space="0" w:color="auto"/>
          </w:divBdr>
        </w:div>
      </w:divsChild>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68563429">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20414669">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0079752">
      <w:bodyDiv w:val="1"/>
      <w:marLeft w:val="0"/>
      <w:marRight w:val="0"/>
      <w:marTop w:val="0"/>
      <w:marBottom w:val="0"/>
      <w:divBdr>
        <w:top w:val="none" w:sz="0" w:space="0" w:color="auto"/>
        <w:left w:val="none" w:sz="0" w:space="0" w:color="auto"/>
        <w:bottom w:val="none" w:sz="0" w:space="0" w:color="auto"/>
        <w:right w:val="none" w:sz="0" w:space="0" w:color="auto"/>
      </w:divBdr>
      <w:divsChild>
        <w:div w:id="1830321647">
          <w:marLeft w:val="0"/>
          <w:marRight w:val="0"/>
          <w:marTop w:val="0"/>
          <w:marBottom w:val="0"/>
          <w:divBdr>
            <w:top w:val="single" w:sz="2" w:space="0" w:color="auto"/>
            <w:left w:val="single" w:sz="2" w:space="0" w:color="auto"/>
            <w:bottom w:val="single" w:sz="6" w:space="0" w:color="auto"/>
            <w:right w:val="single" w:sz="2" w:space="0" w:color="auto"/>
          </w:divBdr>
          <w:divsChild>
            <w:div w:id="211774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57842396">
                  <w:marLeft w:val="0"/>
                  <w:marRight w:val="0"/>
                  <w:marTop w:val="0"/>
                  <w:marBottom w:val="0"/>
                  <w:divBdr>
                    <w:top w:val="single" w:sz="2" w:space="0" w:color="D9D9E3"/>
                    <w:left w:val="single" w:sz="2" w:space="0" w:color="D9D9E3"/>
                    <w:bottom w:val="single" w:sz="2" w:space="0" w:color="D9D9E3"/>
                    <w:right w:val="single" w:sz="2" w:space="0" w:color="D9D9E3"/>
                  </w:divBdr>
                  <w:divsChild>
                    <w:div w:id="238177883">
                      <w:marLeft w:val="0"/>
                      <w:marRight w:val="0"/>
                      <w:marTop w:val="0"/>
                      <w:marBottom w:val="0"/>
                      <w:divBdr>
                        <w:top w:val="single" w:sz="2" w:space="0" w:color="D9D9E3"/>
                        <w:left w:val="single" w:sz="2" w:space="0" w:color="D9D9E3"/>
                        <w:bottom w:val="single" w:sz="2" w:space="0" w:color="D9D9E3"/>
                        <w:right w:val="single" w:sz="2" w:space="0" w:color="D9D9E3"/>
                      </w:divBdr>
                      <w:divsChild>
                        <w:div w:id="1727485661">
                          <w:marLeft w:val="0"/>
                          <w:marRight w:val="0"/>
                          <w:marTop w:val="0"/>
                          <w:marBottom w:val="0"/>
                          <w:divBdr>
                            <w:top w:val="single" w:sz="2" w:space="0" w:color="D9D9E3"/>
                            <w:left w:val="single" w:sz="2" w:space="0" w:color="D9D9E3"/>
                            <w:bottom w:val="single" w:sz="2" w:space="0" w:color="D9D9E3"/>
                            <w:right w:val="single" w:sz="2" w:space="0" w:color="D9D9E3"/>
                          </w:divBdr>
                          <w:divsChild>
                            <w:div w:id="187492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19985408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5644006">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5973448">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49712283">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886520578">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41599422">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benefit-period"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definitivehc.com/data-products/long-term-care-view" TargetMode="External"/><Relationship Id="rId42" Type="http://schemas.openxmlformats.org/officeDocument/2006/relationships/hyperlink" Target="https://www.healthline.com/health/medicare/does-medicare-cover-ambulance" TargetMode="External"/><Relationship Id="rId47" Type="http://schemas.openxmlformats.org/officeDocument/2006/relationships/hyperlink" Target="https://www.healthline.com/health/medicare/does-medicare-cover-eye-exams" TargetMode="External"/><Relationship Id="rId50" Type="http://schemas.openxmlformats.org/officeDocument/2006/relationships/hyperlink" Target="https://www.healthline.com/health/medicare/pffs-medicare" TargetMode="External"/><Relationship Id="rId55" Type="http://schemas.openxmlformats.org/officeDocument/2006/relationships/hyperlink" Target="https://www.healthline.com/health/high-cholesterol" TargetMode="Externa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blog.definitivehc.com/the-childrens-health-insurance-program-chip-vs.-medicaid" TargetMode="External"/><Relationship Id="rId38" Type="http://schemas.openxmlformats.org/officeDocument/2006/relationships/hyperlink" Target="https://www.medicare.gov/your-medicare-costs/medicare-costs-at-a-glance" TargetMode="External"/><Relationship Id="rId46" Type="http://schemas.openxmlformats.org/officeDocument/2006/relationships/hyperlink" Target="https://www.healthline.com/health/medicare/does-medicare-cover-denta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medicare-preventive-services" TargetMode="External"/><Relationship Id="rId54" Type="http://schemas.openxmlformats.org/officeDocument/2006/relationships/hyperlink" Target="https://www.healthline.com/health/heart-disease"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smartclinix.net/what-are-the-top-10-denials-in-medical-billing/" TargetMode="External"/><Relationship Id="rId37" Type="http://schemas.openxmlformats.org/officeDocument/2006/relationships/hyperlink" Target="https://www.healthline.com/health/medicare/medicare-part-a-cost" TargetMode="External"/><Relationship Id="rId40" Type="http://schemas.openxmlformats.org/officeDocument/2006/relationships/hyperlink" Target="https://www.healthline.com/health/medicare/medicare-lifetime-reserve-days" TargetMode="External"/><Relationship Id="rId45" Type="http://schemas.openxmlformats.org/officeDocument/2006/relationships/hyperlink" Target="https://www.healthline.com/health/medicare/medicare-prescription-plans" TargetMode="External"/><Relationship Id="rId53" Type="http://schemas.openxmlformats.org/officeDocument/2006/relationships/hyperlink" Target="https://www.healthline.com/health/high-blood-pressure-hypertensio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healthline.com/health/medicare/does-medicare-cover-skilled-nursing-facility" TargetMode="External"/><Relationship Id="rId49" Type="http://schemas.openxmlformats.org/officeDocument/2006/relationships/hyperlink" Target="https://www.healthline.com/health/medicare/medicare-ppo" TargetMode="External"/><Relationship Id="rId57" Type="http://schemas.openxmlformats.org/officeDocument/2006/relationships/hyperlink" Target="https://www.healthline.com/health/domestic-violence-resource-guide" TargetMode="Externa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www.healthline.com/health/medicare/medicare-part-b-vs-part-d" TargetMode="External"/><Relationship Id="rId52" Type="http://schemas.openxmlformats.org/officeDocument/2006/relationships/hyperlink" Target="https://www.cms.gov/newsroom/news-alert/cms-releases-2023-projected-medicare-basic-part-d-average-premium"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nerdwallet.com/blog/investing/what-will-you-spend-on-health-care-costs-in-retirement/" TargetMode="External"/><Relationship Id="rId43" Type="http://schemas.openxmlformats.org/officeDocument/2006/relationships/hyperlink" Target="https://www.healthline.com/health/medicare/how-to-get-a-medical-device-approved-for-medicare" TargetMode="External"/><Relationship Id="rId48" Type="http://schemas.openxmlformats.org/officeDocument/2006/relationships/hyperlink" Target="https://www.healthline.com/health/medicare/medicare-hmo" TargetMode="External"/><Relationship Id="rId56" Type="http://schemas.openxmlformats.org/officeDocument/2006/relationships/hyperlink" Target="https://www.healthline.com/health/depression" TargetMode="External"/><Relationship Id="rId8" Type="http://schemas.openxmlformats.org/officeDocument/2006/relationships/image" Target="media/image2.png"/><Relationship Id="rId51" Type="http://schemas.openxmlformats.org/officeDocument/2006/relationships/hyperlink" Target="https://www.healthline.com/health/medicare/medicare-special-needs-pla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3D78C-EB9A-4EB6-82B6-70BF2C33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6076</TotalTime>
  <Pages>1</Pages>
  <Words>19867</Words>
  <Characters>113247</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star zubi</cp:lastModifiedBy>
  <cp:revision>26</cp:revision>
  <dcterms:created xsi:type="dcterms:W3CDTF">2023-02-02T06:17:00Z</dcterms:created>
  <dcterms:modified xsi:type="dcterms:W3CDTF">2023-02-21T19:26:00Z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