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272855">
      <w:pPr>
        <w:pStyle w:val="ListParagraph"/>
        <w:numPr>
          <w:ilvl w:val="0"/>
          <w:numId w:val="62"/>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636AEF">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freedom to choose your health care providers</w:t>
      </w:r>
    </w:p>
    <w:p w14:paraId="4E249EFA"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439EF1B" w14:textId="77777777" w:rsidR="00DF23BB" w:rsidRDefault="00DF23BB" w:rsidP="00EF646C">
      <w:pPr>
        <w:spacing w:before="100" w:beforeAutospacing="1" w:after="100" w:afterAutospacing="1" w:line="276" w:lineRule="auto"/>
        <w:ind w:left="360"/>
        <w:jc w:val="center"/>
        <w:rPr>
          <w:rStyle w:val="Strong"/>
          <w:rFonts w:ascii="Times New Roman" w:hAnsi="Times New Roman" w:cs="Times New Roman"/>
          <w:spacing w:val="-4"/>
          <w:sz w:val="32"/>
          <w:szCs w:val="24"/>
        </w:rPr>
      </w:pPr>
    </w:p>
    <w:p w14:paraId="1F82F7D7" w14:textId="69C3B66A"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lastRenderedPageBreak/>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8"/>
        <w:gridCol w:w="2726"/>
        <w:gridCol w:w="2726"/>
        <w:gridCol w:w="2726"/>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40475E"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40475E"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40475E"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11E153CD"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3CDC4805"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4022A943" w14:textId="0C5891C1"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7BF9514E" w14:textId="4594F401" w:rsidR="00891CCB" w:rsidRPr="00DF23BB" w:rsidRDefault="006E4EA6" w:rsidP="00DF23BB">
      <w:pPr>
        <w:pStyle w:val="NormalWeb"/>
        <w:spacing w:after="240" w:afterAutospacing="0"/>
        <w:rPr>
          <w:rStyle w:val="Strong"/>
          <w:b w:val="0"/>
          <w:bCs w:val="0"/>
        </w:rPr>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r>
      <w:r w:rsidRPr="00DF23BB">
        <w:rPr>
          <w:b/>
        </w:rPr>
        <w:t>For example</w:t>
      </w:r>
      <w:r w:rsidRPr="00A37AB1">
        <w:t>,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3E73CFD7" w:rsidR="006E4EA6" w:rsidRPr="00A37AB1" w:rsidRDefault="006E4EA6" w:rsidP="00A2722A">
      <w:pPr>
        <w:pStyle w:val="NormalWeb"/>
        <w:spacing w:after="240" w:afterAutospacing="0"/>
        <w:jc w:val="both"/>
      </w:pPr>
      <w:r w:rsidRPr="00A37AB1">
        <w:rPr>
          <w:rStyle w:val="Strong"/>
        </w:rPr>
        <w:lastRenderedPageBreak/>
        <w:t>Note:</w:t>
      </w:r>
    </w:p>
    <w:p w14:paraId="322C65DF" w14:textId="77777777" w:rsidR="006E4EA6" w:rsidRPr="00A37AB1" w:rsidRDefault="006E4EA6" w:rsidP="00A2722A">
      <w:pPr>
        <w:pStyle w:val="NormalWeb"/>
        <w:spacing w:after="240" w:afterAutospacing="0"/>
        <w:jc w:val="both"/>
      </w:pPr>
      <w:r w:rsidRPr="00A37AB1">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DC0CB2">
      <w:pPr>
        <w:pStyle w:val="NormalWeb"/>
        <w:numPr>
          <w:ilvl w:val="0"/>
          <w:numId w:val="59"/>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DC0CB2">
      <w:pPr>
        <w:pStyle w:val="NormalWeb"/>
        <w:numPr>
          <w:ilvl w:val="0"/>
          <w:numId w:val="59"/>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DC0CB2">
      <w:pPr>
        <w:pStyle w:val="NormalWeb"/>
        <w:numPr>
          <w:ilvl w:val="0"/>
          <w:numId w:val="59"/>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DC0CB2">
      <w:pPr>
        <w:pStyle w:val="NormalWeb"/>
        <w:numPr>
          <w:ilvl w:val="0"/>
          <w:numId w:val="59"/>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DC0CB2">
      <w:pPr>
        <w:pStyle w:val="NormalWeb"/>
        <w:numPr>
          <w:ilvl w:val="0"/>
          <w:numId w:val="59"/>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DC0CB2">
      <w:pPr>
        <w:pStyle w:val="NormalWeb"/>
        <w:numPr>
          <w:ilvl w:val="0"/>
          <w:numId w:val="59"/>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DF23BB">
      <w:pPr>
        <w:pStyle w:val="NormalWeb"/>
        <w:shd w:val="clear" w:color="auto" w:fill="FFFFFF"/>
        <w:jc w:val="center"/>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DC0CB2">
      <w:pPr>
        <w:pStyle w:val="NormalWeb"/>
        <w:numPr>
          <w:ilvl w:val="0"/>
          <w:numId w:val="9"/>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5B7A39">
      <w:pPr>
        <w:pStyle w:val="NormalWeb"/>
        <w:numPr>
          <w:ilvl w:val="0"/>
          <w:numId w:val="9"/>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5D5A98">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2722A">
      <w:pPr>
        <w:pStyle w:val="NormalWeb"/>
        <w:numPr>
          <w:ilvl w:val="0"/>
          <w:numId w:val="10"/>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0FA5CF2E" w14:textId="48525ED9" w:rsidR="00A73609" w:rsidRPr="00873166" w:rsidRDefault="00C13D88" w:rsidP="00873166">
      <w:pPr>
        <w:pStyle w:val="NormalWeb"/>
        <w:shd w:val="clear" w:color="auto" w:fill="FFFFFF"/>
        <w:jc w:val="both"/>
        <w:rPr>
          <w:sz w:val="28"/>
        </w:rPr>
      </w:pPr>
      <w:r w:rsidRPr="00A37AB1">
        <w:rPr>
          <w:rStyle w:val="Strong"/>
          <w:sz w:val="28"/>
        </w:rPr>
        <w:t>Tabular Lis</w:t>
      </w:r>
      <w:r w:rsidR="00873166">
        <w:rPr>
          <w:rStyle w:val="Strong"/>
          <w:sz w:val="28"/>
        </w:rPr>
        <w:t>t</w:t>
      </w:r>
    </w:p>
    <w:p w14:paraId="62332E2E" w14:textId="60E43BD3" w:rsidR="00A73609" w:rsidRDefault="00873166" w:rsidP="00084467">
      <w:pPr>
        <w:shd w:val="clear" w:color="auto" w:fill="FFFFFF"/>
        <w:spacing w:before="75" w:after="120" w:line="240" w:lineRule="auto"/>
        <w:ind w:left="-210"/>
        <w:jc w:val="center"/>
        <w:rPr>
          <w:rFonts w:ascii="Times New Roman" w:hAnsi="Times New Roman" w:cs="Times New Roman"/>
          <w:b/>
          <w:sz w:val="32"/>
          <w:szCs w:val="24"/>
        </w:rPr>
      </w:pPr>
      <w:r>
        <w:rPr>
          <w:noProof/>
        </w:rPr>
        <w:drawing>
          <wp:inline distT="0" distB="0" distL="0" distR="0" wp14:anchorId="6D8AB2F9" wp14:editId="15189EC5">
            <wp:extent cx="64008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10840"/>
                    </a:xfrm>
                    <a:prstGeom prst="rect">
                      <a:avLst/>
                    </a:prstGeom>
                  </pic:spPr>
                </pic:pic>
              </a:graphicData>
            </a:graphic>
          </wp:inline>
        </w:drawing>
      </w:r>
    </w:p>
    <w:p w14:paraId="644F35E2" w14:textId="77777777" w:rsidR="000E5033" w:rsidRDefault="000E5033"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7735C18D"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10404" w:type="dxa"/>
        <w:tblInd w:w="-72" w:type="dxa"/>
        <w:tblLook w:val="04A0" w:firstRow="1" w:lastRow="0" w:firstColumn="1" w:lastColumn="0" w:noHBand="0" w:noVBand="1"/>
      </w:tblPr>
      <w:tblGrid>
        <w:gridCol w:w="5133"/>
        <w:gridCol w:w="5271"/>
      </w:tblGrid>
      <w:tr w:rsidR="005E3A9B" w:rsidRPr="00A37AB1" w14:paraId="0C001F8F" w14:textId="77777777" w:rsidTr="00B44527">
        <w:trPr>
          <w:trHeight w:val="588"/>
        </w:trPr>
        <w:tc>
          <w:tcPr>
            <w:tcW w:w="5133" w:type="dxa"/>
          </w:tcPr>
          <w:p w14:paraId="3A26154F" w14:textId="015D749B"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ICD-9-CM</w:t>
            </w:r>
          </w:p>
        </w:tc>
        <w:tc>
          <w:tcPr>
            <w:tcW w:w="5271" w:type="dxa"/>
          </w:tcPr>
          <w:p w14:paraId="620C46AC" w14:textId="6F1A9EA3"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B44527">
        <w:trPr>
          <w:trHeight w:val="489"/>
        </w:trPr>
        <w:tc>
          <w:tcPr>
            <w:tcW w:w="5133" w:type="dxa"/>
          </w:tcPr>
          <w:p w14:paraId="7BC77A13" w14:textId="02D6108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5271" w:type="dxa"/>
          </w:tcPr>
          <w:p w14:paraId="2EA335E5" w14:textId="1DFE222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B44527">
        <w:trPr>
          <w:trHeight w:val="489"/>
        </w:trPr>
        <w:tc>
          <w:tcPr>
            <w:tcW w:w="5133" w:type="dxa"/>
          </w:tcPr>
          <w:p w14:paraId="2287C434" w14:textId="693DF33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5271" w:type="dxa"/>
          </w:tcPr>
          <w:p w14:paraId="4D7EB237" w14:textId="4DE26C77"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B44527">
        <w:trPr>
          <w:trHeight w:val="1343"/>
        </w:trPr>
        <w:tc>
          <w:tcPr>
            <w:tcW w:w="5133" w:type="dxa"/>
          </w:tcPr>
          <w:p w14:paraId="45932AE6" w14:textId="75856F16"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First digit may be alpha (E or V) or numeric; digits 2-5 are numeric</w:t>
            </w:r>
          </w:p>
        </w:tc>
        <w:tc>
          <w:tcPr>
            <w:tcW w:w="5271" w:type="dxa"/>
          </w:tcPr>
          <w:p w14:paraId="39E18708" w14:textId="47CB185F"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B44527">
        <w:trPr>
          <w:trHeight w:val="497"/>
        </w:trPr>
        <w:tc>
          <w:tcPr>
            <w:tcW w:w="5133" w:type="dxa"/>
          </w:tcPr>
          <w:p w14:paraId="2FBB9837" w14:textId="2B51F70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5271" w:type="dxa"/>
          </w:tcPr>
          <w:p w14:paraId="4ACB531E" w14:textId="70BAD00C" w:rsidR="005E3A9B" w:rsidRPr="00A37AB1" w:rsidRDefault="00920D41" w:rsidP="0040475E">
            <w:pPr>
              <w:spacing w:before="75" w:after="120"/>
              <w:jc w:val="center"/>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B44527">
        <w:trPr>
          <w:trHeight w:val="489"/>
        </w:trPr>
        <w:tc>
          <w:tcPr>
            <w:tcW w:w="5133" w:type="dxa"/>
          </w:tcPr>
          <w:p w14:paraId="452C75F2" w14:textId="4F923C5E"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5271" w:type="dxa"/>
          </w:tcPr>
          <w:p w14:paraId="55B5A3B3" w14:textId="722E1D50"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B44527">
        <w:trPr>
          <w:trHeight w:val="779"/>
        </w:trPr>
        <w:tc>
          <w:tcPr>
            <w:tcW w:w="5133" w:type="dxa"/>
          </w:tcPr>
          <w:p w14:paraId="5CC8FC31" w14:textId="550CB9DB"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5271" w:type="dxa"/>
          </w:tcPr>
          <w:p w14:paraId="257FCAC1" w14:textId="5C6C40FD"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1E126231" w14:textId="0EE440DA" w:rsidR="000E5033" w:rsidRPr="00C05B3F" w:rsidRDefault="00D32C02" w:rsidP="00C05B3F">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659891B5" w14:textId="291AB488" w:rsid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008C8ED7" w14:textId="77777777" w:rsidR="00C05B3F" w:rsidRP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3D0AC7BA" w14:textId="50BDD7F3"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are Headers Codes?</w:t>
      </w:r>
    </w:p>
    <w:p w14:paraId="57C71E72" w14:textId="596D56ED"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4AFFC6F2"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 xml:space="preserve">There are more than 73,643 ICD-10-Cm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6FA0301" w14:textId="3007282C"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A00.0    Cholera due to Vibrio cholerae 01, biovar cholerae</w:t>
      </w:r>
    </w:p>
    <w:p w14:paraId="567D7728" w14:textId="1C403110"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A00.1</w:t>
      </w:r>
      <w:r w:rsidRPr="00A37AB1">
        <w:rPr>
          <w:rFonts w:ascii="Times New Roman" w:hAnsi="Times New Roman" w:cs="Times New Roman"/>
          <w:sz w:val="24"/>
          <w:szCs w:val="24"/>
          <w:shd w:val="clear" w:color="auto" w:fill="FFFFFF"/>
        </w:rPr>
        <w:tab/>
        <w:t xml:space="preserve">Cholera due to Vibrio cholerae 01, biovar </w:t>
      </w:r>
      <w:proofErr w:type="spellStart"/>
      <w:r w:rsidRPr="00A37AB1">
        <w:rPr>
          <w:rFonts w:ascii="Times New Roman" w:hAnsi="Times New Roman" w:cs="Times New Roman"/>
          <w:sz w:val="24"/>
          <w:szCs w:val="24"/>
          <w:shd w:val="clear" w:color="auto" w:fill="FFFFFF"/>
        </w:rPr>
        <w:t>eltor</w:t>
      </w:r>
      <w:proofErr w:type="spellEnd"/>
    </w:p>
    <w:p w14:paraId="0A0766A7" w14:textId="7FB718B4"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B62680C" w:rsidR="009A1287" w:rsidRPr="00C05B3F" w:rsidRDefault="009A1287" w:rsidP="009A6C6F">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593E5492" w14:textId="2B9104FB" w:rsidR="00C05B3F" w:rsidRPr="00C05B3F" w:rsidRDefault="00C05B3F" w:rsidP="00C05B3F">
      <w:pPr>
        <w:shd w:val="clear" w:color="auto" w:fill="FFFFFF"/>
        <w:spacing w:before="75" w:after="120" w:line="240" w:lineRule="auto"/>
        <w:jc w:val="both"/>
        <w:rPr>
          <w:rFonts w:ascii="Times New Roman" w:hAnsi="Times New Roman" w:cs="Times New Roman"/>
          <w:b/>
          <w:sz w:val="28"/>
          <w:szCs w:val="24"/>
        </w:rPr>
      </w:pPr>
      <w:r w:rsidRPr="00C05B3F">
        <w:rPr>
          <w:rFonts w:ascii="Times New Roman" w:hAnsi="Times New Roman" w:cs="Times New Roman"/>
          <w:b/>
          <w:sz w:val="28"/>
          <w:szCs w:val="24"/>
        </w:rPr>
        <w:t xml:space="preserve">ICD-10-CM Code Structure </w:t>
      </w:r>
    </w:p>
    <w:p w14:paraId="0BD9B97C" w14:textId="0E4A0364" w:rsidR="00C05B3F" w:rsidRPr="00C05B3F" w:rsidRDefault="00CA2C40" w:rsidP="00826603">
      <w:pPr>
        <w:shd w:val="clear" w:color="auto" w:fill="FFFFFF"/>
        <w:spacing w:before="75" w:after="120" w:line="240" w:lineRule="auto"/>
        <w:jc w:val="center"/>
        <w:rPr>
          <w:rFonts w:ascii="Times New Roman" w:hAnsi="Times New Roman" w:cs="Times New Roman"/>
          <w:sz w:val="24"/>
          <w:szCs w:val="24"/>
        </w:rPr>
      </w:pPr>
      <w:r>
        <w:rPr>
          <w:noProof/>
        </w:rPr>
        <w:drawing>
          <wp:inline distT="0" distB="0" distL="0" distR="0" wp14:anchorId="26564CAC" wp14:editId="2152814D">
            <wp:extent cx="384810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1320800"/>
                    </a:xfrm>
                    <a:prstGeom prst="rect">
                      <a:avLst/>
                    </a:prstGeom>
                  </pic:spPr>
                </pic:pic>
              </a:graphicData>
            </a:graphic>
          </wp:inline>
        </w:drawing>
      </w:r>
    </w:p>
    <w:p w14:paraId="7473E65C" w14:textId="3BD8D26E" w:rsidR="009A1287" w:rsidRDefault="00C05B3F" w:rsidP="00A2722A">
      <w:pPr>
        <w:shd w:val="clear" w:color="auto" w:fill="FFFFFF"/>
        <w:spacing w:before="75" w:after="120" w:line="240" w:lineRule="auto"/>
        <w:ind w:left="-210"/>
        <w:jc w:val="both"/>
        <w:rPr>
          <w:rFonts w:ascii="Times New Roman" w:hAnsi="Times New Roman" w:cs="Times New Roman"/>
          <w:b/>
          <w:sz w:val="24"/>
          <w:szCs w:val="24"/>
        </w:rPr>
      </w:pPr>
      <w:r>
        <w:rPr>
          <w:rFonts w:ascii="Times New Roman" w:hAnsi="Times New Roman" w:cs="Times New Roman"/>
          <w:b/>
          <w:sz w:val="24"/>
          <w:szCs w:val="24"/>
        </w:rPr>
        <w:lastRenderedPageBreak/>
        <w:t>What is meant by Bit in ICD-10-CM in US Healthcare?</w:t>
      </w:r>
    </w:p>
    <w:p w14:paraId="080D9038" w14:textId="2DC505BA" w:rsidR="00C05B3F" w:rsidRPr="00826603" w:rsidRDefault="00826603" w:rsidP="00A2722A">
      <w:pPr>
        <w:shd w:val="clear" w:color="auto" w:fill="FFFFFF"/>
        <w:spacing w:before="75" w:after="120" w:line="240" w:lineRule="auto"/>
        <w:ind w:left="-210"/>
        <w:jc w:val="both"/>
        <w:rPr>
          <w:rFonts w:ascii="Times New Roman" w:hAnsi="Times New Roman" w:cs="Times New Roman"/>
          <w:sz w:val="24"/>
          <w:szCs w:val="24"/>
        </w:rPr>
      </w:pPr>
      <w:r w:rsidRPr="00826603">
        <w:rPr>
          <w:rFonts w:ascii="Times New Roman" w:hAnsi="Times New Roman" w:cs="Times New Roman"/>
          <w:sz w:val="24"/>
          <w:szCs w:val="24"/>
        </w:rPr>
        <w:t>In ICD-10-CM, a bit refers to a digit in a code that provides additional information about a specific aspect of a diagnosis or procedure. For example, the seventh character in certain codes provides information about the episode of care, such as initial encounter, subsequent encounter, or sequela. Another example is the use of a "X" as a placeholder in certain codes to indicate that a more specific code is not available. The use of bits in ICD-10-CM helps to provide greater detail and specificity in coding and can be important for accurate reimbursement and statistical analysis.</w:t>
      </w:r>
    </w:p>
    <w:p w14:paraId="625249A9" w14:textId="17F9FEEE" w:rsidR="00C13D88" w:rsidRPr="00A37AB1" w:rsidRDefault="00C13D88" w:rsidP="00826603">
      <w:pPr>
        <w:shd w:val="clear" w:color="auto" w:fill="FFFFFF"/>
        <w:spacing w:before="75" w:after="12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Follow-up or Other Outcomes (5005F–5250F)</w:t>
      </w:r>
    </w:p>
    <w:p w14:paraId="15AD2D7C"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55B970C9"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218C69F7"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7A9F7650" w14:textId="4628AD47"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77EA33F2" w14:textId="789CE820" w:rsidR="0090523B" w:rsidRPr="00A73609" w:rsidRDefault="00847AAD" w:rsidP="00A73609">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40475E"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21"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6BF2398E" w14:textId="29241394" w:rsidR="00DE6317" w:rsidRPr="000E5033" w:rsidRDefault="007C31AD" w:rsidP="000E5033">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Types of Modifiers</w:t>
      </w:r>
    </w:p>
    <w:p w14:paraId="216C4E7F" w14:textId="77777777"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lastRenderedPageBreak/>
        <w:t>A clearinghouse evaluates the </w:t>
      </w:r>
      <w:hyperlink r:id="rId22"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lastRenderedPageBreak/>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28759C">
      <w:pPr>
        <w:pStyle w:val="NormalWeb"/>
        <w:numPr>
          <w:ilvl w:val="0"/>
          <w:numId w:val="32"/>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3"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lastRenderedPageBreak/>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4"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5"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077E1A" w:rsidRDefault="00DB1584" w:rsidP="009F0382">
      <w:pPr>
        <w:shd w:val="clear" w:color="auto" w:fill="FFFFFF"/>
        <w:spacing w:after="240" w:line="240" w:lineRule="auto"/>
        <w:rPr>
          <w:rFonts w:ascii="Times New Roman" w:hAnsi="Times New Roman" w:cs="Times New Roman"/>
          <w:b/>
          <w:sz w:val="28"/>
          <w:szCs w:val="24"/>
          <w:shd w:val="clear" w:color="auto" w:fill="FFFFFF"/>
        </w:rPr>
      </w:pPr>
      <w:r w:rsidRPr="00077E1A">
        <w:rPr>
          <w:rFonts w:ascii="Times New Roman" w:hAnsi="Times New Roman" w:cs="Times New Roman"/>
          <w:b/>
          <w:sz w:val="28"/>
          <w:szCs w:val="24"/>
          <w:shd w:val="clear" w:color="auto" w:fill="FFFFFF"/>
        </w:rPr>
        <w:t xml:space="preserve">EDI Benefits </w:t>
      </w:r>
    </w:p>
    <w:p w14:paraId="4DE7248A" w14:textId="77777777" w:rsidR="00DB1584" w:rsidRPr="00077E1A" w:rsidRDefault="00DB1584" w:rsidP="00077E1A">
      <w:pPr>
        <w:shd w:val="clear" w:color="auto" w:fill="FFFFFF"/>
        <w:spacing w:after="240" w:line="240" w:lineRule="auto"/>
        <w:rPr>
          <w:rFonts w:ascii="Times New Roman" w:hAnsi="Times New Roman" w:cs="Times New Roman"/>
          <w:b/>
          <w:bCs/>
          <w:sz w:val="24"/>
          <w:szCs w:val="24"/>
        </w:rPr>
      </w:pPr>
      <w:r w:rsidRPr="00077E1A">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0F3DC6BE"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Authorization and referral request</w:t>
      </w:r>
    </w:p>
    <w:p w14:paraId="25DD986D" w14:textId="33B1DABF"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 and notification inquiry</w:t>
      </w:r>
    </w:p>
    <w:p w14:paraId="05A9A814" w14:textId="260C5E16"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lastRenderedPageBreak/>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The use of ANSI X12 in the US healthcare system enables efficient and secure electronic data exchange between healthcare entities, reducing the need for manual data entry and minimizing the risk of errors 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617A703F" w:rsidR="00B86F44"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3130F854" w14:textId="77777777" w:rsidR="00B234BB" w:rsidRPr="00A37AB1" w:rsidRDefault="00B234BB" w:rsidP="00A2722A">
      <w:pPr>
        <w:shd w:val="clear" w:color="auto" w:fill="FFFFFF"/>
        <w:spacing w:after="0" w:line="240" w:lineRule="auto"/>
        <w:jc w:val="both"/>
        <w:rPr>
          <w:rFonts w:ascii="Times New Roman" w:hAnsi="Times New Roman" w:cs="Times New Roman"/>
          <w:spacing w:val="4"/>
          <w:sz w:val="24"/>
          <w:szCs w:val="24"/>
          <w:shd w:val="clear" w:color="auto" w:fill="FFFFFF"/>
        </w:rPr>
      </w:pPr>
    </w:p>
    <w:p w14:paraId="6CF89528" w14:textId="4C783B1A" w:rsidR="00B234BB" w:rsidRPr="00B234BB" w:rsidRDefault="00B234BB" w:rsidP="00B234BB">
      <w:pPr>
        <w:pStyle w:val="NormalWeb"/>
        <w:shd w:val="clear" w:color="auto" w:fill="FFFFFF"/>
        <w:spacing w:before="0" w:beforeAutospacing="0"/>
        <w:rPr>
          <w:rFonts w:eastAsiaTheme="minorHAnsi"/>
          <w:b/>
        </w:rPr>
      </w:pPr>
      <w:r>
        <w:rPr>
          <w:rFonts w:eastAsiaTheme="minorHAnsi"/>
          <w:b/>
        </w:rPr>
        <w:t>For Example:</w:t>
      </w:r>
      <w:r w:rsidRPr="00B234BB">
        <w:rPr>
          <w:rFonts w:eastAsiaTheme="minorHAnsi"/>
          <w:bCs/>
        </w:rPr>
        <w:t xml:space="preserve"> A patient needs to receive a brand-name drug for the treatment of a chronic condition. The patient's physician writes a prescription for the drug and the patient takes it to the pharmacy. The pharmacist finds that the drug requires prior authorization from the patient's insurance company.</w:t>
      </w:r>
    </w:p>
    <w:p w14:paraId="14EDCB95" w14:textId="085D7E6A" w:rsidR="00B234BB" w:rsidRDefault="00B234BB" w:rsidP="00B234BB">
      <w:pPr>
        <w:pStyle w:val="NormalWeb"/>
        <w:shd w:val="clear" w:color="auto" w:fill="FFFFFF"/>
        <w:spacing w:before="0" w:beforeAutospacing="0"/>
        <w:rPr>
          <w:rFonts w:eastAsiaTheme="minorHAnsi"/>
          <w:bCs/>
        </w:rPr>
      </w:pPr>
      <w:r w:rsidRPr="00B234BB">
        <w:rPr>
          <w:rFonts w:eastAsiaTheme="minorHAnsi"/>
          <w:bCs/>
        </w:rPr>
        <w:t>The pharmacist submits a prior authorization request to the insurance company, including the patient's information, the prescription details, and any relevant medical history. The insurance company then evaluates the request, using criteria such as the patient's diagnosis, the drug's clinical effectiveness, and the availability of alternative treatments.</w:t>
      </w:r>
    </w:p>
    <w:p w14:paraId="05C76AC0" w14:textId="455E8733" w:rsidR="00B234BB" w:rsidRPr="00B234BB" w:rsidRDefault="00B234BB" w:rsidP="00B234BB">
      <w:pPr>
        <w:pStyle w:val="NormalWeb"/>
        <w:shd w:val="clear" w:color="auto" w:fill="FFFFFF"/>
        <w:spacing w:before="0" w:beforeAutospacing="0"/>
        <w:rPr>
          <w:rFonts w:eastAsiaTheme="minorHAnsi"/>
          <w:bCs/>
        </w:rPr>
      </w:pPr>
      <w:r w:rsidRPr="00B234BB">
        <w:rPr>
          <w:rFonts w:eastAsiaTheme="minorHAnsi"/>
          <w:bCs/>
        </w:rPr>
        <w:t>Based on this evaluation, the insurance company may approve, deny, or partially approve the request. If the request is approved, the patient can then purchase the drug and start treatment. If the request is denied or partially approved, the patient and the physician may need to consider alternative treatments or appeal the decision.</w:t>
      </w: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A3AC0C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t>What is referral reques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B3661E">
      <w:pPr>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5BF1A158" w14:textId="493D13BD"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6"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B3661E">
      <w:pPr>
        <w:pStyle w:val="NormalWeb"/>
        <w:numPr>
          <w:ilvl w:val="0"/>
          <w:numId w:val="57"/>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452AD165" w:rsidR="002F777D" w:rsidRPr="00A37AB1" w:rsidRDefault="00884556" w:rsidP="00B3661E">
      <w:pPr>
        <w:pStyle w:val="NormalWeb"/>
        <w:numPr>
          <w:ilvl w:val="0"/>
          <w:numId w:val="56"/>
        </w:numPr>
        <w:shd w:val="clear" w:color="auto" w:fill="FFFFFF"/>
        <w:spacing w:before="0" w:beforeAutospacing="0"/>
      </w:pPr>
      <w:r w:rsidRPr="00A37AB1">
        <w:rPr>
          <w:b/>
          <w:bCs/>
        </w:rPr>
        <w:lastRenderedPageBreak/>
        <w:t>OA (Other Adjustments)</w:t>
      </w:r>
      <w:r w:rsidRPr="00A37AB1">
        <w:t> is used when CO (Contractual Obligation) nor PR (Patient Responsibility</w:t>
      </w:r>
      <w:r w:rsidR="00077E1A">
        <w:t>)</w:t>
      </w:r>
      <w:r w:rsidRPr="00A37AB1">
        <w:t xml:space="preserve"> apply.  This can be used when the claim is paid in full and there is no contractual obligation or patient responsibility on the claim</w:t>
      </w:r>
      <w:r w:rsidR="002F777D" w:rsidRPr="00A37AB1">
        <w:t>.</w:t>
      </w:r>
    </w:p>
    <w:p w14:paraId="767A9C11" w14:textId="10D38116" w:rsidR="002F777D" w:rsidRPr="00A37AB1" w:rsidRDefault="002F777D" w:rsidP="00767B43">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31CDFC42" w14:textId="77777777" w:rsidR="00512244" w:rsidRPr="00512244" w:rsidRDefault="00884556" w:rsidP="00512244">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w:t>
      </w:r>
      <w:r w:rsidR="00512244" w:rsidRPr="00512244">
        <w:rPr>
          <w:rFonts w:ascii="Times New Roman" w:eastAsia="Times New Roman" w:hAnsi="Times New Roman" w:cs="Times New Roman"/>
          <w:sz w:val="24"/>
          <w:szCs w:val="24"/>
        </w:rPr>
        <w:t>Payer initiated reduction is a term used in the US healthcare system to describe a situation where a payer reduces the amount of payment for a service based on their own discretion. This reduction is initiated by the payer and is not based on any agreement between the payer and the provider.</w:t>
      </w:r>
    </w:p>
    <w:p w14:paraId="574869C0" w14:textId="7A6D26D3" w:rsidR="00512244" w:rsidRPr="00E2765F"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E2765F">
        <w:rPr>
          <w:rFonts w:ascii="Times New Roman" w:eastAsia="Times New Roman" w:hAnsi="Times New Roman" w:cs="Times New Roman"/>
          <w:b/>
          <w:sz w:val="24"/>
          <w:szCs w:val="24"/>
        </w:rPr>
        <w:t>Examples</w:t>
      </w:r>
      <w:r w:rsidR="00E2765F">
        <w:rPr>
          <w:rFonts w:ascii="Times New Roman" w:eastAsia="Times New Roman" w:hAnsi="Times New Roman" w:cs="Times New Roman"/>
          <w:b/>
          <w:sz w:val="24"/>
          <w:szCs w:val="24"/>
        </w:rPr>
        <w:t>:</w:t>
      </w:r>
      <w:r w:rsidRPr="00E2765F">
        <w:rPr>
          <w:rFonts w:ascii="Times New Roman" w:eastAsia="Times New Roman" w:hAnsi="Times New Roman" w:cs="Times New Roman"/>
          <w:b/>
          <w:sz w:val="24"/>
          <w:szCs w:val="24"/>
        </w:rPr>
        <w:t xml:space="preserve"> </w:t>
      </w:r>
    </w:p>
    <w:p w14:paraId="7036D589"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Lack of medical necessity:</w:t>
      </w:r>
      <w:r w:rsidRPr="00512244">
        <w:rPr>
          <w:rFonts w:ascii="Times New Roman" w:eastAsia="Times New Roman" w:hAnsi="Times New Roman" w:cs="Times New Roman"/>
          <w:sz w:val="24"/>
          <w:szCs w:val="24"/>
        </w:rPr>
        <w:t xml:space="preserve"> The payer may determine that a service was not medically necessary and therefore reduce the payment accordingly.</w:t>
      </w:r>
    </w:p>
    <w:p w14:paraId="02AAD472"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EA4CDA3"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Non-compliance with coding and billing requirements:</w:t>
      </w:r>
      <w:r w:rsidRPr="00512244">
        <w:rPr>
          <w:rFonts w:ascii="Times New Roman" w:eastAsia="Times New Roman" w:hAnsi="Times New Roman" w:cs="Times New Roman"/>
          <w:sz w:val="24"/>
          <w:szCs w:val="24"/>
        </w:rPr>
        <w:t xml:space="preserve"> The payer may initiate a reduction if the provider has not followed the payer's coding and billing requirements, such as using incorrect codes or not submitting the necessary documentation.</w:t>
      </w:r>
    </w:p>
    <w:p w14:paraId="4371D736"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59F9E1"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Cost containment measures:</w:t>
      </w:r>
      <w:r w:rsidRPr="00512244">
        <w:rPr>
          <w:rFonts w:ascii="Times New Roman" w:eastAsia="Times New Roman" w:hAnsi="Times New Roman" w:cs="Times New Roman"/>
          <w:sz w:val="24"/>
          <w:szCs w:val="24"/>
        </w:rPr>
        <w:t xml:space="preserve"> The payer may initiate a reduction in payment as a cost containment measure to manage healthcare costs.</w:t>
      </w:r>
    </w:p>
    <w:p w14:paraId="73D3D63F"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91D2246" w14:textId="46B3E8A8"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Overpayments:</w:t>
      </w:r>
      <w:r w:rsidRPr="00512244">
        <w:rPr>
          <w:rFonts w:ascii="Times New Roman" w:eastAsia="Times New Roman" w:hAnsi="Times New Roman" w:cs="Times New Roman"/>
          <w:sz w:val="24"/>
          <w:szCs w:val="24"/>
        </w:rPr>
        <w:t xml:space="preserve"> The payer may initiate a reduction if they have made an overpayment for a service, such as paying for a service twice or paying more than the contracted rate.</w:t>
      </w:r>
    </w:p>
    <w:p w14:paraId="47CA2E70"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991BDB" w14:textId="65B6850B" w:rsidR="00884556" w:rsidRPr="00A37AB1"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77BB3FC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7D31F17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543C0003" w14:textId="658A1419"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7E544BF0" w14:textId="2813659B" w:rsidR="001B369D" w:rsidRPr="00AA180F" w:rsidRDefault="009A29AF" w:rsidP="00AA180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7"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8"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lastRenderedPageBreak/>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xml:space="preserve"> EOBs are often processed manually. Given the high volume of claims that move through the medical industry, such manual processes quickly become time-consuming and tedious. Since ERAs are electronic, they’re seamless to </w:t>
      </w:r>
      <w:bookmarkStart w:id="0" w:name="_GoBack"/>
      <w:bookmarkEnd w:id="0"/>
      <w:r w:rsidRPr="00A37AB1">
        <w:rPr>
          <w:rFonts w:ascii="Times New Roman" w:hAnsi="Times New Roman" w:cs="Times New Roman"/>
          <w:sz w:val="24"/>
          <w:szCs w:val="24"/>
          <w:shd w:val="clear" w:color="auto" w:fill="FFFFFF"/>
        </w:rPr>
        <w:t>create and send. The result is invaluable time back for your front-office staff to interact directly with patients and complete other projects.</w:t>
      </w:r>
    </w:p>
    <w:p w14:paraId="112DD213" w14:textId="07E0D400"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9"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1B369D">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40475E" w:rsidP="00A2722A">
      <w:pPr>
        <w:shd w:val="clear" w:color="auto" w:fill="FFFFFF"/>
        <w:spacing w:after="0" w:line="240" w:lineRule="auto"/>
        <w:jc w:val="both"/>
        <w:rPr>
          <w:rFonts w:ascii="Times New Roman" w:hAnsi="Times New Roman" w:cs="Times New Roman"/>
          <w:sz w:val="24"/>
          <w:szCs w:val="24"/>
          <w:shd w:val="clear" w:color="auto" w:fill="FFFFFF"/>
        </w:rPr>
      </w:pPr>
      <w:hyperlink r:id="rId30"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An existing patient comes in for his scheduled visit to have a steroid injection for arthritis. The patient has been under your care for five years now. Upon his arrival, the front desk staff members asks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Authorization request and response</w:t>
      </w:r>
    </w:p>
    <w:p w14:paraId="3A78A180"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What </w:t>
      </w:r>
      <w:proofErr w:type="gramStart"/>
      <w:r w:rsidRPr="00A37AB1">
        <w:rPr>
          <w:rFonts w:ascii="Times New Roman" w:hAnsi="Times New Roman" w:cs="Times New Roman"/>
          <w:b/>
          <w:sz w:val="28"/>
          <w:szCs w:val="24"/>
          <w:shd w:val="clear" w:color="auto" w:fill="FFFFFF"/>
        </w:rPr>
        <w:t>are</w:t>
      </w:r>
      <w:proofErr w:type="gramEnd"/>
      <w:r w:rsidRPr="00A37AB1">
        <w:rPr>
          <w:rFonts w:ascii="Times New Roman" w:hAnsi="Times New Roman" w:cs="Times New Roman"/>
          <w:b/>
          <w:sz w:val="28"/>
          <w:szCs w:val="24"/>
          <w:shd w:val="clear" w:color="auto" w:fill="FFFFFF"/>
        </w:rPr>
        <w:t xml:space="preserv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lastRenderedPageBreak/>
        <w:t>Advantages of HIPAA 5010 over HIPAA 4010</w:t>
      </w:r>
    </w:p>
    <w:p w14:paraId="4325D19E"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Enhanced reporting on claims and more functional transactions</w:t>
      </w:r>
    </w:p>
    <w:p w14:paraId="6CD391A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Accommodation of ICD-10 values</w:t>
      </w:r>
    </w:p>
    <w:p w14:paraId="3613CC7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7098D208" w14:textId="77777777" w:rsidR="00AA180F" w:rsidRDefault="00AA180F" w:rsidP="00BF2F9D">
      <w:pPr>
        <w:pStyle w:val="NormalWeb"/>
        <w:shd w:val="clear" w:color="auto" w:fill="FFFFFF"/>
        <w:spacing w:before="0" w:beforeAutospacing="0" w:after="300" w:afterAutospacing="0"/>
        <w:jc w:val="center"/>
        <w:rPr>
          <w:b/>
          <w:sz w:val="32"/>
        </w:rPr>
      </w:pPr>
    </w:p>
    <w:p w14:paraId="09589677" w14:textId="0B2DA17C" w:rsidR="00BF2F9D" w:rsidRPr="00BF2F9D" w:rsidRDefault="00BF792C" w:rsidP="00BF2F9D">
      <w:pPr>
        <w:pStyle w:val="NormalWeb"/>
        <w:shd w:val="clear" w:color="auto" w:fill="FFFFFF"/>
        <w:spacing w:before="0" w:beforeAutospacing="0" w:after="300" w:afterAutospacing="0"/>
        <w:jc w:val="center"/>
        <w:rPr>
          <w:b/>
          <w:sz w:val="32"/>
        </w:rPr>
      </w:pPr>
      <w:r w:rsidRPr="00A37AB1">
        <w:rPr>
          <w:b/>
          <w:sz w:val="32"/>
        </w:rPr>
        <w:t>Patient Statement</w:t>
      </w:r>
    </w:p>
    <w:p w14:paraId="6481F43F" w14:textId="35D4EEE6" w:rsidR="00BF2F9D" w:rsidRDefault="00BF2F9D" w:rsidP="00BF2F9D">
      <w:pPr>
        <w:pStyle w:val="NormalWeb"/>
        <w:shd w:val="clear" w:color="auto" w:fill="FFFFFF"/>
        <w:jc w:val="both"/>
      </w:pPr>
      <w:r>
        <w:t>A patient statement in US healthcare is a document that summarizes the charges for medical services received by a patient. It is sent to the patient either by the healthcare provider or the patient's insurance company, and it provides a detailed breakdown of the services that were performed and the costs associated with those services. The patient statement may also show any payments made by the patient or the patient's insurance company, as well as any remaining balance that the patient is responsible for paying.</w:t>
      </w:r>
    </w:p>
    <w:p w14:paraId="44DDC390" w14:textId="0F436DF7" w:rsidR="00BF2F9D" w:rsidRPr="009134AC" w:rsidRDefault="00BF2F9D" w:rsidP="00BF2F9D">
      <w:pPr>
        <w:pStyle w:val="NormalWeb"/>
        <w:shd w:val="clear" w:color="auto" w:fill="FFFFFF"/>
        <w:jc w:val="both"/>
        <w:rPr>
          <w:b/>
          <w:bCs/>
        </w:rPr>
      </w:pPr>
      <w:r w:rsidRPr="009134AC">
        <w:rPr>
          <w:b/>
          <w:bCs/>
        </w:rPr>
        <w:t>What is the purpose of patie</w:t>
      </w:r>
      <w:r w:rsidR="009134AC" w:rsidRPr="009134AC">
        <w:rPr>
          <w:b/>
          <w:bCs/>
        </w:rPr>
        <w:t>nt statement?</w:t>
      </w:r>
    </w:p>
    <w:p w14:paraId="2A726FD6" w14:textId="2AE18F31" w:rsidR="00BF2F9D" w:rsidRDefault="00BF2F9D" w:rsidP="00BF2F9D">
      <w:pPr>
        <w:pStyle w:val="NormalWeb"/>
        <w:shd w:val="clear" w:color="auto" w:fill="FFFFFF"/>
        <w:spacing w:after="0"/>
        <w:jc w:val="both"/>
      </w:pPr>
      <w:r>
        <w:t>The purpose of a patient statement is to inform the patient of their financial responsibility for the medical services they have received. The statement is used by the patient to track their healthcare expenses, to help them understand their insurance coverage, and to manage their finances. It is also used by healthcare providers as a tool for collections and to communicate with patients about their outstanding balances.</w:t>
      </w:r>
    </w:p>
    <w:p w14:paraId="53117D63" w14:textId="3F9EF86D" w:rsidR="00576CD6" w:rsidRPr="00576CD6" w:rsidRDefault="00576CD6" w:rsidP="00BF2F9D">
      <w:pPr>
        <w:pStyle w:val="NormalWeb"/>
        <w:shd w:val="clear" w:color="auto" w:fill="FFFFFF"/>
        <w:spacing w:after="0"/>
        <w:jc w:val="both"/>
        <w:rPr>
          <w:b/>
          <w:bCs/>
        </w:rPr>
      </w:pPr>
      <w:r w:rsidRPr="00576CD6">
        <w:rPr>
          <w:b/>
          <w:bCs/>
        </w:rPr>
        <w:t>Conclusion:</w:t>
      </w:r>
    </w:p>
    <w:p w14:paraId="00367B7A" w14:textId="298B929A" w:rsidR="00BF2F9D" w:rsidRPr="00A37AB1" w:rsidRDefault="00BF2F9D" w:rsidP="00A2722A">
      <w:pPr>
        <w:pStyle w:val="NormalWeb"/>
        <w:shd w:val="clear" w:color="auto" w:fill="FFFFFF"/>
        <w:spacing w:after="0"/>
        <w:jc w:val="both"/>
      </w:pPr>
      <w:r>
        <w:t>In short, a patient statement is an important document in the US healthcare system that helps patients understand and manage their healthcare expenses.</w:t>
      </w:r>
    </w:p>
    <w:p w14:paraId="62152D95" w14:textId="77777777" w:rsidR="00EF3192" w:rsidRDefault="00EF3192" w:rsidP="008B0A4D">
      <w:pPr>
        <w:pStyle w:val="NormalWeb"/>
        <w:shd w:val="clear" w:color="auto" w:fill="FFFFFF"/>
        <w:spacing w:before="0" w:beforeAutospacing="0" w:after="300" w:afterAutospacing="0"/>
        <w:jc w:val="center"/>
        <w:rPr>
          <w:b/>
          <w:sz w:val="32"/>
        </w:rPr>
      </w:pPr>
    </w:p>
    <w:p w14:paraId="62D1BB58" w14:textId="76A99063"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lastRenderedPageBreak/>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29DC0B8B" w14:textId="77777777" w:rsidR="00576CD6" w:rsidRDefault="008B0A4D" w:rsidP="00576CD6">
      <w:pPr>
        <w:pStyle w:val="NormalWeb"/>
        <w:shd w:val="clear" w:color="auto" w:fill="FFFFFF"/>
        <w:spacing w:before="0" w:beforeAutospacing="0" w:after="300" w:afterAutospacing="0"/>
        <w:jc w:val="both"/>
      </w:pPr>
      <w:r w:rsidRPr="00A37AB1">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616CE6B8" w:rsidR="00242030" w:rsidRPr="00576CD6" w:rsidRDefault="00CE50A1" w:rsidP="00576CD6">
      <w:pPr>
        <w:pStyle w:val="NormalWeb"/>
        <w:shd w:val="clear" w:color="auto" w:fill="FFFFFF"/>
        <w:spacing w:before="0" w:beforeAutospacing="0" w:after="300" w:afterAutospacing="0"/>
        <w:jc w:val="cente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35D44A0C" w14:textId="77777777" w:rsidR="00576CD6" w:rsidRDefault="00576CD6" w:rsidP="00DB352A">
      <w:pPr>
        <w:pStyle w:val="NormalWeb"/>
        <w:shd w:val="clear" w:color="auto" w:fill="FFFFFF"/>
        <w:spacing w:before="0" w:beforeAutospacing="0" w:after="300" w:afterAutospacing="0"/>
        <w:rPr>
          <w:b/>
        </w:rPr>
      </w:pPr>
    </w:p>
    <w:p w14:paraId="2F7DCEC4" w14:textId="132CB97A"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0EE01698" w14:textId="45CF7480" w:rsidR="00E8457D"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 xml:space="preserve">The date of service is the specific time at which a patient has been given medical treatment. It is recorded for billing purposes and as an item in a patient's medical record. It also matters for insurance </w:t>
      </w:r>
      <w:r w:rsidRPr="00A37AB1">
        <w:rPr>
          <w:shd w:val="clear" w:color="auto" w:fill="FFFFFF"/>
        </w:rPr>
        <w:lastRenderedPageBreak/>
        <w:t>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A day sheet in the US healthcare system is a document used to record the financial transactions of a medical practice on a daily basis. It typically contains information about patient encounters, payments 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t>Fee Schedule</w:t>
      </w:r>
    </w:p>
    <w:p w14:paraId="03036380" w14:textId="77777777" w:rsidR="00AA180F" w:rsidRDefault="00AA180F" w:rsidP="00A2722A">
      <w:pPr>
        <w:pStyle w:val="NormalWeb"/>
        <w:shd w:val="clear" w:color="auto" w:fill="FFFFFF"/>
        <w:spacing w:before="0" w:beforeAutospacing="0" w:after="300" w:afterAutospacing="0"/>
        <w:jc w:val="both"/>
        <w:rPr>
          <w:szCs w:val="21"/>
          <w:shd w:val="clear" w:color="auto" w:fill="FBFBFB"/>
        </w:rPr>
      </w:pPr>
      <w:r w:rsidRPr="00AA180F">
        <w:rPr>
          <w:szCs w:val="21"/>
          <w:shd w:val="clear" w:color="auto" w:fill="FBFBFB"/>
        </w:rPr>
        <w:t>A fee schedule in US healthcare is a predetermined list of fees or reimbursement rates that healthcare providers or insurance companies agree to pay for specific medical services and procedures. These fees can vary by geographic location and may be influenced by factors such as the type of healthcare provider, the complexity of the service provided, and the type of insurance coverage held by the patient. The fee schedule is often used to determine how much a patient will be charged for a particular medical service and how much a healthcare provider will be reimbursed for providing that service.</w:t>
      </w:r>
    </w:p>
    <w:p w14:paraId="406A3763" w14:textId="50EF2FA3"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28759C">
      <w:pPr>
        <w:pStyle w:val="NormalWeb"/>
        <w:numPr>
          <w:ilvl w:val="0"/>
          <w:numId w:val="33"/>
        </w:numPr>
        <w:shd w:val="clear" w:color="auto" w:fill="FFFFFF"/>
        <w:spacing w:before="0" w:beforeAutospacing="0" w:after="300" w:afterAutospacing="0"/>
        <w:jc w:val="both"/>
      </w:pPr>
      <w:r w:rsidRPr="00A37AB1">
        <w:t>Physicians</w:t>
      </w:r>
    </w:p>
    <w:p w14:paraId="70C2A106" w14:textId="604014EF"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Durable medical equipment suppliers </w:t>
      </w:r>
    </w:p>
    <w:p w14:paraId="6BF2F68D" w14:textId="77777777" w:rsidR="00EF3192" w:rsidRDefault="00EF3192" w:rsidP="00363A81">
      <w:pPr>
        <w:pStyle w:val="NormalWeb"/>
        <w:shd w:val="clear" w:color="auto" w:fill="FFFFFF"/>
        <w:spacing w:before="0" w:beforeAutospacing="0" w:after="300" w:afterAutospacing="0"/>
        <w:ind w:left="360"/>
        <w:jc w:val="center"/>
        <w:rPr>
          <w:b/>
          <w:sz w:val="32"/>
        </w:rPr>
      </w:pPr>
    </w:p>
    <w:p w14:paraId="2F9FAED1" w14:textId="77777777" w:rsidR="00EF3192" w:rsidRDefault="00EF3192" w:rsidP="00363A81">
      <w:pPr>
        <w:pStyle w:val="NormalWeb"/>
        <w:shd w:val="clear" w:color="auto" w:fill="FFFFFF"/>
        <w:spacing w:before="0" w:beforeAutospacing="0" w:after="300" w:afterAutospacing="0"/>
        <w:ind w:left="360"/>
        <w:jc w:val="center"/>
        <w:rPr>
          <w:b/>
          <w:sz w:val="32"/>
        </w:rPr>
      </w:pPr>
    </w:p>
    <w:p w14:paraId="4C96C08F" w14:textId="62E96A4B"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lastRenderedPageBreak/>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21EB2193" w:rsidR="00BE2C8F" w:rsidRPr="00A37AB1" w:rsidRDefault="00BE2C8F" w:rsidP="002B09EB">
      <w:pPr>
        <w:pStyle w:val="NormalWeb"/>
        <w:shd w:val="clear" w:color="auto" w:fill="FFFFFF"/>
        <w:spacing w:before="0" w:beforeAutospacing="0" w:after="300" w:afterAutospacing="0"/>
        <w:jc w:val="both"/>
      </w:pPr>
      <w:r w:rsidRPr="00A37AB1">
        <w:t xml:space="preserve">There are seven steps of revenue cycle management </w:t>
      </w:r>
    </w:p>
    <w:p w14:paraId="63BBE95F" w14:textId="6EC9B09D" w:rsidR="00BE2C8F" w:rsidRPr="00A37AB1" w:rsidRDefault="00BE2C8F" w:rsidP="00BE2C8F">
      <w:pPr>
        <w:pStyle w:val="NormalWeb"/>
        <w:numPr>
          <w:ilvl w:val="1"/>
          <w:numId w:val="19"/>
        </w:numPr>
        <w:shd w:val="clear" w:color="auto" w:fill="FFFFFF"/>
        <w:spacing w:before="0" w:beforeAutospacing="0" w:after="300" w:afterAutospacing="0"/>
        <w:jc w:val="both"/>
        <w:rPr>
          <w:b/>
        </w:rPr>
      </w:pPr>
      <w:r w:rsidRPr="00A37AB1">
        <w:rPr>
          <w:b/>
        </w:rPr>
        <w:t>Preregistration</w:t>
      </w:r>
    </w:p>
    <w:p w14:paraId="1DE806BA" w14:textId="4F54A13D" w:rsidR="00BE2C8F" w:rsidRPr="00A37AB1" w:rsidRDefault="00BE2C8F" w:rsidP="0078782B">
      <w:pPr>
        <w:pStyle w:val="NormalWeb"/>
        <w:shd w:val="clear" w:color="auto" w:fill="FFFFFF"/>
        <w:spacing w:after="300"/>
        <w:ind w:left="360"/>
        <w:jc w:val="both"/>
      </w:pPr>
      <w:r w:rsidRPr="00A37AB1">
        <w:t>Preregistration allows the medical practice to capture demographic information, insurance information and eligibility in real-time through a clearinghouse, often while the patient is still on the phone. Information goes to the patient’s insurance carrier and flows through the provider’s practice management system, then tells the provider the patient’s coverage, deductible, co-insurance, co-payment, and in certain instances, if a referral is needed.</w:t>
      </w:r>
    </w:p>
    <w:p w14:paraId="4A895DB0" w14:textId="03B468C1" w:rsidR="00BE2C8F" w:rsidRPr="00A37AB1" w:rsidRDefault="00BE2C8F" w:rsidP="00D5634A">
      <w:pPr>
        <w:pStyle w:val="NormalWeb"/>
        <w:shd w:val="clear" w:color="auto" w:fill="FFFFFF"/>
        <w:spacing w:before="0" w:beforeAutospacing="0" w:after="300" w:afterAutospacing="0"/>
        <w:ind w:left="360"/>
        <w:jc w:val="both"/>
      </w:pPr>
      <w:r w:rsidRPr="00A37AB1">
        <w:t>During preregistration, the practice can discuss financial expectations of the patient, including time of payment and no-show/cancellation policy. The preregistration process allows a practice to set the financial tone at the beginning and prevents questions about payment. If a practice doesn’t have a tight preregistration process, there are many areas that can get missed. Check your preregistration process to get your revenue cycle process off to a strong start.</w:t>
      </w:r>
    </w:p>
    <w:p w14:paraId="3B236963" w14:textId="3EC6115B" w:rsidR="00CC5F15" w:rsidRPr="00A37AB1" w:rsidRDefault="00CC5F15" w:rsidP="00CC5F15">
      <w:pPr>
        <w:pStyle w:val="NormalWeb"/>
        <w:numPr>
          <w:ilvl w:val="1"/>
          <w:numId w:val="19"/>
        </w:numPr>
        <w:shd w:val="clear" w:color="auto" w:fill="FFFFFF"/>
        <w:spacing w:before="0" w:beforeAutospacing="0" w:after="300" w:afterAutospacing="0"/>
        <w:jc w:val="both"/>
        <w:rPr>
          <w:b/>
        </w:rPr>
      </w:pPr>
      <w:r w:rsidRPr="00A37AB1">
        <w:rPr>
          <w:b/>
        </w:rPr>
        <w:t xml:space="preserve">Registration </w:t>
      </w:r>
    </w:p>
    <w:p w14:paraId="4F94B18A" w14:textId="020E8D7A" w:rsidR="00CC5F15" w:rsidRPr="00A37AB1" w:rsidRDefault="00CC5F15" w:rsidP="00D5634A">
      <w:pPr>
        <w:pStyle w:val="NormalWeb"/>
        <w:shd w:val="clear" w:color="auto" w:fill="FFFFFF"/>
        <w:spacing w:before="0" w:beforeAutospacing="0" w:after="300" w:afterAutospacing="0"/>
        <w:ind w:left="360"/>
        <w:jc w:val="both"/>
        <w:rPr>
          <w:shd w:val="clear" w:color="auto" w:fill="FFFFFF"/>
        </w:rPr>
      </w:pPr>
      <w:r w:rsidRPr="00A37AB1">
        <w:rPr>
          <w:shd w:val="clear" w:color="auto" w:fill="FFFFFF"/>
        </w:rPr>
        <w:t>Registration solidifies the process of ensuring the patient’s information is 100% accurate from start to finish. During registration, the provider makes sure the patient’s address, phone number, date of birth, guarantors, and insurance information are correct, and it’s critical they secure this data each time a patient is treated.</w:t>
      </w:r>
    </w:p>
    <w:p w14:paraId="03563327" w14:textId="291B3D47" w:rsidR="00CC5F15" w:rsidRPr="00A37AB1" w:rsidRDefault="00CC5F15" w:rsidP="00D5634A">
      <w:pPr>
        <w:pStyle w:val="NormalWeb"/>
        <w:shd w:val="clear" w:color="auto" w:fill="FFFFFF"/>
        <w:spacing w:before="0" w:beforeAutospacing="0" w:after="300" w:afterAutospacing="0"/>
        <w:ind w:left="360"/>
        <w:jc w:val="both"/>
        <w:rPr>
          <w:shd w:val="clear" w:color="auto" w:fill="FFFFFF"/>
        </w:rPr>
      </w:pPr>
      <w:r w:rsidRPr="00A37AB1">
        <w:rPr>
          <w:shd w:val="clear" w:color="auto" w:fill="FFFFFF"/>
        </w:rPr>
        <w:t>During registration, the provider collects co-payments, and if it’s a specialist, they will ensure a referral or authorization is in place to treat the patient. If that step is missed in a specialist’s office, it is unlikely they will get paid for that service in the end. During registration, financial forms are signed, and insurance benefits are assigned. In the event these steps are missed and the practice is audited, there’s the risk of financial repercussion.</w:t>
      </w:r>
    </w:p>
    <w:p w14:paraId="32212C3C" w14:textId="2F4AC7E0" w:rsidR="00CC5F15" w:rsidRPr="00A37AB1" w:rsidRDefault="00CC5F15" w:rsidP="00CC5F15">
      <w:pPr>
        <w:pStyle w:val="NormalWeb"/>
        <w:numPr>
          <w:ilvl w:val="1"/>
          <w:numId w:val="19"/>
        </w:numPr>
        <w:shd w:val="clear" w:color="auto" w:fill="FFFFFF"/>
        <w:spacing w:before="0" w:beforeAutospacing="0" w:after="300" w:afterAutospacing="0"/>
        <w:jc w:val="both"/>
        <w:rPr>
          <w:b/>
        </w:rPr>
      </w:pPr>
      <w:r w:rsidRPr="00A37AB1">
        <w:rPr>
          <w:b/>
        </w:rPr>
        <w:t xml:space="preserve">Charge Capture </w:t>
      </w:r>
    </w:p>
    <w:p w14:paraId="468A490B" w14:textId="625E9A7D" w:rsidR="00790CA9" w:rsidRPr="00A37AB1" w:rsidRDefault="00790CA9" w:rsidP="00D5634A">
      <w:pPr>
        <w:pStyle w:val="NormalWeb"/>
        <w:shd w:val="clear" w:color="auto" w:fill="FFFFFF"/>
        <w:spacing w:after="300"/>
        <w:ind w:left="360"/>
        <w:jc w:val="both"/>
      </w:pPr>
      <w:r w:rsidRPr="00A37AB1">
        <w:t>It can be automated, where the information automatically flows into the practice management billing side based on what the provider puts in their documentation. The other option is the old-fashioned way, where front desk staff enter information or send it to billing, where it’s manually keyed in.</w:t>
      </w:r>
    </w:p>
    <w:p w14:paraId="090548EF" w14:textId="625994BC" w:rsidR="00790CA9" w:rsidRPr="00A37AB1" w:rsidRDefault="00790CA9" w:rsidP="00D5634A">
      <w:pPr>
        <w:pStyle w:val="NormalWeb"/>
        <w:shd w:val="clear" w:color="auto" w:fill="FFFFFF"/>
        <w:spacing w:after="300"/>
        <w:ind w:left="360"/>
        <w:jc w:val="both"/>
      </w:pPr>
      <w:r w:rsidRPr="00A37AB1">
        <w:lastRenderedPageBreak/>
        <w:t>There are advantages and disadvantages to both approaches, as there are charges that can be missed either way. One commonly missed charge includes ancillary services, which results in revenue left on the table. To prevent missing charges, make sure you are coding charges and getting them to the insurance carrier correctly.</w:t>
      </w:r>
    </w:p>
    <w:p w14:paraId="7EFF4458" w14:textId="77777777" w:rsidR="00790CA9" w:rsidRPr="00A37AB1" w:rsidRDefault="00790CA9" w:rsidP="00D5634A">
      <w:pPr>
        <w:pStyle w:val="NormalWeb"/>
        <w:shd w:val="clear" w:color="auto" w:fill="FFFFFF"/>
        <w:spacing w:before="0" w:beforeAutospacing="0" w:after="300" w:afterAutospacing="0"/>
        <w:ind w:left="360"/>
        <w:jc w:val="both"/>
      </w:pPr>
      <w:r w:rsidRPr="00A37AB1">
        <w:t>If you are concerned that you may not be accounting for all charges, consult an expert to review your charge capture process. As part of a revenue cycle audit, an experienced advisor can follow</w:t>
      </w:r>
    </w:p>
    <w:p w14:paraId="44DA4F80" w14:textId="215105B5" w:rsidR="00BE2C8F" w:rsidRPr="00A37AB1" w:rsidRDefault="00790CA9" w:rsidP="00D5634A">
      <w:pPr>
        <w:pStyle w:val="NormalWeb"/>
        <w:shd w:val="clear" w:color="auto" w:fill="FFFFFF"/>
        <w:spacing w:before="0" w:beforeAutospacing="0" w:after="300" w:afterAutospacing="0"/>
        <w:ind w:left="360"/>
        <w:jc w:val="both"/>
      </w:pPr>
      <w:r w:rsidRPr="00A37AB1">
        <w:t>a charge from start to finish, uncover missing charges, and identify miscoded charges. Making sure you are capturing your charges correctly is an important piece of the revenue cycle process.</w:t>
      </w:r>
    </w:p>
    <w:p w14:paraId="3C54B77D" w14:textId="3AE51BF7" w:rsidR="00790CA9" w:rsidRPr="00A37AB1" w:rsidRDefault="00790CA9" w:rsidP="00790CA9">
      <w:pPr>
        <w:pStyle w:val="NormalWeb"/>
        <w:numPr>
          <w:ilvl w:val="1"/>
          <w:numId w:val="19"/>
        </w:numPr>
        <w:shd w:val="clear" w:color="auto" w:fill="FFFFFF"/>
        <w:spacing w:before="0" w:beforeAutospacing="0" w:after="300" w:afterAutospacing="0"/>
        <w:jc w:val="both"/>
        <w:rPr>
          <w:b/>
        </w:rPr>
      </w:pPr>
      <w:r w:rsidRPr="00A37AB1">
        <w:rPr>
          <w:b/>
        </w:rPr>
        <w:t xml:space="preserve">Claim Submission </w:t>
      </w:r>
    </w:p>
    <w:p w14:paraId="5A8300B0" w14:textId="77777777" w:rsidR="000F762C" w:rsidRPr="00A37AB1" w:rsidRDefault="000F762C" w:rsidP="00B47A47">
      <w:pPr>
        <w:pStyle w:val="NormalWeb"/>
        <w:shd w:val="clear" w:color="auto" w:fill="FFFFFF"/>
        <w:ind w:left="360"/>
      </w:pPr>
      <w:r w:rsidRPr="00A37AB1">
        <w:t>Claim submission includes sending information to the insurance carrier after the charges have been entered. The revenue cycle team will look at the charges, the CPT code, and the diagnosis code. They will ask whether the diagnosis will support the procedure performed. If two services are provided, those need to be separated and coded correctly.</w:t>
      </w:r>
    </w:p>
    <w:p w14:paraId="6EBE4311" w14:textId="77777777" w:rsidR="000F762C" w:rsidRPr="00A37AB1" w:rsidRDefault="000F762C" w:rsidP="00B47A47">
      <w:pPr>
        <w:pStyle w:val="NormalWeb"/>
        <w:shd w:val="clear" w:color="auto" w:fill="FFFFFF"/>
        <w:ind w:left="360"/>
      </w:pPr>
      <w:r w:rsidRPr="00A37AB1">
        <w:t>Claim scrubbing is the process of making sure claims are clean and going in the door correctly. If a claim gets to the insurance carrier clean, it will get paid a lot faster. The process includes sending the claims from your practice management system to a clearinghouse, which acts as a mailroom, taking in the claims and sending them to the different payers.</w:t>
      </w:r>
    </w:p>
    <w:p w14:paraId="141FC8EE" w14:textId="06C7B1B1" w:rsidR="000F762C" w:rsidRPr="00A37AB1" w:rsidRDefault="000F762C" w:rsidP="00B47A47">
      <w:pPr>
        <w:pStyle w:val="NormalWeb"/>
        <w:shd w:val="clear" w:color="auto" w:fill="FFFFFF"/>
        <w:ind w:left="360"/>
      </w:pPr>
      <w:r w:rsidRPr="00A37AB1">
        <w:t>The transmission report shows claims sent, claims coming back in, and claims dropped, while the rejections report identifies incorrect codes. Make sure you review both reports as part of the claim submission process. The sooner errors are identified, the sooner they can be fixed, and the sooner the claims will get paid.</w:t>
      </w:r>
    </w:p>
    <w:p w14:paraId="35F88188" w14:textId="7B1D56BE" w:rsidR="00B47A47" w:rsidRPr="00A37AB1" w:rsidRDefault="00B47A47" w:rsidP="00B47A47">
      <w:pPr>
        <w:pStyle w:val="NormalWeb"/>
        <w:numPr>
          <w:ilvl w:val="1"/>
          <w:numId w:val="19"/>
        </w:numPr>
        <w:shd w:val="clear" w:color="auto" w:fill="FFFFFF"/>
        <w:rPr>
          <w:b/>
        </w:rPr>
      </w:pPr>
      <w:r w:rsidRPr="00A37AB1">
        <w:rPr>
          <w:b/>
        </w:rPr>
        <w:t xml:space="preserve">Remittance Processing </w:t>
      </w:r>
    </w:p>
    <w:p w14:paraId="6ABF3F5F" w14:textId="7F4BFC91" w:rsidR="001165F3" w:rsidRPr="00A37AB1" w:rsidRDefault="001165F3" w:rsidP="00D5634A">
      <w:pPr>
        <w:pStyle w:val="NormalWeb"/>
        <w:shd w:val="clear" w:color="auto" w:fill="FFFFFF"/>
        <w:ind w:left="360"/>
      </w:pPr>
      <w:r w:rsidRPr="00A37AB1">
        <w:t xml:space="preserve">Once a practice’s claims have gone out, they will get remittances back. The explanation of benefits shows the practice what they got paid for the services provided. During this process, </w:t>
      </w:r>
      <w:proofErr w:type="spellStart"/>
      <w:r w:rsidRPr="00A37AB1">
        <w:t>allowables</w:t>
      </w:r>
      <w:proofErr w:type="spellEnd"/>
      <w:r w:rsidRPr="00A37AB1">
        <w:t xml:space="preserve"> are determined. </w:t>
      </w:r>
      <w:proofErr w:type="spellStart"/>
      <w:r w:rsidRPr="00A37AB1">
        <w:t>Allowables</w:t>
      </w:r>
      <w:proofErr w:type="spellEnd"/>
      <w:r w:rsidRPr="00A37AB1">
        <w:t xml:space="preserve"> are what the provider has contracted with the insurance carrier on a service provided. The provider and carrier negotiate the contract, at which time the insurance company will confirm how much they will pay for each service.</w:t>
      </w:r>
    </w:p>
    <w:p w14:paraId="45EF09AF" w14:textId="77777777" w:rsidR="001165F3" w:rsidRPr="00A37AB1" w:rsidRDefault="001165F3" w:rsidP="00D5634A">
      <w:pPr>
        <w:pStyle w:val="NormalWeb"/>
        <w:shd w:val="clear" w:color="auto" w:fill="FFFFFF"/>
        <w:ind w:left="360"/>
      </w:pPr>
      <w:r w:rsidRPr="00A37AB1">
        <w:t xml:space="preserve">Another element of remittances are fee schedules, which are the amounts providers charge for each of their services. Providers should review their fee schedules on an annual basis to make sure they are in line with adjusting rates, contracts, and </w:t>
      </w:r>
      <w:proofErr w:type="spellStart"/>
      <w:r w:rsidRPr="00A37AB1">
        <w:t>allowables</w:t>
      </w:r>
      <w:proofErr w:type="spellEnd"/>
      <w:r w:rsidRPr="00A37AB1">
        <w:t>. Evaluate your fees regularly to make sure you are not leaving money on the table.</w:t>
      </w:r>
    </w:p>
    <w:p w14:paraId="72D0B6A2" w14:textId="21255185" w:rsidR="001165F3" w:rsidRPr="00A37AB1" w:rsidRDefault="001165F3" w:rsidP="00D5634A">
      <w:pPr>
        <w:pStyle w:val="NormalWeb"/>
        <w:shd w:val="clear" w:color="auto" w:fill="FFFFFF"/>
        <w:ind w:left="360"/>
      </w:pPr>
      <w:r w:rsidRPr="00A37AB1">
        <w:t>The final piece of the remittance process includes write-offs, both contractual and non-contractual. Contractual write-offs are unpreventable, as they involve contracted rates with carriers and payers.</w:t>
      </w:r>
    </w:p>
    <w:p w14:paraId="026EB3B1" w14:textId="446B79FD" w:rsidR="00790CA9" w:rsidRPr="00A37AB1" w:rsidRDefault="001165F3" w:rsidP="00D5634A">
      <w:pPr>
        <w:pStyle w:val="NormalWeb"/>
        <w:shd w:val="clear" w:color="auto" w:fill="FFFFFF"/>
        <w:ind w:left="360"/>
      </w:pPr>
      <w:r w:rsidRPr="00A37AB1">
        <w:t xml:space="preserve">On the other hand, non-contractual write-offs are avoidable; they include write-offs that would have not happened with a tight process in place, either at the beginning, the end, or somewhere along the </w:t>
      </w:r>
      <w:r w:rsidRPr="00A37AB1">
        <w:lastRenderedPageBreak/>
        <w:t>way. Avoidable write-offs are generally the result of a breakdown in the provider’s remittance process and can be prevented by looking at reports. Red flags include no authorization, no referral on file, and claim not submitted in a timely manner.</w:t>
      </w:r>
    </w:p>
    <w:p w14:paraId="5F1B325F" w14:textId="77777777" w:rsidR="00D5634A" w:rsidRPr="00A37AB1" w:rsidRDefault="001165F3" w:rsidP="00D5634A">
      <w:pPr>
        <w:pStyle w:val="NormalWeb"/>
        <w:numPr>
          <w:ilvl w:val="1"/>
          <w:numId w:val="19"/>
        </w:numPr>
        <w:shd w:val="clear" w:color="auto" w:fill="FFFFFF"/>
        <w:rPr>
          <w:b/>
        </w:rPr>
      </w:pPr>
      <w:r w:rsidRPr="00A37AB1">
        <w:rPr>
          <w:b/>
        </w:rPr>
        <w:t>Insurance Follow-up</w:t>
      </w:r>
    </w:p>
    <w:p w14:paraId="79A55AA0" w14:textId="3CF35BF2" w:rsidR="001165F3" w:rsidRPr="00A37AB1" w:rsidRDefault="001165F3" w:rsidP="00D5634A">
      <w:pPr>
        <w:pStyle w:val="NormalWeb"/>
        <w:shd w:val="clear" w:color="auto" w:fill="FFFFFF"/>
        <w:ind w:left="360"/>
      </w:pPr>
      <w:r w:rsidRPr="00A37AB1">
        <w:t>In this stage, practices look at not only what has been paid, but also what has not been paid. What happens to the items that don’t get paid?</w:t>
      </w:r>
    </w:p>
    <w:p w14:paraId="5792A85B" w14:textId="77777777" w:rsidR="001165F3" w:rsidRPr="001165F3"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The accounts receivable (A/R) report shows everything that’s sitting in the insurance and/or patient buckets for a period of time. This report will show if insurance follow-up is broken and why it is taking so long to get it paid.</w:t>
      </w:r>
    </w:p>
    <w:p w14:paraId="30518B31" w14:textId="77777777" w:rsidR="001165F3" w:rsidRPr="001165F3"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An important piece of insurance follow-up is determining the structure. Questions to ask include:</w:t>
      </w:r>
    </w:p>
    <w:p w14:paraId="4355B25D"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Are people assigned certain carriers?</w:t>
      </w:r>
    </w:p>
    <w:p w14:paraId="49A87246"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Is your billing team cross-trained?</w:t>
      </w:r>
    </w:p>
    <w:p w14:paraId="5E34D520"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Do you have more than one billing person who can work on Medicare?</w:t>
      </w:r>
    </w:p>
    <w:p w14:paraId="2BE10378"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Is the practice management team working this insurance?</w:t>
      </w:r>
    </w:p>
    <w:p w14:paraId="724EDA13"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Are you seeing any noticeable changes on the aging monthly?</w:t>
      </w:r>
    </w:p>
    <w:p w14:paraId="5610EFAE"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Are claims being appealed or are they being resubmitted?</w:t>
      </w:r>
    </w:p>
    <w:p w14:paraId="62C7CBE3" w14:textId="0E620B79" w:rsidR="001165F3" w:rsidRPr="00A37AB1"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If you are concerned your insurance follow-up piece is broken, bring in a consultant to advise you on how to fix it.</w:t>
      </w:r>
    </w:p>
    <w:p w14:paraId="625EDB2D" w14:textId="62B27D37" w:rsidR="004B137B" w:rsidRPr="00A37AB1" w:rsidRDefault="004B137B" w:rsidP="004B137B">
      <w:pPr>
        <w:pStyle w:val="ListParagraph"/>
        <w:numPr>
          <w:ilvl w:val="1"/>
          <w:numId w:val="1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Patient Collection </w:t>
      </w:r>
    </w:p>
    <w:p w14:paraId="03AB228E" w14:textId="77777777" w:rsidR="00D5634A" w:rsidRPr="00A37AB1" w:rsidRDefault="00D5634A" w:rsidP="00D5634A">
      <w:pPr>
        <w:pStyle w:val="NormalWeb"/>
        <w:shd w:val="clear" w:color="auto" w:fill="FFFFFF"/>
        <w:ind w:left="360"/>
      </w:pPr>
      <w:r w:rsidRPr="00A37AB1">
        <w:t>Patient collection in revenue cycle management in US healthcare refers to the process of collecting payments from patients for the portion of their medical bills that are not covered by their insurance. This can include co-payments, deductibles, and charges for services that are not covered by the patient's insurance policy.</w:t>
      </w:r>
    </w:p>
    <w:p w14:paraId="7626EB99" w14:textId="57594D91" w:rsidR="004B137B" w:rsidRPr="00A37AB1" w:rsidRDefault="00D5634A" w:rsidP="00D5634A">
      <w:pPr>
        <w:pStyle w:val="NormalWeb"/>
        <w:shd w:val="clear" w:color="auto" w:fill="FFFFFF"/>
        <w:ind w:left="360"/>
      </w:pPr>
      <w:r w:rsidRPr="00A37AB1">
        <w:t>The</w:t>
      </w:r>
      <w:r w:rsidR="004B137B" w:rsidRPr="00A37AB1">
        <w:t xml:space="preserve"> best time to get money from a patient is when they are in your office. For that reason, it’s recommended that front desk staff are trained to collect at the time of service. To prevent the collections backlog from snowballing, make sure you have a standard policy for collecting copayments and deductibles that sets the financial expectations for the practice.</w:t>
      </w:r>
    </w:p>
    <w:p w14:paraId="38E1EE70" w14:textId="20A4D950" w:rsidR="001165F3" w:rsidRPr="00A37AB1" w:rsidRDefault="004B137B" w:rsidP="00D5634A">
      <w:pPr>
        <w:pStyle w:val="NormalWeb"/>
        <w:shd w:val="clear" w:color="auto" w:fill="FFFFFF"/>
        <w:ind w:left="360"/>
      </w:pPr>
      <w:r w:rsidRPr="00A37AB1">
        <w:t>Just as important is making sure routine patient statements go out. The best practice is a daily statement cycle – your patients will get one statement every 30 days, but statements to go out more quickly, allowing you to get your revenue cycle moving better and your cash flow gets accelerated</w:t>
      </w:r>
      <w:r w:rsidR="00D5634A" w:rsidRPr="00A37AB1">
        <w:t>.</w:t>
      </w:r>
    </w:p>
    <w:p w14:paraId="7A2DB553" w14:textId="62A5B90D" w:rsidR="002B09EB" w:rsidRPr="00A37AB1" w:rsidRDefault="002B09EB" w:rsidP="002B09EB">
      <w:pPr>
        <w:pStyle w:val="NormalWeb"/>
        <w:shd w:val="clear" w:color="auto" w:fill="FFFFFF"/>
        <w:spacing w:before="0" w:beforeAutospacing="0" w:after="300" w:afterAutospacing="0"/>
        <w:jc w:val="center"/>
        <w:rPr>
          <w:b/>
          <w:sz w:val="32"/>
        </w:rPr>
      </w:pPr>
      <w:r w:rsidRPr="00A37AB1">
        <w:rPr>
          <w:b/>
          <w:sz w:val="32"/>
        </w:rPr>
        <w:t>Centers for Medicare and Medicaid Services (CMS)</w:t>
      </w:r>
    </w:p>
    <w:p w14:paraId="0AB916C5" w14:textId="24ECE775" w:rsidR="002B09EB" w:rsidRPr="00A37AB1" w:rsidRDefault="002B09EB" w:rsidP="002B09EB">
      <w:pPr>
        <w:pStyle w:val="NormalWeb"/>
        <w:shd w:val="clear" w:color="auto" w:fill="FFFFFF"/>
        <w:spacing w:before="0" w:beforeAutospacing="0" w:after="300" w:afterAutospacing="0"/>
        <w:jc w:val="both"/>
      </w:pPr>
      <w:r w:rsidRPr="00A37AB1">
        <w:t xml:space="preserve">The Centers for Medicare and Medicaid Services (CMS) is a federal agency that provides health insurance coverage to Americans via Medicare and works with state governments to provide insurance </w:t>
      </w:r>
      <w:r w:rsidRPr="00A37AB1">
        <w:lastRenderedPageBreak/>
        <w:t>through Medicaid and </w:t>
      </w:r>
      <w:hyperlink r:id="rId31" w:history="1">
        <w:r w:rsidRPr="00A37AB1">
          <w:rPr>
            <w:rStyle w:val="Hyperlink"/>
            <w:b/>
            <w:bCs/>
            <w:color w:val="auto"/>
            <w:u w:val="none"/>
            <w:bdr w:val="none" w:sz="0" w:space="0" w:color="auto" w:frame="1"/>
          </w:rPr>
          <w:t>CHIP</w:t>
        </w:r>
      </w:hyperlink>
      <w:r w:rsidRPr="00A37AB1">
        <w:t>. CMS is also responsible for overseeing HIPAA administration, quality standards in </w:t>
      </w:r>
      <w:hyperlink r:id="rId32" w:history="1">
        <w:r w:rsidRPr="00A37AB1">
          <w:rPr>
            <w:rStyle w:val="Hyperlink"/>
            <w:b/>
            <w:bCs/>
            <w:color w:val="auto"/>
            <w:u w:val="none"/>
            <w:bdr w:val="none" w:sz="0" w:space="0" w:color="auto" w:frame="1"/>
          </w:rPr>
          <w:t>long-term care facilities</w:t>
        </w:r>
      </w:hyperlink>
      <w:r w:rsidRPr="00A37AB1">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Calculating net collection rate involves several important steps: </w:t>
      </w:r>
    </w:p>
    <w:p w14:paraId="36BD8FD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lastRenderedPageBreak/>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B3661E">
      <w:pPr>
        <w:pStyle w:val="ListParagraph"/>
        <w:numPr>
          <w:ilvl w:val="0"/>
          <w:numId w:val="35"/>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t>Group Number</w:t>
      </w:r>
    </w:p>
    <w:p w14:paraId="260AFF04" w14:textId="03E43B09" w:rsidR="007D6534" w:rsidRPr="00A37AB1" w:rsidRDefault="007D6534" w:rsidP="003E4446">
      <w:pPr>
        <w:pStyle w:val="NormalWeb"/>
        <w:shd w:val="clear" w:color="auto" w:fill="FFFFFF"/>
        <w:spacing w:before="0" w:beforeAutospacing="0"/>
      </w:pPr>
      <w:r w:rsidRPr="00A37AB1">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t>As an Inpatient</w:t>
      </w:r>
    </w:p>
    <w:p w14:paraId="1A1AFAA3" w14:textId="7777777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298D6B9A" w14:textId="0F9A4F3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Traumatic injury</w:t>
      </w:r>
    </w:p>
    <w:p w14:paraId="53616FD3" w14:textId="12C0A981"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1331785C"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Chronic diseases, such as cancer and chronic obstructive pulmonary disease (COPD), that require specialized treatment and ongoing care</w:t>
      </w:r>
    </w:p>
    <w:p w14:paraId="009199A5"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screenings such as mammogram, colonoscopy, and endoscopy</w:t>
      </w:r>
    </w:p>
    <w:p w14:paraId="0CEC46E2"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3"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8272BD" w:rsidRDefault="003E2FF1"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8"/>
          <w:szCs w:val="24"/>
        </w:rPr>
      </w:pPr>
      <w:r w:rsidRPr="008272BD">
        <w:rPr>
          <w:rFonts w:ascii="Times New Roman" w:eastAsia="Times New Roman" w:hAnsi="Times New Roman" w:cs="Times New Roman"/>
          <w:b/>
          <w:sz w:val="28"/>
          <w:szCs w:val="24"/>
        </w:rPr>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Coverage</w:t>
      </w:r>
    </w:p>
    <w:p w14:paraId="29874853" w14:textId="363D64F6"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4"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stay in a long-term care hospital</w:t>
      </w:r>
    </w:p>
    <w:p w14:paraId="24304D9A"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nursing home care that is not long-term or custodial</w:t>
      </w:r>
    </w:p>
    <w:p w14:paraId="6C1DC849"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30219C4D" w:rsidR="003E2FF1" w:rsidRPr="00761B66"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761B66">
        <w:rPr>
          <w:rFonts w:ascii="Times New Roman" w:eastAsia="Times New Roman" w:hAnsi="Times New Roman" w:cs="Times New Roman"/>
          <w:b/>
          <w:sz w:val="24"/>
          <w:szCs w:val="24"/>
        </w:rPr>
        <w:t xml:space="preserve">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5"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36"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B3661E">
      <w:pPr>
        <w:numPr>
          <w:ilvl w:val="0"/>
          <w:numId w:val="4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 premium if you worked at least 40 quarters (10 years) in your lifetime and paid Medicare taxes (you’ll pay up to $506 per month if you worked less than 40 quarters)</w:t>
      </w:r>
    </w:p>
    <w:p w14:paraId="126C78EF" w14:textId="1C7F907C"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$1,600 deductible for each </w:t>
      </w:r>
      <w:hyperlink r:id="rId37"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38"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8272BD" w:rsidRDefault="009579D5" w:rsidP="00CC5F15">
      <w:pPr>
        <w:pStyle w:val="ListParagraph"/>
        <w:numPr>
          <w:ilvl w:val="1"/>
          <w:numId w:val="67"/>
        </w:numPr>
        <w:spacing w:before="100" w:beforeAutospacing="1" w:after="120" w:line="390" w:lineRule="atLeast"/>
        <w:rPr>
          <w:rFonts w:ascii="Times New Roman" w:hAnsi="Times New Roman" w:cs="Times New Roman"/>
          <w:b/>
          <w:sz w:val="28"/>
          <w:szCs w:val="24"/>
        </w:rPr>
      </w:pPr>
      <w:r w:rsidRPr="008272BD">
        <w:rPr>
          <w:rFonts w:ascii="Times New Roman" w:hAnsi="Times New Roman" w:cs="Times New Roman"/>
          <w:b/>
          <w:sz w:val="28"/>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doctors’ visits</w:t>
      </w:r>
    </w:p>
    <w:p w14:paraId="7CF8A9FC"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40475E" w:rsidP="00B3661E">
      <w:pPr>
        <w:numPr>
          <w:ilvl w:val="0"/>
          <w:numId w:val="41"/>
        </w:numPr>
        <w:spacing w:before="100" w:beforeAutospacing="1" w:after="120" w:line="390" w:lineRule="atLeast"/>
        <w:rPr>
          <w:rFonts w:ascii="Times New Roman" w:hAnsi="Times New Roman" w:cs="Times New Roman"/>
          <w:sz w:val="24"/>
          <w:szCs w:val="24"/>
        </w:rPr>
      </w:pPr>
      <w:hyperlink r:id="rId39"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40475E" w:rsidP="00B3661E">
      <w:pPr>
        <w:numPr>
          <w:ilvl w:val="0"/>
          <w:numId w:val="41"/>
        </w:numPr>
        <w:spacing w:before="100" w:beforeAutospacing="1" w:after="120" w:line="390" w:lineRule="atLeast"/>
        <w:rPr>
          <w:rFonts w:ascii="Times New Roman" w:hAnsi="Times New Roman" w:cs="Times New Roman"/>
          <w:sz w:val="24"/>
          <w:szCs w:val="24"/>
        </w:rPr>
      </w:pPr>
      <w:hyperlink r:id="rId40"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some </w:t>
      </w:r>
      <w:hyperlink r:id="rId41" w:history="1">
        <w:r w:rsidRPr="00A37AB1">
          <w:rPr>
            <w:rStyle w:val="Hyperlink"/>
            <w:rFonts w:ascii="Times New Roman" w:hAnsi="Times New Roman" w:cs="Times New Roman"/>
            <w:color w:val="auto"/>
            <w:sz w:val="24"/>
            <w:szCs w:val="24"/>
            <w:u w:val="none"/>
          </w:rPr>
          <w:t>medical equipment</w:t>
        </w:r>
      </w:hyperlink>
    </w:p>
    <w:p w14:paraId="5FF9448C" w14:textId="54B111C5"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2"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B3661E">
      <w:pPr>
        <w:numPr>
          <w:ilvl w:val="0"/>
          <w:numId w:val="45"/>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premium of at least $164.90 per month (this amount increases if your individual income is above $97,000 per year or $194,000 per year for married couples)</w:t>
      </w:r>
    </w:p>
    <w:p w14:paraId="1BDB344B" w14:textId="189A735D"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$226 deductible for the year</w:t>
      </w:r>
    </w:p>
    <w:p w14:paraId="4371D146" w14:textId="77777777"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3"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4"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5"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40475E" w:rsidP="00B3661E">
      <w:pPr>
        <w:numPr>
          <w:ilvl w:val="0"/>
          <w:numId w:val="43"/>
        </w:numPr>
        <w:spacing w:before="100" w:beforeAutospacing="1" w:after="120" w:line="390" w:lineRule="atLeast"/>
        <w:rPr>
          <w:rFonts w:ascii="Times New Roman" w:hAnsi="Times New Roman" w:cs="Times New Roman"/>
          <w:sz w:val="24"/>
          <w:szCs w:val="24"/>
        </w:rPr>
      </w:pPr>
      <w:hyperlink r:id="rId46"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40475E" w:rsidP="00B3661E">
      <w:pPr>
        <w:numPr>
          <w:ilvl w:val="0"/>
          <w:numId w:val="43"/>
        </w:numPr>
        <w:spacing w:before="100" w:beforeAutospacing="1" w:after="120" w:line="390" w:lineRule="atLeast"/>
        <w:rPr>
          <w:rFonts w:ascii="Times New Roman" w:hAnsi="Times New Roman" w:cs="Times New Roman"/>
          <w:sz w:val="24"/>
          <w:szCs w:val="24"/>
        </w:rPr>
      </w:pPr>
      <w:hyperlink r:id="rId47"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40475E" w:rsidP="00B3661E">
      <w:pPr>
        <w:numPr>
          <w:ilvl w:val="0"/>
          <w:numId w:val="43"/>
        </w:numPr>
        <w:spacing w:before="100" w:beforeAutospacing="1" w:after="120" w:line="390" w:lineRule="atLeast"/>
        <w:rPr>
          <w:rFonts w:ascii="Times New Roman" w:hAnsi="Times New Roman" w:cs="Times New Roman"/>
          <w:sz w:val="24"/>
          <w:szCs w:val="24"/>
        </w:rPr>
      </w:pPr>
      <w:hyperlink r:id="rId48"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40475E" w:rsidP="00B3661E">
      <w:pPr>
        <w:numPr>
          <w:ilvl w:val="0"/>
          <w:numId w:val="43"/>
        </w:numPr>
        <w:spacing w:before="100" w:beforeAutospacing="1" w:after="120" w:line="390" w:lineRule="atLeast"/>
        <w:rPr>
          <w:rFonts w:ascii="Times New Roman" w:hAnsi="Times New Roman" w:cs="Times New Roman"/>
          <w:sz w:val="24"/>
          <w:szCs w:val="24"/>
        </w:rPr>
      </w:pPr>
      <w:hyperlink r:id="rId49"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lastRenderedPageBreak/>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Coverage </w:t>
      </w:r>
    </w:p>
    <w:p w14:paraId="264F99CB"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tiered programs that offer various levels of medications (generic only, generic plus name brand, and so on) for a range of copayments that increase with your medication prices</w:t>
      </w:r>
    </w:p>
    <w:p w14:paraId="44A995BF" w14:textId="609D5E4D" w:rsidR="00E04947" w:rsidRPr="008272BD" w:rsidRDefault="00E04947" w:rsidP="00E04947">
      <w:pPr>
        <w:spacing w:before="100" w:beforeAutospacing="1" w:after="120" w:line="390" w:lineRule="atLeast"/>
        <w:rPr>
          <w:rFonts w:ascii="Times New Roman" w:eastAsia="Times New Roman" w:hAnsi="Times New Roman" w:cs="Times New Roman"/>
          <w:b/>
          <w:sz w:val="24"/>
          <w:szCs w:val="24"/>
        </w:rPr>
      </w:pPr>
      <w:r w:rsidRPr="008272BD">
        <w:rPr>
          <w:rFonts w:ascii="Times New Roman" w:eastAsia="Times New Roman" w:hAnsi="Times New Roman" w:cs="Times New Roman"/>
          <w:b/>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50"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8272BD" w:rsidRDefault="00E04947" w:rsidP="008272BD">
      <w:pPr>
        <w:spacing w:before="100" w:beforeAutospacing="1" w:after="120" w:line="390" w:lineRule="atLeast"/>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Difference between Part A, B, C, D</w:t>
      </w:r>
    </w:p>
    <w:tbl>
      <w:tblPr>
        <w:tblStyle w:val="TableGrid"/>
        <w:tblW w:w="0" w:type="auto"/>
        <w:tblLook w:val="04A0" w:firstRow="1" w:lastRow="0" w:firstColumn="1" w:lastColumn="0" w:noHBand="0" w:noVBand="1"/>
      </w:tblPr>
      <w:tblGrid>
        <w:gridCol w:w="3116"/>
        <w:gridCol w:w="3117"/>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lastRenderedPageBreak/>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784864CA" w:rsidR="00C73510" w:rsidRPr="008272BD" w:rsidRDefault="00C73510" w:rsidP="008272BD">
      <w:pPr>
        <w:spacing w:before="100" w:beforeAutospacing="1" w:after="100" w:afterAutospacing="1" w:line="240" w:lineRule="auto"/>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Medicaid Plan</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B3661E">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72BD" w:rsidRDefault="00CD2B4D" w:rsidP="00CD2B4D">
      <w:pPr>
        <w:spacing w:before="100" w:beforeAutospacing="1" w:after="100" w:afterAutospacing="1" w:line="240" w:lineRule="auto"/>
        <w:jc w:val="center"/>
        <w:rPr>
          <w:rFonts w:ascii="Times New Roman" w:hAnsi="Times New Roman" w:cs="Times New Roman"/>
          <w:b/>
          <w:sz w:val="32"/>
          <w:szCs w:val="24"/>
          <w:shd w:val="clear" w:color="auto" w:fill="FFFFFF"/>
        </w:rPr>
      </w:pPr>
      <w:r w:rsidRPr="008272BD">
        <w:rPr>
          <w:rFonts w:ascii="Times New Roman" w:hAnsi="Times New Roman" w:cs="Times New Roman"/>
          <w:b/>
          <w:sz w:val="32"/>
          <w:szCs w:val="24"/>
          <w:shd w:val="clear" w:color="auto" w:fill="FFFFFF"/>
        </w:rPr>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lastRenderedPageBreak/>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40475E" w:rsidP="00B3661E">
      <w:pPr>
        <w:numPr>
          <w:ilvl w:val="0"/>
          <w:numId w:val="48"/>
        </w:numPr>
        <w:spacing w:before="100" w:beforeAutospacing="1" w:after="120" w:line="390" w:lineRule="atLeast"/>
        <w:rPr>
          <w:rFonts w:ascii="Times New Roman" w:hAnsi="Times New Roman" w:cs="Times New Roman"/>
          <w:sz w:val="24"/>
          <w:szCs w:val="24"/>
        </w:rPr>
      </w:pPr>
      <w:hyperlink r:id="rId51"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2"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40475E" w:rsidP="00B3661E">
      <w:pPr>
        <w:numPr>
          <w:ilvl w:val="0"/>
          <w:numId w:val="48"/>
        </w:numPr>
        <w:spacing w:before="100" w:beforeAutospacing="1" w:after="120" w:line="390" w:lineRule="atLeast"/>
        <w:rPr>
          <w:rFonts w:ascii="Times New Roman" w:hAnsi="Times New Roman" w:cs="Times New Roman"/>
          <w:sz w:val="24"/>
          <w:szCs w:val="24"/>
        </w:rPr>
      </w:pPr>
      <w:hyperlink r:id="rId53"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B3661E">
      <w:pPr>
        <w:numPr>
          <w:ilvl w:val="0"/>
          <w:numId w:val="4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40475E" w:rsidP="00B3661E">
      <w:pPr>
        <w:numPr>
          <w:ilvl w:val="0"/>
          <w:numId w:val="48"/>
        </w:numPr>
        <w:spacing w:before="100" w:beforeAutospacing="1" w:after="120" w:line="390" w:lineRule="atLeast"/>
        <w:rPr>
          <w:rFonts w:ascii="Times New Roman" w:hAnsi="Times New Roman" w:cs="Times New Roman"/>
          <w:sz w:val="24"/>
          <w:szCs w:val="24"/>
        </w:rPr>
      </w:pPr>
      <w:hyperlink r:id="rId54"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signs of </w:t>
      </w:r>
      <w:hyperlink r:id="rId55"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If you visit your primary care doctor because you’re sick, injured, or have symptoms that concern you, your doctor will likely be able to:</w:t>
      </w:r>
    </w:p>
    <w:p w14:paraId="5B553C9B"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B3661E">
      <w:pPr>
        <w:pStyle w:val="ListParagraph"/>
        <w:numPr>
          <w:ilvl w:val="0"/>
          <w:numId w:val="50"/>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lastRenderedPageBreak/>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A37AB1"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lastRenderedPageBreak/>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A37AB1"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DA759FE" w14:textId="5BBA3D8F" w:rsidR="00457354" w:rsidRPr="00A37AB1" w:rsidRDefault="00457354"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A37AB1" w:rsidRDefault="000279B1"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74A2857" w14:textId="77777777" w:rsidR="00457354" w:rsidRPr="00A37AB1"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A37AB1" w:rsidSect="00BF2F9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7D58"/>
    <w:multiLevelType w:val="hybridMultilevel"/>
    <w:tmpl w:val="EE2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17DE1"/>
    <w:multiLevelType w:val="multilevel"/>
    <w:tmpl w:val="D7B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1070A"/>
    <w:multiLevelType w:val="multilevel"/>
    <w:tmpl w:val="667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9138A"/>
    <w:multiLevelType w:val="multilevel"/>
    <w:tmpl w:val="979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2C5902"/>
    <w:multiLevelType w:val="hybridMultilevel"/>
    <w:tmpl w:val="6B48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8"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891D6B"/>
    <w:multiLevelType w:val="hybridMultilevel"/>
    <w:tmpl w:val="6F9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3"/>
  </w:num>
  <w:num w:numId="3">
    <w:abstractNumId w:val="19"/>
  </w:num>
  <w:num w:numId="4">
    <w:abstractNumId w:val="32"/>
  </w:num>
  <w:num w:numId="5">
    <w:abstractNumId w:val="47"/>
  </w:num>
  <w:num w:numId="6">
    <w:abstractNumId w:val="66"/>
  </w:num>
  <w:num w:numId="7">
    <w:abstractNumId w:val="6"/>
  </w:num>
  <w:num w:numId="8">
    <w:abstractNumId w:val="38"/>
  </w:num>
  <w:num w:numId="9">
    <w:abstractNumId w:val="14"/>
  </w:num>
  <w:num w:numId="10">
    <w:abstractNumId w:val="22"/>
  </w:num>
  <w:num w:numId="11">
    <w:abstractNumId w:val="64"/>
  </w:num>
  <w:num w:numId="12">
    <w:abstractNumId w:val="61"/>
  </w:num>
  <w:num w:numId="13">
    <w:abstractNumId w:val="10"/>
  </w:num>
  <w:num w:numId="14">
    <w:abstractNumId w:val="44"/>
  </w:num>
  <w:num w:numId="15">
    <w:abstractNumId w:val="35"/>
  </w:num>
  <w:num w:numId="16">
    <w:abstractNumId w:val="39"/>
  </w:num>
  <w:num w:numId="17">
    <w:abstractNumId w:val="23"/>
  </w:num>
  <w:num w:numId="18">
    <w:abstractNumId w:val="52"/>
  </w:num>
  <w:num w:numId="19">
    <w:abstractNumId w:val="49"/>
  </w:num>
  <w:num w:numId="20">
    <w:abstractNumId w:val="34"/>
  </w:num>
  <w:num w:numId="21">
    <w:abstractNumId w:val="37"/>
  </w:num>
  <w:num w:numId="22">
    <w:abstractNumId w:val="3"/>
  </w:num>
  <w:num w:numId="23">
    <w:abstractNumId w:val="45"/>
  </w:num>
  <w:num w:numId="24">
    <w:abstractNumId w:val="13"/>
  </w:num>
  <w:num w:numId="25">
    <w:abstractNumId w:val="48"/>
  </w:num>
  <w:num w:numId="26">
    <w:abstractNumId w:val="21"/>
  </w:num>
  <w:num w:numId="27">
    <w:abstractNumId w:val="60"/>
  </w:num>
  <w:num w:numId="28">
    <w:abstractNumId w:val="17"/>
  </w:num>
  <w:num w:numId="29">
    <w:abstractNumId w:val="51"/>
  </w:num>
  <w:num w:numId="30">
    <w:abstractNumId w:val="65"/>
  </w:num>
  <w:num w:numId="31">
    <w:abstractNumId w:val="1"/>
  </w:num>
  <w:num w:numId="32">
    <w:abstractNumId w:val="31"/>
  </w:num>
  <w:num w:numId="33">
    <w:abstractNumId w:val="9"/>
  </w:num>
  <w:num w:numId="34">
    <w:abstractNumId w:val="56"/>
  </w:num>
  <w:num w:numId="35">
    <w:abstractNumId w:val="42"/>
  </w:num>
  <w:num w:numId="36">
    <w:abstractNumId w:val="59"/>
  </w:num>
  <w:num w:numId="37">
    <w:abstractNumId w:val="57"/>
  </w:num>
  <w:num w:numId="38">
    <w:abstractNumId w:val="2"/>
  </w:num>
  <w:num w:numId="39">
    <w:abstractNumId w:val="16"/>
  </w:num>
  <w:num w:numId="40">
    <w:abstractNumId w:val="55"/>
  </w:num>
  <w:num w:numId="41">
    <w:abstractNumId w:val="24"/>
  </w:num>
  <w:num w:numId="42">
    <w:abstractNumId w:val="0"/>
  </w:num>
  <w:num w:numId="43">
    <w:abstractNumId w:val="7"/>
  </w:num>
  <w:num w:numId="44">
    <w:abstractNumId w:val="67"/>
  </w:num>
  <w:num w:numId="45">
    <w:abstractNumId w:val="15"/>
  </w:num>
  <w:num w:numId="46">
    <w:abstractNumId w:val="53"/>
  </w:num>
  <w:num w:numId="47">
    <w:abstractNumId w:val="63"/>
  </w:num>
  <w:num w:numId="48">
    <w:abstractNumId w:val="11"/>
  </w:num>
  <w:num w:numId="49">
    <w:abstractNumId w:val="12"/>
  </w:num>
  <w:num w:numId="50">
    <w:abstractNumId w:val="43"/>
  </w:num>
  <w:num w:numId="51">
    <w:abstractNumId w:val="4"/>
  </w:num>
  <w:num w:numId="52">
    <w:abstractNumId w:val="62"/>
  </w:num>
  <w:num w:numId="53">
    <w:abstractNumId w:val="25"/>
  </w:num>
  <w:num w:numId="54">
    <w:abstractNumId w:val="20"/>
  </w:num>
  <w:num w:numId="55">
    <w:abstractNumId w:val="41"/>
  </w:num>
  <w:num w:numId="56">
    <w:abstractNumId w:val="46"/>
  </w:num>
  <w:num w:numId="57">
    <w:abstractNumId w:val="18"/>
  </w:num>
  <w:num w:numId="58">
    <w:abstractNumId w:val="36"/>
  </w:num>
  <w:num w:numId="59">
    <w:abstractNumId w:val="50"/>
  </w:num>
  <w:num w:numId="60">
    <w:abstractNumId w:val="27"/>
  </w:num>
  <w:num w:numId="61">
    <w:abstractNumId w:val="58"/>
  </w:num>
  <w:num w:numId="62">
    <w:abstractNumId w:val="8"/>
  </w:num>
  <w:num w:numId="63">
    <w:abstractNumId w:val="29"/>
  </w:num>
  <w:num w:numId="64">
    <w:abstractNumId w:val="30"/>
  </w:num>
  <w:num w:numId="65">
    <w:abstractNumId w:val="5"/>
  </w:num>
  <w:num w:numId="66">
    <w:abstractNumId w:val="54"/>
  </w:num>
  <w:num w:numId="67">
    <w:abstractNumId w:val="28"/>
  </w:num>
  <w:num w:numId="6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660"/>
    <w:rsid w:val="00017506"/>
    <w:rsid w:val="000279B1"/>
    <w:rsid w:val="00040575"/>
    <w:rsid w:val="00077E1A"/>
    <w:rsid w:val="00084467"/>
    <w:rsid w:val="00087E84"/>
    <w:rsid w:val="000961FC"/>
    <w:rsid w:val="000A72C2"/>
    <w:rsid w:val="000C2B1F"/>
    <w:rsid w:val="000D050A"/>
    <w:rsid w:val="000E0A6B"/>
    <w:rsid w:val="000E5033"/>
    <w:rsid w:val="000F1E88"/>
    <w:rsid w:val="000F762C"/>
    <w:rsid w:val="001144EF"/>
    <w:rsid w:val="001165F3"/>
    <w:rsid w:val="001239A5"/>
    <w:rsid w:val="00147206"/>
    <w:rsid w:val="00147A9E"/>
    <w:rsid w:val="00165330"/>
    <w:rsid w:val="00171CF7"/>
    <w:rsid w:val="001803FF"/>
    <w:rsid w:val="00193644"/>
    <w:rsid w:val="00195A3F"/>
    <w:rsid w:val="001A46AF"/>
    <w:rsid w:val="001B277D"/>
    <w:rsid w:val="001B369D"/>
    <w:rsid w:val="001D73E5"/>
    <w:rsid w:val="00232076"/>
    <w:rsid w:val="00236DB1"/>
    <w:rsid w:val="00242030"/>
    <w:rsid w:val="00245675"/>
    <w:rsid w:val="00272855"/>
    <w:rsid w:val="00272C50"/>
    <w:rsid w:val="002812C4"/>
    <w:rsid w:val="0028759C"/>
    <w:rsid w:val="002B09EB"/>
    <w:rsid w:val="002C43CD"/>
    <w:rsid w:val="002C7943"/>
    <w:rsid w:val="002D4DF6"/>
    <w:rsid w:val="002F777D"/>
    <w:rsid w:val="00311C8C"/>
    <w:rsid w:val="003337B0"/>
    <w:rsid w:val="00337E33"/>
    <w:rsid w:val="00344AF3"/>
    <w:rsid w:val="0034606C"/>
    <w:rsid w:val="0034617A"/>
    <w:rsid w:val="00363A81"/>
    <w:rsid w:val="00393C71"/>
    <w:rsid w:val="003A16E4"/>
    <w:rsid w:val="003B3D81"/>
    <w:rsid w:val="003D31AE"/>
    <w:rsid w:val="003E2FF1"/>
    <w:rsid w:val="003E4446"/>
    <w:rsid w:val="0040475E"/>
    <w:rsid w:val="0041561B"/>
    <w:rsid w:val="00430D35"/>
    <w:rsid w:val="00441889"/>
    <w:rsid w:val="00452BE0"/>
    <w:rsid w:val="00457354"/>
    <w:rsid w:val="00471DA5"/>
    <w:rsid w:val="004769D3"/>
    <w:rsid w:val="004B137B"/>
    <w:rsid w:val="004B77BF"/>
    <w:rsid w:val="004B7A01"/>
    <w:rsid w:val="004E0BA0"/>
    <w:rsid w:val="004E22F2"/>
    <w:rsid w:val="004E3439"/>
    <w:rsid w:val="00500A0C"/>
    <w:rsid w:val="00512244"/>
    <w:rsid w:val="00524320"/>
    <w:rsid w:val="00540EC8"/>
    <w:rsid w:val="00563791"/>
    <w:rsid w:val="00571416"/>
    <w:rsid w:val="00576722"/>
    <w:rsid w:val="00576CD6"/>
    <w:rsid w:val="00576D56"/>
    <w:rsid w:val="005B7350"/>
    <w:rsid w:val="005B7A39"/>
    <w:rsid w:val="005D5A98"/>
    <w:rsid w:val="005D6695"/>
    <w:rsid w:val="005E37D9"/>
    <w:rsid w:val="005E3A9B"/>
    <w:rsid w:val="005F6F3D"/>
    <w:rsid w:val="00600600"/>
    <w:rsid w:val="006010E4"/>
    <w:rsid w:val="006035CA"/>
    <w:rsid w:val="006049AC"/>
    <w:rsid w:val="00615649"/>
    <w:rsid w:val="00636AEF"/>
    <w:rsid w:val="00652C28"/>
    <w:rsid w:val="00654A75"/>
    <w:rsid w:val="006653EB"/>
    <w:rsid w:val="006A6AF8"/>
    <w:rsid w:val="006B2CD0"/>
    <w:rsid w:val="006B6E50"/>
    <w:rsid w:val="006C3CCF"/>
    <w:rsid w:val="006C4673"/>
    <w:rsid w:val="006E4EA6"/>
    <w:rsid w:val="006E4EBA"/>
    <w:rsid w:val="006F46A3"/>
    <w:rsid w:val="006F7192"/>
    <w:rsid w:val="00700309"/>
    <w:rsid w:val="00711898"/>
    <w:rsid w:val="00723FF6"/>
    <w:rsid w:val="00760F68"/>
    <w:rsid w:val="00761B66"/>
    <w:rsid w:val="00761B8A"/>
    <w:rsid w:val="00763A40"/>
    <w:rsid w:val="00764C7D"/>
    <w:rsid w:val="00767B43"/>
    <w:rsid w:val="00770028"/>
    <w:rsid w:val="007852DC"/>
    <w:rsid w:val="0078782B"/>
    <w:rsid w:val="00790CA9"/>
    <w:rsid w:val="007C011C"/>
    <w:rsid w:val="007C31AD"/>
    <w:rsid w:val="007C3FB7"/>
    <w:rsid w:val="007C4297"/>
    <w:rsid w:val="007D6534"/>
    <w:rsid w:val="007E644F"/>
    <w:rsid w:val="008201CD"/>
    <w:rsid w:val="00826603"/>
    <w:rsid w:val="008272BD"/>
    <w:rsid w:val="00836D33"/>
    <w:rsid w:val="008447D2"/>
    <w:rsid w:val="00844BD0"/>
    <w:rsid w:val="00847AAD"/>
    <w:rsid w:val="00853065"/>
    <w:rsid w:val="008636CC"/>
    <w:rsid w:val="008727C4"/>
    <w:rsid w:val="00873166"/>
    <w:rsid w:val="00876D6B"/>
    <w:rsid w:val="00884556"/>
    <w:rsid w:val="00891CCB"/>
    <w:rsid w:val="00892D1D"/>
    <w:rsid w:val="008A1043"/>
    <w:rsid w:val="008B0A4D"/>
    <w:rsid w:val="008C25CB"/>
    <w:rsid w:val="008C49A3"/>
    <w:rsid w:val="008C6C8F"/>
    <w:rsid w:val="008D4825"/>
    <w:rsid w:val="008E6DB3"/>
    <w:rsid w:val="0090523B"/>
    <w:rsid w:val="00905865"/>
    <w:rsid w:val="009134AC"/>
    <w:rsid w:val="00920D41"/>
    <w:rsid w:val="00934D30"/>
    <w:rsid w:val="00956850"/>
    <w:rsid w:val="009579D5"/>
    <w:rsid w:val="00971314"/>
    <w:rsid w:val="009903D6"/>
    <w:rsid w:val="009A1287"/>
    <w:rsid w:val="009A29AF"/>
    <w:rsid w:val="009A6C6F"/>
    <w:rsid w:val="009C0D15"/>
    <w:rsid w:val="009C5CEF"/>
    <w:rsid w:val="009D3A86"/>
    <w:rsid w:val="009F0382"/>
    <w:rsid w:val="009F142E"/>
    <w:rsid w:val="009F3D89"/>
    <w:rsid w:val="009F7CBC"/>
    <w:rsid w:val="00A016B5"/>
    <w:rsid w:val="00A07064"/>
    <w:rsid w:val="00A2722A"/>
    <w:rsid w:val="00A37AB1"/>
    <w:rsid w:val="00A44F50"/>
    <w:rsid w:val="00A544B1"/>
    <w:rsid w:val="00A73609"/>
    <w:rsid w:val="00A7638A"/>
    <w:rsid w:val="00AA180F"/>
    <w:rsid w:val="00AA1C0B"/>
    <w:rsid w:val="00AD19B4"/>
    <w:rsid w:val="00AE2F16"/>
    <w:rsid w:val="00B132CF"/>
    <w:rsid w:val="00B2219E"/>
    <w:rsid w:val="00B234BB"/>
    <w:rsid w:val="00B24EA8"/>
    <w:rsid w:val="00B3661E"/>
    <w:rsid w:val="00B44527"/>
    <w:rsid w:val="00B47A47"/>
    <w:rsid w:val="00B5075C"/>
    <w:rsid w:val="00B51BEB"/>
    <w:rsid w:val="00B75E26"/>
    <w:rsid w:val="00B82DF8"/>
    <w:rsid w:val="00B86F44"/>
    <w:rsid w:val="00B9315D"/>
    <w:rsid w:val="00B9384F"/>
    <w:rsid w:val="00BA27EA"/>
    <w:rsid w:val="00BD4958"/>
    <w:rsid w:val="00BE2C8F"/>
    <w:rsid w:val="00BE4067"/>
    <w:rsid w:val="00BE7D19"/>
    <w:rsid w:val="00BF2F9D"/>
    <w:rsid w:val="00BF792C"/>
    <w:rsid w:val="00C05ADD"/>
    <w:rsid w:val="00C05B3F"/>
    <w:rsid w:val="00C13D88"/>
    <w:rsid w:val="00C25FCC"/>
    <w:rsid w:val="00C5465F"/>
    <w:rsid w:val="00C61427"/>
    <w:rsid w:val="00C614C5"/>
    <w:rsid w:val="00C67345"/>
    <w:rsid w:val="00C73510"/>
    <w:rsid w:val="00C82660"/>
    <w:rsid w:val="00C90620"/>
    <w:rsid w:val="00C94394"/>
    <w:rsid w:val="00CA2C40"/>
    <w:rsid w:val="00CB24E6"/>
    <w:rsid w:val="00CC5F15"/>
    <w:rsid w:val="00CD2B4D"/>
    <w:rsid w:val="00CE50A1"/>
    <w:rsid w:val="00CF4856"/>
    <w:rsid w:val="00CF781E"/>
    <w:rsid w:val="00D03232"/>
    <w:rsid w:val="00D07F9F"/>
    <w:rsid w:val="00D25ED8"/>
    <w:rsid w:val="00D32C02"/>
    <w:rsid w:val="00D5634A"/>
    <w:rsid w:val="00D5698F"/>
    <w:rsid w:val="00D825BC"/>
    <w:rsid w:val="00DB1477"/>
    <w:rsid w:val="00DB1584"/>
    <w:rsid w:val="00DB352A"/>
    <w:rsid w:val="00DC0CB2"/>
    <w:rsid w:val="00DD5189"/>
    <w:rsid w:val="00DE07EF"/>
    <w:rsid w:val="00DE6317"/>
    <w:rsid w:val="00DF23BB"/>
    <w:rsid w:val="00DF7DA0"/>
    <w:rsid w:val="00E04947"/>
    <w:rsid w:val="00E22312"/>
    <w:rsid w:val="00E2765F"/>
    <w:rsid w:val="00E42327"/>
    <w:rsid w:val="00E45E3B"/>
    <w:rsid w:val="00E5060D"/>
    <w:rsid w:val="00E52016"/>
    <w:rsid w:val="00E67412"/>
    <w:rsid w:val="00E67501"/>
    <w:rsid w:val="00E82151"/>
    <w:rsid w:val="00E8457D"/>
    <w:rsid w:val="00E8684F"/>
    <w:rsid w:val="00E877D0"/>
    <w:rsid w:val="00E909E7"/>
    <w:rsid w:val="00E93F9B"/>
    <w:rsid w:val="00EE1910"/>
    <w:rsid w:val="00EE6885"/>
    <w:rsid w:val="00EF3192"/>
    <w:rsid w:val="00EF646C"/>
    <w:rsid w:val="00F15F5F"/>
    <w:rsid w:val="00F50BF3"/>
    <w:rsid w:val="00F82420"/>
    <w:rsid w:val="00FA0F7E"/>
    <w:rsid w:val="00FA7522"/>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docId w15:val="{60590252-4174-4DF5-B105-06F2CFE1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244803402">
              <w:marLeft w:val="1500"/>
              <w:marRight w:val="0"/>
              <w:marTop w:val="0"/>
              <w:marBottom w:val="0"/>
              <w:divBdr>
                <w:top w:val="none" w:sz="0" w:space="0" w:color="auto"/>
                <w:left w:val="none" w:sz="0" w:space="0" w:color="auto"/>
                <w:bottom w:val="none" w:sz="0" w:space="0" w:color="auto"/>
                <w:right w:val="none" w:sz="0" w:space="0" w:color="auto"/>
              </w:divBdr>
            </w:div>
            <w:div w:id="1975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85926905">
              <w:marLeft w:val="1500"/>
              <w:marRight w:val="0"/>
              <w:marTop w:val="0"/>
              <w:marBottom w:val="0"/>
              <w:divBdr>
                <w:top w:val="none" w:sz="0" w:space="0" w:color="auto"/>
                <w:left w:val="none" w:sz="0" w:space="0" w:color="auto"/>
                <w:bottom w:val="none" w:sz="0" w:space="0" w:color="auto"/>
                <w:right w:val="none" w:sz="0" w:space="0" w:color="auto"/>
              </w:divBdr>
            </w:div>
            <w:div w:id="114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83082342">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56974956">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09146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8131">
          <w:marLeft w:val="0"/>
          <w:marRight w:val="0"/>
          <w:marTop w:val="0"/>
          <w:marBottom w:val="0"/>
          <w:divBdr>
            <w:top w:val="none" w:sz="0" w:space="0" w:color="auto"/>
            <w:left w:val="none" w:sz="0" w:space="0" w:color="auto"/>
            <w:bottom w:val="none" w:sz="0" w:space="0" w:color="auto"/>
            <w:right w:val="none" w:sz="0" w:space="0" w:color="auto"/>
          </w:divBdr>
        </w:div>
        <w:div w:id="1161771846">
          <w:marLeft w:val="0"/>
          <w:marRight w:val="0"/>
          <w:marTop w:val="0"/>
          <w:marBottom w:val="0"/>
          <w:divBdr>
            <w:top w:val="single" w:sz="2" w:space="0" w:color="D9D9E3"/>
            <w:left w:val="single" w:sz="2" w:space="0" w:color="D9D9E3"/>
            <w:bottom w:val="single" w:sz="2" w:space="0" w:color="D9D9E3"/>
            <w:right w:val="single" w:sz="2" w:space="0" w:color="D9D9E3"/>
          </w:divBdr>
          <w:divsChild>
            <w:div w:id="1582987164">
              <w:marLeft w:val="0"/>
              <w:marRight w:val="0"/>
              <w:marTop w:val="0"/>
              <w:marBottom w:val="0"/>
              <w:divBdr>
                <w:top w:val="single" w:sz="2" w:space="0" w:color="D9D9E3"/>
                <w:left w:val="single" w:sz="2" w:space="0" w:color="D9D9E3"/>
                <w:bottom w:val="single" w:sz="2" w:space="0" w:color="D9D9E3"/>
                <w:right w:val="single" w:sz="2" w:space="0" w:color="D9D9E3"/>
              </w:divBdr>
              <w:divsChild>
                <w:div w:id="1306161753">
                  <w:marLeft w:val="0"/>
                  <w:marRight w:val="0"/>
                  <w:marTop w:val="0"/>
                  <w:marBottom w:val="0"/>
                  <w:divBdr>
                    <w:top w:val="single" w:sz="2" w:space="0" w:color="D9D9E3"/>
                    <w:left w:val="single" w:sz="2" w:space="0" w:color="D9D9E3"/>
                    <w:bottom w:val="single" w:sz="2" w:space="0" w:color="D9D9E3"/>
                    <w:right w:val="single" w:sz="2" w:space="0" w:color="D9D9E3"/>
                  </w:divBdr>
                  <w:divsChild>
                    <w:div w:id="147942987">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97">
                          <w:marLeft w:val="0"/>
                          <w:marRight w:val="0"/>
                          <w:marTop w:val="0"/>
                          <w:marBottom w:val="0"/>
                          <w:divBdr>
                            <w:top w:val="single" w:sz="2" w:space="0" w:color="auto"/>
                            <w:left w:val="single" w:sz="2" w:space="0" w:color="auto"/>
                            <w:bottom w:val="single" w:sz="6" w:space="0" w:color="auto"/>
                            <w:right w:val="single" w:sz="2" w:space="0" w:color="auto"/>
                          </w:divBdr>
                          <w:divsChild>
                            <w:div w:id="9995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1283">
                                  <w:marLeft w:val="0"/>
                                  <w:marRight w:val="0"/>
                                  <w:marTop w:val="0"/>
                                  <w:marBottom w:val="0"/>
                                  <w:divBdr>
                                    <w:top w:val="single" w:sz="2" w:space="0" w:color="D9D9E3"/>
                                    <w:left w:val="single" w:sz="2" w:space="0" w:color="D9D9E3"/>
                                    <w:bottom w:val="single" w:sz="2" w:space="0" w:color="D9D9E3"/>
                                    <w:right w:val="single" w:sz="2" w:space="0" w:color="D9D9E3"/>
                                  </w:divBdr>
                                  <w:divsChild>
                                    <w:div w:id="1907101982">
                                      <w:marLeft w:val="0"/>
                                      <w:marRight w:val="0"/>
                                      <w:marTop w:val="0"/>
                                      <w:marBottom w:val="0"/>
                                      <w:divBdr>
                                        <w:top w:val="single" w:sz="2" w:space="0" w:color="D9D9E3"/>
                                        <w:left w:val="single" w:sz="2" w:space="0" w:color="D9D9E3"/>
                                        <w:bottom w:val="single" w:sz="2" w:space="0" w:color="D9D9E3"/>
                                        <w:right w:val="single" w:sz="2" w:space="0" w:color="D9D9E3"/>
                                      </w:divBdr>
                                      <w:divsChild>
                                        <w:div w:id="1731685803">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goanywhere.com/blog/what-is-edifact" TargetMode="External"/><Relationship Id="rId39" Type="http://schemas.openxmlformats.org/officeDocument/2006/relationships/hyperlink" Target="https://www.healthline.com/health/medicare/medicare-preventive-services" TargetMode="External"/><Relationship Id="rId21" Type="http://schemas.openxmlformats.org/officeDocument/2006/relationships/hyperlink" Target="https://www.medicalbillingwholesalers.com/services/claims-submission-work-edits-and-rejection" TargetMode="External"/><Relationship Id="rId34" Type="http://schemas.openxmlformats.org/officeDocument/2006/relationships/hyperlink" Target="https://www.healthline.com/health/medicare/does-medicare-cover-skilled-nursing-facility" TargetMode="External"/><Relationship Id="rId42" Type="http://schemas.openxmlformats.org/officeDocument/2006/relationships/hyperlink" Target="https://www.healthline.com/health/medicare/medicare-part-b-vs-part-d" TargetMode="External"/><Relationship Id="rId47" Type="http://schemas.openxmlformats.org/officeDocument/2006/relationships/hyperlink" Target="https://www.healthline.com/health/medicare/medicare-ppo" TargetMode="External"/><Relationship Id="rId50" Type="http://schemas.openxmlformats.org/officeDocument/2006/relationships/hyperlink" Target="https://www.cms.gov/newsroom/news-alert/cms-releases-2023-projected-medicare-basic-part-d-average-premium" TargetMode="External"/><Relationship Id="rId55" Type="http://schemas.openxmlformats.org/officeDocument/2006/relationships/hyperlink" Target="https://www.healthline.com/health/domestic-violence-resource-guide" TargetMode="External"/><Relationship Id="rId7" Type="http://schemas.openxmlformats.org/officeDocument/2006/relationships/image" Target="media/image1.png"/><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9-value-based-care.html" TargetMode="External"/><Relationship Id="rId33" Type="http://schemas.openxmlformats.org/officeDocument/2006/relationships/hyperlink" Target="https://www.nerdwallet.com/blog/investing/what-will-you-spend-on-health-care-costs-in-retirement/" TargetMode="External"/><Relationship Id="rId38" Type="http://schemas.openxmlformats.org/officeDocument/2006/relationships/hyperlink" Target="https://www.healthline.com/health/medicare/medicare-lifetime-reserve-days" TargetMode="External"/><Relationship Id="rId46" Type="http://schemas.openxmlformats.org/officeDocument/2006/relationships/hyperlink" Target="https://www.healthline.com/health/medicare/medicare-hmo" TargetMode="External"/><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image" Target="media/image5.png"/><Relationship Id="rId29" Type="http://schemas.openxmlformats.org/officeDocument/2006/relationships/hyperlink" Target="https://www.businessnewsdaily.com/8989-medical-billing-tips.html" TargetMode="External"/><Relationship Id="rId41" Type="http://schemas.openxmlformats.org/officeDocument/2006/relationships/hyperlink" Target="https://www.healthline.com/health/medicare/how-to-get-a-medical-device-approved-for-medicare" TargetMode="External"/><Relationship Id="rId54" Type="http://schemas.openxmlformats.org/officeDocument/2006/relationships/hyperlink" Target="https://www.healthline.com/health/depression" TargetMode="Externa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nof.org/preventing-fractures/general-facts/what-women-need-to-know/" TargetMode="External"/><Relationship Id="rId32" Type="http://schemas.openxmlformats.org/officeDocument/2006/relationships/hyperlink" Target="https://www.definitivehc.com/data-products/long-term-care-view" TargetMode="External"/><Relationship Id="rId37" Type="http://schemas.openxmlformats.org/officeDocument/2006/relationships/hyperlink" Target="https://www.healthline.com/health/medicare/medicare-benefit-period" TargetMode="External"/><Relationship Id="rId40" Type="http://schemas.openxmlformats.org/officeDocument/2006/relationships/hyperlink" Target="https://www.healthline.com/health/medicare/does-medicare-cover-ambulance" TargetMode="External"/><Relationship Id="rId45" Type="http://schemas.openxmlformats.org/officeDocument/2006/relationships/hyperlink" Target="https://www.healthline.com/health/medicare/does-medicare-cover-eye-exams" TargetMode="External"/><Relationship Id="rId53" Type="http://schemas.openxmlformats.org/officeDocument/2006/relationships/hyperlink" Target="https://www.healthline.com/health/high-cholesterol" TargetMode="Externa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8-medical-billing-coding.html" TargetMode="External"/><Relationship Id="rId28" Type="http://schemas.openxmlformats.org/officeDocument/2006/relationships/hyperlink" Target="https://www.businessnewsdaily.com/16237-medical-claims-how-to.html" TargetMode="External"/><Relationship Id="rId36" Type="http://schemas.openxmlformats.org/officeDocument/2006/relationships/hyperlink" Target="https://www.medicare.gov/your-medicare-costs/medicare-costs-at-a-glance" TargetMode="External"/><Relationship Id="rId49" Type="http://schemas.openxmlformats.org/officeDocument/2006/relationships/hyperlink" Target="https://www.healthline.com/health/medicare/medicare-special-needs-plans" TargetMode="External"/><Relationship Id="rId57" Type="http://schemas.openxmlformats.org/officeDocument/2006/relationships/theme" Target="theme/theme1.xml"/><Relationship Id="rId10" Type="http://schemas.openxmlformats.org/officeDocument/2006/relationships/hyperlink" Target="http://www.insurance.ca.gov/01-consumers/110-health/10-basics/terms.cfm" TargetMode="External"/><Relationship Id="rId19" Type="http://schemas.openxmlformats.org/officeDocument/2006/relationships/image" Target="media/image4.png"/><Relationship Id="rId31" Type="http://schemas.openxmlformats.org/officeDocument/2006/relationships/hyperlink" Target="https://blog.definitivehc.com/the-childrens-health-insurance-program-chip-vs.-medicaid" TargetMode="External"/><Relationship Id="rId44" Type="http://schemas.openxmlformats.org/officeDocument/2006/relationships/hyperlink" Target="https://www.healthline.com/health/medicare/does-medicare-cover-dental" TargetMode="External"/><Relationship Id="rId52" Type="http://schemas.openxmlformats.org/officeDocument/2006/relationships/hyperlink" Target="https://www.healthline.com/health/heart-disease"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sybridmd.com/services/medical-billing-services/" TargetMode="External"/><Relationship Id="rId27" Type="http://schemas.openxmlformats.org/officeDocument/2006/relationships/hyperlink" Target="https://www.businessnewsdaily.com/16233-claim-scrubber-benefits.html" TargetMode="External"/><Relationship Id="rId30" Type="http://schemas.openxmlformats.org/officeDocument/2006/relationships/hyperlink" Target="https://www.capminds.com/medical-billing" TargetMode="External"/><Relationship Id="rId35" Type="http://schemas.openxmlformats.org/officeDocument/2006/relationships/hyperlink" Target="https://www.healthline.com/health/medicare/medicare-part-a-cost" TargetMode="External"/><Relationship Id="rId43" Type="http://schemas.openxmlformats.org/officeDocument/2006/relationships/hyperlink" Target="https://www.healthline.com/health/medicare/medicare-prescription-plans" TargetMode="External"/><Relationship Id="rId48" Type="http://schemas.openxmlformats.org/officeDocument/2006/relationships/hyperlink" Target="https://www.healthline.com/health/medicare/pffs-medicar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healthline.com/health/high-blood-pressure-hypertens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DA9F0-974C-40C0-9E17-7285BDFA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4948</TotalTime>
  <Pages>49</Pages>
  <Words>15068</Words>
  <Characters>85888</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4</cp:revision>
  <dcterms:created xsi:type="dcterms:W3CDTF">2023-02-02T06:17:00Z</dcterms:created>
  <dcterms:modified xsi:type="dcterms:W3CDTF">2023-02-14T13:52:00Z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