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147206"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147206"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147206"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147206"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147206"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147206"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147206"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147206"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147206"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147206"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147206"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147206"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147206"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147206"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147206"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147206"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147206"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147206"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147206"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147206"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147206"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147206"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147206"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147206"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147206"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147206"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28759C">
      <w:pPr>
        <w:pStyle w:val="NormalWeb"/>
        <w:numPr>
          <w:ilvl w:val="0"/>
          <w:numId w:val="32"/>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28759C">
      <w:pPr>
        <w:pStyle w:val="NormalWeb"/>
        <w:numPr>
          <w:ilvl w:val="0"/>
          <w:numId w:val="32"/>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6A6AF8" w:rsidRDefault="00DB1584" w:rsidP="00A2722A">
      <w:pPr>
        <w:shd w:val="clear" w:color="auto" w:fill="FFFFFF"/>
        <w:spacing w:after="0" w:line="240" w:lineRule="auto"/>
        <w:jc w:val="both"/>
        <w:rPr>
          <w:rFonts w:ascii="Times New Roman" w:hAnsi="Times New Roman" w:cs="Times New Roman"/>
          <w:sz w:val="24"/>
          <w:szCs w:val="24"/>
        </w:rPr>
      </w:pPr>
      <w:r w:rsidRPr="006A6AF8">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6A6AF8"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6A6AF8"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6A6AF8">
        <w:rPr>
          <w:rFonts w:ascii="Times New Roman" w:hAnsi="Times New Roman" w:cs="Times New Roman"/>
          <w:b/>
          <w:sz w:val="24"/>
          <w:szCs w:val="24"/>
          <w:shd w:val="clear" w:color="auto" w:fill="FFFFFF"/>
        </w:rPr>
        <w:t xml:space="preserve">EDI Benefits </w:t>
      </w:r>
    </w:p>
    <w:p w14:paraId="4DE7248A" w14:textId="77777777" w:rsidR="00DB1584" w:rsidRPr="006A6AF8" w:rsidRDefault="00DB1584"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Send and receive information faster</w:t>
      </w:r>
    </w:p>
    <w:p w14:paraId="61122DC0" w14:textId="1DA7438D" w:rsidR="00DB1584" w:rsidRPr="006A6AF8" w:rsidRDefault="00DB1584"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Reduce administrative expenses</w:t>
      </w:r>
    </w:p>
    <w:p w14:paraId="6E500156"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Spend less time on the phone</w:t>
      </w:r>
    </w:p>
    <w:p w14:paraId="1A47E76D" w14:textId="243DE75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Exchange information with multiple payers</w:t>
      </w:r>
      <w:bookmarkStart w:id="0" w:name="_GoBack"/>
      <w:bookmarkEnd w:id="0"/>
    </w:p>
    <w:p w14:paraId="0DB7BA2F" w14:textId="75E1B12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lets </w:t>
      </w:r>
      <w:proofErr w:type="gramStart"/>
      <w:r w:rsidRPr="006A6AF8">
        <w:rPr>
          <w:rFonts w:ascii="Times New Roman" w:hAnsi="Times New Roman" w:cs="Times New Roman"/>
          <w:sz w:val="24"/>
          <w:szCs w:val="24"/>
        </w:rPr>
        <w:t>you</w:t>
      </w:r>
      <w:proofErr w:type="gramEnd"/>
      <w:r w:rsidRPr="006A6AF8">
        <w:rPr>
          <w:rFonts w:ascii="Times New Roman" w:hAnsi="Times New Roman" w:cs="Times New Roman"/>
          <w:sz w:val="24"/>
          <w:szCs w:val="24"/>
        </w:rPr>
        <w:t xml:space="preserve"> complete transactions for multiple payers at one time. Transactions can be set up to automatically generate in a practice’s daily workflow. For example, a practice management </w:t>
      </w:r>
      <w:r w:rsidRPr="006A6AF8">
        <w:rPr>
          <w:rFonts w:ascii="Times New Roman" w:hAnsi="Times New Roman" w:cs="Times New Roman"/>
          <w:sz w:val="24"/>
          <w:szCs w:val="24"/>
        </w:rPr>
        <w:lastRenderedPageBreak/>
        <w:t>system could perform a claim status inquiry at the same time it sends eligibility inquiries to verify a member’s benefit coverage and copayment.</w:t>
      </w:r>
    </w:p>
    <w:p w14:paraId="7C964382"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Types of EDI transactions</w:t>
      </w:r>
    </w:p>
    <w:p w14:paraId="063EBC0E" w14:textId="1D640004"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270/271</w:t>
      </w:r>
      <w:r w:rsidRPr="006A6AF8">
        <w:rPr>
          <w:rFonts w:ascii="Times New Roman" w:hAnsi="Times New Roman" w:cs="Times New Roman"/>
          <w:sz w:val="24"/>
          <w:szCs w:val="24"/>
        </w:rPr>
        <w:t>: Eligibility and benefit inquiry and response</w:t>
      </w:r>
    </w:p>
    <w:p w14:paraId="1D3FC4D7" w14:textId="0488DC4A"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276/277</w:t>
      </w:r>
      <w:r w:rsidRPr="006A6AF8">
        <w:rPr>
          <w:rFonts w:ascii="Times New Roman" w:hAnsi="Times New Roman" w:cs="Times New Roman"/>
          <w:sz w:val="24"/>
          <w:szCs w:val="24"/>
        </w:rPr>
        <w:t>: Claim status inquiry and response</w:t>
      </w:r>
    </w:p>
    <w:p w14:paraId="70069BAA" w14:textId="0F3DC6BE"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w:t>
      </w:r>
      <w:r w:rsidRPr="006A6AF8">
        <w:rPr>
          <w:rFonts w:ascii="Times New Roman" w:hAnsi="Times New Roman" w:cs="Times New Roman"/>
          <w:sz w:val="24"/>
          <w:szCs w:val="24"/>
        </w:rPr>
        <w:t>: Authorization and referral request</w:t>
      </w:r>
    </w:p>
    <w:p w14:paraId="25DD986D" w14:textId="33B1DABF"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278I</w:t>
      </w:r>
      <w:r w:rsidRPr="006A6AF8">
        <w:rPr>
          <w:rFonts w:ascii="Times New Roman" w:hAnsi="Times New Roman" w:cs="Times New Roman"/>
          <w:sz w:val="24"/>
          <w:szCs w:val="24"/>
        </w:rPr>
        <w:t>: Prior authorization and notification inquiry</w:t>
      </w:r>
    </w:p>
    <w:p w14:paraId="05A9A814" w14:textId="260C5E16"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278N</w:t>
      </w:r>
      <w:r w:rsidRPr="006A6AF8">
        <w:rPr>
          <w:rFonts w:ascii="Times New Roman" w:hAnsi="Times New Roman" w:cs="Times New Roman"/>
          <w:sz w:val="24"/>
          <w:szCs w:val="24"/>
        </w:rPr>
        <w:t>: Hospital admission notification</w:t>
      </w:r>
    </w:p>
    <w:p w14:paraId="50ED2C87" w14:textId="42E29728"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835</w:t>
      </w:r>
      <w:r w:rsidRPr="006A6AF8">
        <w:rPr>
          <w:rFonts w:ascii="Times New Roman" w:hAnsi="Times New Roman" w:cs="Times New Roman"/>
          <w:sz w:val="24"/>
          <w:szCs w:val="24"/>
        </w:rPr>
        <w:t xml:space="preserve">: Electronic remittance advice (ERA) </w:t>
      </w:r>
    </w:p>
    <w:p w14:paraId="5A177AA8"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837D</w:t>
      </w:r>
      <w:r w:rsidRPr="006A6AF8">
        <w:rPr>
          <w:rFonts w:ascii="Times New Roman" w:hAnsi="Times New Roman" w:cs="Times New Roman"/>
          <w:sz w:val="24"/>
          <w:szCs w:val="24"/>
        </w:rPr>
        <w:t xml:space="preserve">: Dental claim </w:t>
      </w:r>
    </w:p>
    <w:p w14:paraId="354C0A36"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837I</w:t>
      </w:r>
      <w:r w:rsidRPr="006A6AF8">
        <w:rPr>
          <w:rFonts w:ascii="Times New Roman" w:hAnsi="Times New Roman" w:cs="Times New Roman"/>
          <w:sz w:val="24"/>
          <w:szCs w:val="24"/>
        </w:rPr>
        <w:t>: Institutional claim</w:t>
      </w:r>
    </w:p>
    <w:p w14:paraId="6E56F5BE" w14:textId="3BA67BC0"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837P</w:t>
      </w:r>
      <w:r w:rsidRPr="006A6AF8">
        <w:rPr>
          <w:rFonts w:ascii="Times New Roman" w:hAnsi="Times New Roman" w:cs="Times New Roman"/>
          <w:sz w:val="24"/>
          <w:szCs w:val="24"/>
        </w:rPr>
        <w:t>: Professional claim or vision claim</w:t>
      </w:r>
    </w:p>
    <w:p w14:paraId="1EFC6395" w14:textId="77777777" w:rsidR="00BA27EA" w:rsidRPr="006A6AF8" w:rsidRDefault="00BA27EA" w:rsidP="009F0382">
      <w:pPr>
        <w:shd w:val="clear" w:color="auto" w:fill="FFFFFF"/>
        <w:spacing w:after="240" w:line="240" w:lineRule="auto"/>
        <w:rPr>
          <w:rFonts w:ascii="Times New Roman" w:hAnsi="Times New Roman" w:cs="Times New Roman"/>
          <w:b/>
          <w:sz w:val="28"/>
          <w:szCs w:val="24"/>
        </w:rPr>
      </w:pPr>
      <w:r w:rsidRPr="006A6AF8">
        <w:rPr>
          <w:rFonts w:ascii="Times New Roman" w:hAnsi="Times New Roman" w:cs="Times New Roman"/>
          <w:b/>
          <w:sz w:val="28"/>
          <w:szCs w:val="24"/>
        </w:rPr>
        <w:t>Steps of an EDI transaction</w:t>
      </w:r>
    </w:p>
    <w:p w14:paraId="2FE914D4"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4. The clearinghouse facilitates the inquiry to the payers</w:t>
      </w:r>
    </w:p>
    <w:p w14:paraId="40401BF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8. EDI transactions can be completed for 1 or more members</w:t>
      </w:r>
    </w:p>
    <w:p w14:paraId="5DDAC5E9" w14:textId="77777777" w:rsidR="006A6AF8" w:rsidRPr="006A6AF8" w:rsidRDefault="00BA27EA" w:rsidP="00A2722A">
      <w:pPr>
        <w:shd w:val="clear" w:color="auto" w:fill="FFFFFF"/>
        <w:spacing w:before="300" w:line="330" w:lineRule="atLeast"/>
        <w:jc w:val="both"/>
        <w:rPr>
          <w:rFonts w:ascii="Times New Roman" w:hAnsi="Times New Roman" w:cs="Times New Roman"/>
          <w:b/>
          <w:sz w:val="28"/>
          <w:szCs w:val="24"/>
        </w:rPr>
      </w:pPr>
      <w:r w:rsidRPr="006A6AF8">
        <w:rPr>
          <w:rFonts w:ascii="Times New Roman" w:hAnsi="Times New Roman" w:cs="Times New Roman"/>
          <w:b/>
          <w:sz w:val="28"/>
          <w:szCs w:val="24"/>
        </w:rPr>
        <w:t>Sample scenario of how EDI works</w:t>
      </w:r>
    </w:p>
    <w:p w14:paraId="3749C228" w14:textId="1EA2927F"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13AB0DC5"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care provider’s practice management system compiles the required information for the patients who have appointments on Tuesday</w:t>
      </w:r>
    </w:p>
    <w:p w14:paraId="63936636"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p>
    <w:p w14:paraId="2DB9016E"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The </w:t>
      </w:r>
      <w:proofErr w:type="gramStart"/>
      <w:r w:rsidRPr="006A6AF8">
        <w:rPr>
          <w:rFonts w:ascii="Times New Roman" w:hAnsi="Times New Roman" w:cs="Times New Roman"/>
          <w:sz w:val="24"/>
          <w:szCs w:val="24"/>
        </w:rPr>
        <w:t>270 inquiry</w:t>
      </w:r>
      <w:proofErr w:type="gramEnd"/>
      <w:r w:rsidRPr="006A6AF8">
        <w:rPr>
          <w:rFonts w:ascii="Times New Roman" w:hAnsi="Times New Roman" w:cs="Times New Roman"/>
          <w:sz w:val="24"/>
          <w:szCs w:val="24"/>
        </w:rPr>
        <w:t xml:space="preserve"> transaction goes to the clearinghouse, which sends the 270 transaction to each payer</w:t>
      </w:r>
    </w:p>
    <w:p w14:paraId="06C15E91"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payer returns a </w:t>
      </w:r>
      <w:proofErr w:type="gramStart"/>
      <w:r w:rsidRPr="006A6AF8">
        <w:rPr>
          <w:rFonts w:ascii="Times New Roman" w:hAnsi="Times New Roman" w:cs="Times New Roman"/>
          <w:sz w:val="24"/>
          <w:szCs w:val="24"/>
        </w:rPr>
        <w:t>271 response</w:t>
      </w:r>
      <w:proofErr w:type="gramEnd"/>
      <w:r w:rsidRPr="006A6AF8">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6A6AF8">
        <w:rPr>
          <w:rFonts w:ascii="Times New Roman" w:hAnsi="Times New Roman" w:cs="Times New Roman"/>
          <w:sz w:val="24"/>
          <w:szCs w:val="24"/>
        </w:rPr>
        <w:t>api</w:t>
      </w:r>
      <w:proofErr w:type="spellEnd"/>
      <w:r w:rsidRPr="006A6AF8">
        <w:rPr>
          <w:rFonts w:ascii="Times New Roman" w:hAnsi="Times New Roman" w:cs="Times New Roman"/>
          <w:sz w:val="24"/>
          <w:szCs w:val="24"/>
        </w:rPr>
        <w:t xml:space="preserve"> for more information on our API solutions.</w:t>
      </w:r>
    </w:p>
    <w:p w14:paraId="38E45FD7" w14:textId="648D0DC2" w:rsidR="008727C4" w:rsidRPr="001D73E5" w:rsidRDefault="008727C4" w:rsidP="00A2722A">
      <w:pPr>
        <w:shd w:val="clear" w:color="auto" w:fill="FFFFFF"/>
        <w:spacing w:before="300" w:line="330" w:lineRule="atLeast"/>
        <w:jc w:val="both"/>
        <w:rPr>
          <w:rFonts w:ascii="Times New Roman" w:hAnsi="Times New Roman" w:cs="Times New Roman"/>
          <w:b/>
          <w:sz w:val="28"/>
          <w:szCs w:val="24"/>
        </w:rPr>
      </w:pPr>
      <w:r w:rsidRPr="001D73E5">
        <w:rPr>
          <w:rFonts w:ascii="Times New Roman" w:hAnsi="Times New Roman" w:cs="Times New Roman"/>
          <w:b/>
          <w:sz w:val="28"/>
          <w:szCs w:val="24"/>
        </w:rPr>
        <w:t>What is difference between 837</w:t>
      </w:r>
      <w:r w:rsidR="001D73E5" w:rsidRPr="001D73E5">
        <w:rPr>
          <w:rFonts w:ascii="Times New Roman" w:hAnsi="Times New Roman" w:cs="Times New Roman"/>
          <w:b/>
          <w:sz w:val="28"/>
          <w:szCs w:val="24"/>
        </w:rPr>
        <w:t>P and 837I?</w:t>
      </w:r>
    </w:p>
    <w:p w14:paraId="1255AC70" w14:textId="696F7408"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 xml:space="preserve">837 Professional </w:t>
      </w:r>
    </w:p>
    <w:p w14:paraId="73C357DB" w14:textId="0D8CC49A" w:rsidR="001D73E5" w:rsidRDefault="001D73E5" w:rsidP="00A2722A">
      <w:pPr>
        <w:shd w:val="clear" w:color="auto" w:fill="FFFFFF"/>
        <w:spacing w:before="300" w:line="330" w:lineRule="atLeast"/>
        <w:jc w:val="both"/>
        <w:rPr>
          <w:rFonts w:ascii="Times New Roman" w:hAnsi="Times New Roman" w:cs="Times New Roman"/>
          <w:sz w:val="24"/>
          <w:szCs w:val="24"/>
        </w:rPr>
      </w:pPr>
      <w:r>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837 Institutional</w:t>
      </w:r>
    </w:p>
    <w:p w14:paraId="6C5F096E" w14:textId="081282BB" w:rsidR="001D73E5" w:rsidRPr="001D73E5" w:rsidRDefault="001D73E5" w:rsidP="00A2722A">
      <w:pPr>
        <w:shd w:val="clear" w:color="auto" w:fill="FFFFFF"/>
        <w:spacing w:before="300" w:line="330" w:lineRule="atLeast"/>
        <w:jc w:val="both"/>
        <w:rPr>
          <w:rFonts w:ascii="Times New Roman" w:hAnsi="Times New Roman" w:cs="Times New Roman"/>
          <w:sz w:val="24"/>
          <w:szCs w:val="24"/>
        </w:rPr>
      </w:pPr>
      <w:r w:rsidRPr="001D73E5">
        <w:rPr>
          <w:rFonts w:ascii="Times New Roman" w:hAnsi="Times New Roman" w:cs="Times New Roman"/>
          <w:color w:val="222222"/>
          <w:sz w:val="24"/>
          <w:szCs w:val="27"/>
          <w:shd w:val="clear" w:color="auto" w:fill="FFFFFF"/>
        </w:rPr>
        <w:t>Institutional billing is responsible for the billing of claims generated for work performed by hospitals and skilled nursing facilities.</w:t>
      </w:r>
    </w:p>
    <w:p w14:paraId="106106D1" w14:textId="3B7C768F" w:rsidR="00E45E3B" w:rsidRDefault="00E45E3B" w:rsidP="00A2722A">
      <w:pPr>
        <w:shd w:val="clear" w:color="auto" w:fill="FFFFFF"/>
        <w:spacing w:after="0" w:line="240" w:lineRule="auto"/>
        <w:jc w:val="both"/>
        <w:rPr>
          <w:rFonts w:ascii="Times New Roman" w:hAnsi="Times New Roman" w:cs="Times New Roman"/>
          <w:b/>
          <w:sz w:val="32"/>
          <w:szCs w:val="24"/>
        </w:rPr>
      </w:pPr>
    </w:p>
    <w:p w14:paraId="30DD239E" w14:textId="2EAC2BCE" w:rsidR="00576D56" w:rsidRDefault="00576D56" w:rsidP="00A2722A">
      <w:pPr>
        <w:shd w:val="clear" w:color="auto" w:fill="FFFFFF"/>
        <w:spacing w:after="0" w:line="240" w:lineRule="auto"/>
        <w:jc w:val="both"/>
        <w:rPr>
          <w:rFonts w:ascii="Times New Roman" w:hAnsi="Times New Roman" w:cs="Times New Roman"/>
          <w:b/>
          <w:sz w:val="32"/>
          <w:szCs w:val="24"/>
        </w:rPr>
      </w:pPr>
    </w:p>
    <w:p w14:paraId="1E195BA6" w14:textId="77777777" w:rsidR="00576D56" w:rsidRDefault="00576D56" w:rsidP="00A2722A">
      <w:pPr>
        <w:shd w:val="clear" w:color="auto" w:fill="FFFFFF"/>
        <w:spacing w:after="0" w:line="240" w:lineRule="auto"/>
        <w:jc w:val="both"/>
        <w:rPr>
          <w:rFonts w:ascii="Times New Roman" w:hAnsi="Times New Roman" w:cs="Times New Roman"/>
          <w:b/>
          <w:sz w:val="32"/>
          <w:szCs w:val="24"/>
        </w:rPr>
      </w:pPr>
    </w:p>
    <w:p w14:paraId="41536262" w14:textId="118758A9" w:rsidR="009F0382" w:rsidRPr="001239A5" w:rsidRDefault="00B86F44" w:rsidP="001239A5">
      <w:pPr>
        <w:shd w:val="clear" w:color="auto" w:fill="FFFFFF"/>
        <w:spacing w:after="0" w:line="240" w:lineRule="auto"/>
        <w:jc w:val="center"/>
        <w:rPr>
          <w:rFonts w:ascii="Times New Roman" w:hAnsi="Times New Roman" w:cs="Times New Roman"/>
          <w:b/>
          <w:sz w:val="32"/>
          <w:szCs w:val="24"/>
        </w:rPr>
      </w:pPr>
      <w:r w:rsidRPr="001239A5">
        <w:rPr>
          <w:rFonts w:ascii="Times New Roman" w:hAnsi="Times New Roman" w:cs="Times New Roman"/>
          <w:b/>
          <w:sz w:val="32"/>
          <w:szCs w:val="24"/>
        </w:rPr>
        <w:lastRenderedPageBreak/>
        <w:t>What is Prior Authorization?</w:t>
      </w:r>
    </w:p>
    <w:p w14:paraId="0D18ADD4" w14:textId="77777777" w:rsidR="00E45E3B" w:rsidRPr="001239A5"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754F34F9" w:rsidR="00B86F44" w:rsidRPr="001239A5"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1239A5">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1239A5">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08C80450" w14:textId="7C5A2762" w:rsidR="006035CA" w:rsidRPr="001239A5" w:rsidRDefault="006035CA" w:rsidP="006C3CCF">
      <w:pPr>
        <w:pStyle w:val="NormalWeb"/>
        <w:shd w:val="clear" w:color="auto" w:fill="FFFFFF"/>
        <w:spacing w:before="0" w:beforeAutospacing="0"/>
        <w:rPr>
          <w:rFonts w:eastAsiaTheme="minorHAnsi"/>
          <w:b/>
        </w:rPr>
      </w:pPr>
    </w:p>
    <w:p w14:paraId="29A5CEE4" w14:textId="7183F4EF" w:rsidR="006035CA" w:rsidRPr="001239A5" w:rsidRDefault="006035CA" w:rsidP="001239A5">
      <w:pPr>
        <w:pStyle w:val="NormalWeb"/>
        <w:shd w:val="clear" w:color="auto" w:fill="FFFFFF"/>
        <w:spacing w:before="0" w:beforeAutospacing="0"/>
        <w:jc w:val="center"/>
        <w:rPr>
          <w:b/>
          <w:color w:val="212529"/>
          <w:spacing w:val="4"/>
          <w:sz w:val="32"/>
        </w:rPr>
      </w:pPr>
      <w:r w:rsidRPr="001239A5">
        <w:rPr>
          <w:b/>
          <w:color w:val="212529"/>
          <w:spacing w:val="4"/>
          <w:sz w:val="32"/>
        </w:rPr>
        <w:t>What is referral reques</w:t>
      </w:r>
      <w:r w:rsidR="004E3439" w:rsidRPr="001239A5">
        <w:rPr>
          <w:b/>
          <w:color w:val="212529"/>
          <w:spacing w:val="4"/>
          <w:sz w:val="32"/>
        </w:rPr>
        <w:t>t</w:t>
      </w:r>
      <w:r w:rsidRPr="001239A5">
        <w:rPr>
          <w:b/>
          <w:color w:val="212529"/>
          <w:spacing w:val="4"/>
          <w:sz w:val="32"/>
        </w:rPr>
        <w:t>?</w:t>
      </w:r>
    </w:p>
    <w:p w14:paraId="52354339" w14:textId="7A9A4F6A" w:rsidR="004E3439" w:rsidRPr="001239A5" w:rsidRDefault="004E3439" w:rsidP="006C3CCF">
      <w:pPr>
        <w:pStyle w:val="NormalWeb"/>
        <w:shd w:val="clear" w:color="auto" w:fill="FFFFFF"/>
        <w:spacing w:before="0" w:beforeAutospacing="0"/>
        <w:rPr>
          <w:color w:val="212529"/>
          <w:spacing w:val="4"/>
        </w:rPr>
      </w:pPr>
      <w:r w:rsidRPr="001239A5">
        <w:rPr>
          <w:color w:val="212529"/>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2D4DF6" w:rsidRDefault="00600600" w:rsidP="006C3CCF">
      <w:pPr>
        <w:pStyle w:val="NormalWeb"/>
        <w:shd w:val="clear" w:color="auto" w:fill="FFFFFF"/>
        <w:spacing w:before="0" w:beforeAutospacing="0"/>
        <w:rPr>
          <w:b/>
          <w:spacing w:val="4"/>
          <w:sz w:val="28"/>
        </w:rPr>
      </w:pPr>
      <w:r w:rsidRPr="002D4DF6">
        <w:rPr>
          <w:b/>
          <w:spacing w:val="4"/>
          <w:sz w:val="28"/>
        </w:rPr>
        <w:t>Essentials for the referral</w:t>
      </w:r>
    </w:p>
    <w:p w14:paraId="7187358D"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Referrals should be in a written format and not verbally told to you for further acceptance by another doctor.</w:t>
      </w:r>
    </w:p>
    <w:p w14:paraId="6B1E5A8E"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It must be officially signed by the practitioner who has given you a referral to show it to the specialist.</w:t>
      </w:r>
    </w:p>
    <w:p w14:paraId="0684EF01"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It must mention the date of approval such that a patient can use it within the time period of 18 months.</w:t>
      </w:r>
    </w:p>
    <w:p w14:paraId="34D19EC1"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The Primary care doctor must specify the treatment in the referral for the specialist to consider it.</w:t>
      </w:r>
    </w:p>
    <w:p w14:paraId="68C41E17" w14:textId="7C60A8C4"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Adequate particulars about the patient’s health condition should be provided in the referral.</w:t>
      </w:r>
    </w:p>
    <w:p w14:paraId="13D7710E" w14:textId="77777777" w:rsidR="00600600" w:rsidRPr="001239A5" w:rsidRDefault="00600600" w:rsidP="00B3661E">
      <w:pPr>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In circumstances of emergency, referrals in a written format is not required.</w:t>
      </w:r>
    </w:p>
    <w:p w14:paraId="23376ED3" w14:textId="5CF91D9B"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p>
    <w:p w14:paraId="5BF1A158" w14:textId="4BFCA693" w:rsidR="00600600" w:rsidRPr="002D4DF6" w:rsidRDefault="00600600" w:rsidP="00600600">
      <w:pPr>
        <w:shd w:val="clear" w:color="auto" w:fill="FFFFFF"/>
        <w:spacing w:after="0" w:line="240" w:lineRule="auto"/>
        <w:rPr>
          <w:rFonts w:ascii="Times New Roman" w:eastAsia="Times New Roman" w:hAnsi="Times New Roman" w:cs="Times New Roman"/>
          <w:b/>
          <w:color w:val="333333"/>
          <w:sz w:val="28"/>
          <w:szCs w:val="24"/>
        </w:rPr>
      </w:pPr>
      <w:r w:rsidRPr="002D4DF6">
        <w:rPr>
          <w:rFonts w:ascii="Times New Roman" w:eastAsia="Times New Roman" w:hAnsi="Times New Roman" w:cs="Times New Roman"/>
          <w:b/>
          <w:color w:val="333333"/>
          <w:sz w:val="28"/>
          <w:szCs w:val="24"/>
        </w:rPr>
        <w:t xml:space="preserve">Process of Referral </w:t>
      </w:r>
    </w:p>
    <w:p w14:paraId="368F292C" w14:textId="2D2B59AC"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p>
    <w:p w14:paraId="015957B7" w14:textId="2651B159"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Example:</w:t>
      </w:r>
    </w:p>
    <w:p w14:paraId="0A134695" w14:textId="77777777" w:rsidR="00600600" w:rsidRPr="001239A5" w:rsidRDefault="00600600" w:rsidP="00600600">
      <w:pPr>
        <w:pStyle w:val="NormalWeb"/>
        <w:shd w:val="clear" w:color="auto" w:fill="FFFFFF"/>
        <w:spacing w:before="0" w:beforeAutospacing="0" w:after="150" w:afterAutospacing="0"/>
        <w:jc w:val="both"/>
        <w:rPr>
          <w:color w:val="333333"/>
          <w:shd w:val="clear" w:color="auto" w:fill="FFFFFF"/>
        </w:rPr>
      </w:pPr>
      <w:r w:rsidRPr="001239A5">
        <w:rPr>
          <w:color w:val="333333"/>
          <w:shd w:val="clear" w:color="auto" w:fill="FFFFFF"/>
        </w:rPr>
        <w:t>you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1239A5" w:rsidRDefault="00600600" w:rsidP="00600600">
      <w:pPr>
        <w:pStyle w:val="NormalWeb"/>
        <w:shd w:val="clear" w:color="auto" w:fill="FFFFFF"/>
        <w:spacing w:before="0" w:beforeAutospacing="0" w:after="150" w:afterAutospacing="0"/>
        <w:jc w:val="both"/>
        <w:rPr>
          <w:color w:val="333333"/>
        </w:rPr>
      </w:pPr>
      <w:r w:rsidRPr="001239A5">
        <w:rPr>
          <w:color w:val="333333"/>
        </w:rPr>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1239A5" w:rsidRDefault="00600600" w:rsidP="00600600">
      <w:pPr>
        <w:pStyle w:val="NormalWeb"/>
        <w:shd w:val="clear" w:color="auto" w:fill="FFFFFF"/>
        <w:spacing w:before="0" w:beforeAutospacing="0" w:after="150" w:afterAutospacing="0"/>
        <w:jc w:val="both"/>
        <w:rPr>
          <w:color w:val="333333"/>
        </w:rPr>
      </w:pPr>
      <w:r w:rsidRPr="001239A5">
        <w:rPr>
          <w:color w:val="333333"/>
        </w:rPr>
        <w:t>Your doctor will then help to coordinate your visit and the referral provided thereafter will help to make sure you get adequate care when you meet a specialist.</w:t>
      </w:r>
    </w:p>
    <w:p w14:paraId="270D638C" w14:textId="4DDDB2AA"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54586B53" w14:textId="5EACF150" w:rsidR="004E3439" w:rsidRPr="00571416" w:rsidRDefault="004E3439" w:rsidP="00600600">
      <w:pPr>
        <w:shd w:val="clear" w:color="auto" w:fill="FFFFFF"/>
        <w:spacing w:after="0" w:line="240" w:lineRule="auto"/>
        <w:rPr>
          <w:rFonts w:ascii="Times New Roman" w:eastAsia="Times New Roman" w:hAnsi="Times New Roman" w:cs="Times New Roman"/>
          <w:b/>
          <w:color w:val="333333"/>
          <w:sz w:val="28"/>
          <w:szCs w:val="28"/>
        </w:rPr>
      </w:pPr>
      <w:r w:rsidRPr="00571416">
        <w:rPr>
          <w:rFonts w:ascii="Times New Roman" w:eastAsia="Times New Roman" w:hAnsi="Times New Roman" w:cs="Times New Roman"/>
          <w:b/>
          <w:color w:val="333333"/>
          <w:sz w:val="28"/>
          <w:szCs w:val="28"/>
        </w:rPr>
        <w:lastRenderedPageBreak/>
        <w:t>What is ANSI?</w:t>
      </w:r>
    </w:p>
    <w:p w14:paraId="2BB28399" w14:textId="703AC583" w:rsidR="004E3439" w:rsidRPr="00571416" w:rsidRDefault="00571416" w:rsidP="00600600">
      <w:pPr>
        <w:shd w:val="clear" w:color="auto" w:fill="FFFFFF"/>
        <w:spacing w:after="0" w:line="240" w:lineRule="auto"/>
        <w:rPr>
          <w:rFonts w:ascii="Times New Roman" w:eastAsia="Times New Roman" w:hAnsi="Times New Roman" w:cs="Times New Roman"/>
          <w:color w:val="333333"/>
          <w:sz w:val="25"/>
          <w:szCs w:val="21"/>
        </w:rPr>
      </w:pPr>
      <w:r w:rsidRPr="00571416">
        <w:rPr>
          <w:rFonts w:ascii="Times New Roman" w:hAnsi="Times New Roman" w:cs="Times New Roman"/>
          <w:b/>
          <w:bCs/>
          <w:color w:val="000000"/>
          <w:sz w:val="24"/>
          <w:szCs w:val="20"/>
          <w:shd w:val="clear" w:color="auto" w:fill="FFFFFF"/>
        </w:rPr>
        <w:t>ANSI</w:t>
      </w:r>
      <w:r w:rsidRPr="00571416">
        <w:rPr>
          <w:rFonts w:ascii="Times New Roman" w:hAnsi="Times New Roman" w:cs="Times New Roman"/>
          <w:color w:val="000000"/>
          <w:sz w:val="24"/>
          <w:szCs w:val="20"/>
          <w:shd w:val="clear" w:color="auto" w:fill="FFFFFF"/>
        </w:rPr>
        <w:t> is the uniform file format to send and receive medical transactions.</w:t>
      </w:r>
      <w:r>
        <w:rPr>
          <w:rFonts w:ascii="Times New Roman" w:hAnsi="Times New Roman" w:cs="Times New Roman"/>
          <w:color w:val="000000"/>
          <w:sz w:val="24"/>
          <w:szCs w:val="20"/>
          <w:shd w:val="clear" w:color="auto" w:fill="FFFFFF"/>
        </w:rPr>
        <w:t xml:space="preserve"> </w:t>
      </w:r>
      <w:r w:rsidRPr="00571416">
        <w:rPr>
          <w:rFonts w:ascii="Times New Roman" w:hAnsi="Times New Roman" w:cs="Times New Roman"/>
          <w:color w:val="000000"/>
          <w:sz w:val="24"/>
          <w:szCs w:val="20"/>
          <w:shd w:val="clear" w:color="auto" w:fill="FFFFFF"/>
        </w:rPr>
        <w:t>ANSI stands for American National Standards Institute. It is an insurance committee that sets the standards for the electronic model of a paper transaction or form for North America. The primary standards for medical transactions are 837 for medical claims, 835 for medical claim payments, 270 eligibility inquiry and 271 eligibility response.</w:t>
      </w:r>
    </w:p>
    <w:p w14:paraId="0C388C34" w14:textId="77777777" w:rsidR="004E3439" w:rsidRDefault="004E3439" w:rsidP="00600600">
      <w:pPr>
        <w:shd w:val="clear" w:color="auto" w:fill="FFFFFF"/>
        <w:spacing w:after="0" w:line="240" w:lineRule="auto"/>
        <w:rPr>
          <w:rFonts w:ascii="var(--list--font-family)" w:eastAsia="Times New Roman" w:hAnsi="var(--list--font-family)" w:cs="Times New Roman"/>
          <w:color w:val="333333"/>
          <w:sz w:val="21"/>
          <w:szCs w:val="21"/>
        </w:rPr>
      </w:pPr>
    </w:p>
    <w:p w14:paraId="5C506EFD" w14:textId="5F1A3A39" w:rsidR="00576D56" w:rsidRPr="00600600" w:rsidRDefault="004E3439" w:rsidP="00600600">
      <w:p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 xml:space="preserve"> </w:t>
      </w:r>
    </w:p>
    <w:p w14:paraId="00C481A2" w14:textId="489852C1" w:rsidR="00600600" w:rsidRPr="007C3FB7" w:rsidRDefault="00232076" w:rsidP="006C3CCF">
      <w:pPr>
        <w:pStyle w:val="NormalWeb"/>
        <w:shd w:val="clear" w:color="auto" w:fill="FFFFFF"/>
        <w:spacing w:before="0" w:beforeAutospacing="0"/>
        <w:rPr>
          <w:b/>
          <w:spacing w:val="4"/>
          <w:sz w:val="28"/>
        </w:rPr>
      </w:pPr>
      <w:r w:rsidRPr="007C3FB7">
        <w:rPr>
          <w:b/>
          <w:spacing w:val="4"/>
          <w:sz w:val="28"/>
        </w:rPr>
        <w:t>What is EDIFAC</w:t>
      </w:r>
      <w:r w:rsidR="00165330" w:rsidRPr="007C3FB7">
        <w:rPr>
          <w:b/>
          <w:spacing w:val="4"/>
          <w:sz w:val="28"/>
        </w:rPr>
        <w:t>T</w:t>
      </w:r>
      <w:r w:rsidRPr="007C3FB7">
        <w:rPr>
          <w:b/>
          <w:spacing w:val="4"/>
          <w:sz w:val="28"/>
        </w:rPr>
        <w:t>?</w:t>
      </w:r>
    </w:p>
    <w:p w14:paraId="575BB3C4" w14:textId="5CCA2510" w:rsidR="00232076" w:rsidRPr="007C3FB7" w:rsidRDefault="00165330" w:rsidP="006C3CCF">
      <w:pPr>
        <w:pStyle w:val="NormalWeb"/>
        <w:shd w:val="clear" w:color="auto" w:fill="FFFFFF"/>
        <w:spacing w:before="0" w:beforeAutospacing="0"/>
        <w:rPr>
          <w:color w:val="363E49"/>
          <w:shd w:val="clear" w:color="auto" w:fill="FFFFFF"/>
        </w:rPr>
      </w:pPr>
      <w:r w:rsidRPr="007C3FB7">
        <w:rPr>
          <w:rStyle w:val="Strong"/>
          <w:color w:val="363E49"/>
          <w:shd w:val="clear" w:color="auto" w:fill="FFFFFF"/>
        </w:rPr>
        <w:t>EDIFACT </w:t>
      </w:r>
      <w:r w:rsidRPr="007C3FB7">
        <w:rPr>
          <w:color w:val="363E49"/>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51FCC57B" w14:textId="5968096E" w:rsidR="00165330" w:rsidRPr="007C3FB7" w:rsidRDefault="00165330" w:rsidP="006C3CCF">
      <w:pPr>
        <w:pStyle w:val="NormalWeb"/>
        <w:shd w:val="clear" w:color="auto" w:fill="FFFFFF"/>
        <w:spacing w:before="0" w:beforeAutospacing="0"/>
        <w:rPr>
          <w:b/>
          <w:spacing w:val="4"/>
        </w:rPr>
      </w:pPr>
      <w:r w:rsidRPr="007C3FB7">
        <w:rPr>
          <w:b/>
          <w:spacing w:val="4"/>
        </w:rPr>
        <w:t>Who uses EDIFACT?</w:t>
      </w:r>
    </w:p>
    <w:p w14:paraId="073E9509" w14:textId="157F816B" w:rsidR="00165330" w:rsidRPr="007C3FB7" w:rsidRDefault="00165330" w:rsidP="006C3CCF">
      <w:pPr>
        <w:pStyle w:val="NormalWeb"/>
        <w:shd w:val="clear" w:color="auto" w:fill="FFFFFF"/>
        <w:spacing w:before="0" w:beforeAutospacing="0"/>
        <w:rPr>
          <w:color w:val="363E49"/>
          <w:shd w:val="clear" w:color="auto" w:fill="FFFFFF"/>
        </w:rPr>
      </w:pPr>
      <w:r w:rsidRPr="007C3FB7">
        <w:rPr>
          <w:shd w:val="clear" w:color="auto" w:fill="FFFFFF"/>
        </w:rPr>
        <w:t>Like EDI, </w:t>
      </w:r>
      <w:hyperlink r:id="rId45" w:tooltip="What is EDIFACT?" w:history="1">
        <w:r w:rsidRPr="007C3FB7">
          <w:rPr>
            <w:rStyle w:val="Hyperlink"/>
            <w:color w:val="auto"/>
            <w:u w:val="none"/>
            <w:shd w:val="clear" w:color="auto" w:fill="FFFFFF"/>
          </w:rPr>
          <w:t>EDIFACT</w:t>
        </w:r>
      </w:hyperlink>
      <w:r w:rsidRPr="007C3FB7">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r w:rsidRPr="007C3FB7">
        <w:rPr>
          <w:color w:val="363E49"/>
          <w:shd w:val="clear" w:color="auto" w:fill="FFFFFF"/>
        </w:rPr>
        <w:t>.</w:t>
      </w:r>
    </w:p>
    <w:p w14:paraId="16A35200" w14:textId="5B81243C" w:rsidR="00884556" w:rsidRPr="007C3FB7" w:rsidRDefault="00C05ADD" w:rsidP="007C3FB7">
      <w:pPr>
        <w:pStyle w:val="NormalWeb"/>
        <w:shd w:val="clear" w:color="auto" w:fill="FFFFFF"/>
        <w:spacing w:before="0" w:beforeAutospacing="0"/>
        <w:jc w:val="center"/>
        <w:rPr>
          <w:b/>
          <w:spacing w:val="4"/>
          <w:sz w:val="32"/>
        </w:rPr>
      </w:pPr>
      <w:r w:rsidRPr="007C3FB7">
        <w:rPr>
          <w:b/>
          <w:spacing w:val="4"/>
          <w:sz w:val="32"/>
        </w:rPr>
        <w:t xml:space="preserve">Differences between CO, </w:t>
      </w:r>
      <w:r w:rsidR="00DD5189" w:rsidRPr="007C3FB7">
        <w:rPr>
          <w:b/>
          <w:spacing w:val="4"/>
          <w:sz w:val="32"/>
        </w:rPr>
        <w:t>OA, PI, PR</w:t>
      </w:r>
    </w:p>
    <w:p w14:paraId="4A505CC6" w14:textId="2BB9EC19" w:rsidR="00884556" w:rsidRPr="007C3FB7" w:rsidRDefault="00884556" w:rsidP="00B3661E">
      <w:pPr>
        <w:pStyle w:val="NormalWeb"/>
        <w:numPr>
          <w:ilvl w:val="0"/>
          <w:numId w:val="57"/>
        </w:numPr>
        <w:shd w:val="clear" w:color="auto" w:fill="FFFFFF"/>
        <w:spacing w:before="0" w:beforeAutospacing="0"/>
        <w:rPr>
          <w:spacing w:val="4"/>
        </w:rPr>
      </w:pPr>
      <w:r w:rsidRPr="007C3FB7">
        <w:rPr>
          <w:b/>
          <w:bCs/>
          <w:color w:val="333333"/>
        </w:rPr>
        <w:t>CO (Contractual Obligations)</w:t>
      </w:r>
      <w:r w:rsidRPr="00884556">
        <w:rPr>
          <w:color w:val="333333"/>
        </w:rPr>
        <w:t> is the amount between what you billed and the amount allowed by the payer when you are in-network with them.  This is the amount that the provider is contractually obligated to adjust.   </w:t>
      </w:r>
    </w:p>
    <w:p w14:paraId="1B0B5C7B" w14:textId="445F3A4D" w:rsidR="00884556" w:rsidRPr="007C3FB7"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color w:val="333333"/>
          <w:sz w:val="24"/>
          <w:szCs w:val="24"/>
        </w:rPr>
      </w:pPr>
      <w:r w:rsidRPr="007C3FB7">
        <w:rPr>
          <w:rFonts w:ascii="Times New Roman" w:eastAsia="Times New Roman" w:hAnsi="Times New Roman" w:cs="Times New Roman"/>
          <w:b/>
          <w:color w:val="333333"/>
          <w:sz w:val="24"/>
          <w:szCs w:val="24"/>
        </w:rPr>
        <w:t>For Example:</w:t>
      </w:r>
    </w:p>
    <w:p w14:paraId="144C7032" w14:textId="37A6C924" w:rsidR="00884556" w:rsidRPr="00884556"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7C3FB7">
        <w:rPr>
          <w:rFonts w:ascii="Times New Roman" w:hAnsi="Times New Roman" w:cs="Times New Roman"/>
          <w:color w:val="333333"/>
          <w:sz w:val="24"/>
          <w:szCs w:val="24"/>
          <w:shd w:val="clear" w:color="auto" w:fill="FFFFFF"/>
        </w:rPr>
        <w:t>L</w:t>
      </w:r>
      <w:r w:rsidRPr="007C3FB7">
        <w:rPr>
          <w:rFonts w:ascii="Times New Roman" w:hAnsi="Times New Roman" w:cs="Times New Roman"/>
          <w:color w:val="333333"/>
          <w:sz w:val="24"/>
          <w:szCs w:val="24"/>
          <w:shd w:val="clear" w:color="auto" w:fill="FFFFFF"/>
        </w:rPr>
        <w:t>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77777777" w:rsidR="002F777D" w:rsidRPr="007C3FB7" w:rsidRDefault="00884556" w:rsidP="00B3661E">
      <w:pPr>
        <w:pStyle w:val="NormalWeb"/>
        <w:numPr>
          <w:ilvl w:val="0"/>
          <w:numId w:val="56"/>
        </w:numPr>
        <w:shd w:val="clear" w:color="auto" w:fill="FFFFFF"/>
        <w:spacing w:before="0" w:beforeAutospacing="0"/>
        <w:rPr>
          <w:color w:val="333333"/>
        </w:rPr>
      </w:pPr>
      <w:r w:rsidRPr="007C3FB7">
        <w:rPr>
          <w:b/>
          <w:bCs/>
          <w:color w:val="333333"/>
        </w:rPr>
        <w:t>OA (Other Adjustments)</w:t>
      </w:r>
      <w:r w:rsidRPr="00884556">
        <w:rPr>
          <w:color w:val="333333"/>
        </w:rPr>
        <w:t> is used when CO (Contractual Obligation) nor PR (Patient Responsibility apply.  This can be used when the claim is paid in full and there is no contractual obligation or patient responsibility on the claim</w:t>
      </w:r>
      <w:r w:rsidR="002F777D" w:rsidRPr="007C3FB7">
        <w:rPr>
          <w:color w:val="333333"/>
        </w:rPr>
        <w:t>.</w:t>
      </w:r>
    </w:p>
    <w:p w14:paraId="58C2245F" w14:textId="42051199" w:rsidR="002F777D" w:rsidRPr="007C3FB7" w:rsidRDefault="002F777D" w:rsidP="00DB1477">
      <w:pPr>
        <w:pStyle w:val="NormalWeb"/>
        <w:shd w:val="clear" w:color="auto" w:fill="FFFFFF"/>
        <w:spacing w:before="0" w:beforeAutospacing="0"/>
        <w:ind w:left="720"/>
        <w:rPr>
          <w:color w:val="333333"/>
        </w:rPr>
      </w:pPr>
      <w:r w:rsidRPr="007C3FB7">
        <w:rPr>
          <w:b/>
          <w:color w:val="333333"/>
        </w:rPr>
        <w:t>Examples of other adjustments</w:t>
      </w:r>
      <w:r w:rsidRPr="007C3FB7">
        <w:rPr>
          <w:color w:val="333333"/>
        </w:rPr>
        <w:t xml:space="preserve"> may include correcting errors in coding, reducing payment for services that were duplicated, or denying payment for services that were not medically necessary.</w:t>
      </w:r>
    </w:p>
    <w:p w14:paraId="767A9C11" w14:textId="77777777" w:rsidR="002F777D" w:rsidRPr="007C3FB7" w:rsidRDefault="002F777D" w:rsidP="002F777D">
      <w:pPr>
        <w:pStyle w:val="NormalWeb"/>
        <w:shd w:val="clear" w:color="auto" w:fill="FFFFFF"/>
        <w:spacing w:before="0" w:beforeAutospacing="0"/>
        <w:ind w:left="720"/>
        <w:rPr>
          <w:color w:val="333333"/>
        </w:rPr>
      </w:pPr>
    </w:p>
    <w:p w14:paraId="0412B9C7" w14:textId="6138CAE4" w:rsidR="002F777D" w:rsidRPr="007C3FB7"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lastRenderedPageBreak/>
        <w:t>PI (Payer Initiated Reductions)</w:t>
      </w:r>
      <w:r w:rsidRPr="007C3FB7">
        <w:rPr>
          <w:rFonts w:ascii="Times New Roman" w:eastAsia="Times New Roman" w:hAnsi="Times New Roman" w:cs="Times New Roman"/>
          <w:color w:val="333333"/>
          <w:sz w:val="24"/>
          <w:szCs w:val="24"/>
        </w:rPr>
        <w:t> is used by payers when it is believed the adjustment is not the responsibility of the patient. The reason code will give you additional information about this code.</w:t>
      </w:r>
    </w:p>
    <w:p w14:paraId="01991BDB" w14:textId="65B6850B" w:rsidR="00884556" w:rsidRPr="007C3FB7"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t>PR (Patient Responsibility)</w:t>
      </w:r>
      <w:r w:rsidRPr="007C3FB7">
        <w:rPr>
          <w:rFonts w:ascii="Times New Roman" w:eastAsia="Times New Roman" w:hAnsi="Times New Roman" w:cs="Times New Roman"/>
          <w:color w:val="333333"/>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4"/>
        </w:rPr>
      </w:pPr>
      <w:r w:rsidRPr="007C3FB7">
        <w:rPr>
          <w:rFonts w:ascii="Times New Roman" w:eastAsia="Times New Roman" w:hAnsi="Times New Roman" w:cs="Times New Roman"/>
          <w:b/>
          <w:color w:val="333333"/>
          <w:sz w:val="28"/>
          <w:szCs w:val="24"/>
        </w:rPr>
        <w:t xml:space="preserve">Patient Responsibility denial code list </w:t>
      </w:r>
    </w:p>
    <w:p w14:paraId="537C047F" w14:textId="746AD934" w:rsidR="007C3FB7"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color w:val="333333"/>
          <w:sz w:val="24"/>
          <w:szCs w:val="24"/>
        </w:rPr>
        <w:t xml:space="preserve">Following are the patient responsibility denial code list </w:t>
      </w:r>
    </w:p>
    <w:p w14:paraId="421B96A7" w14:textId="3C1487CF" w:rsidR="007C3FB7"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1 Deductible Amount:</w:t>
      </w:r>
      <w:r w:rsidRPr="007C3FB7">
        <w:rPr>
          <w:rFonts w:ascii="Times New Roman" w:eastAsia="Times New Roman" w:hAnsi="Times New Roman" w:cs="Times New Roman"/>
          <w:color w:val="333333"/>
          <w:sz w:val="24"/>
          <w:szCs w:val="24"/>
        </w:rPr>
        <w:t xml:space="preserve"> Members plan deductible applied to the allowable benefit for the rendered services </w:t>
      </w:r>
    </w:p>
    <w:p w14:paraId="7AAADA86" w14:textId="16213A02" w:rsidR="007C3FB7"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2 Coinsurance Amount:</w:t>
      </w:r>
      <w:r w:rsidRPr="007C3FB7">
        <w:rPr>
          <w:rFonts w:ascii="Times New Roman" w:eastAsia="Times New Roman" w:hAnsi="Times New Roman" w:cs="Times New Roman"/>
          <w:color w:val="333333"/>
          <w:sz w:val="24"/>
          <w:szCs w:val="24"/>
        </w:rPr>
        <w:t xml:space="preserve"> Members plan coinsurance rate applied to allowable benefit for the rendered services.</w:t>
      </w:r>
    </w:p>
    <w:p w14:paraId="00BF8951" w14:textId="02B68A06" w:rsidR="009F0382"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3 Co-Payment Amount:</w:t>
      </w:r>
      <w:r w:rsidRPr="007C3FB7">
        <w:rPr>
          <w:rFonts w:ascii="Times New Roman" w:eastAsia="Times New Roman" w:hAnsi="Times New Roman" w:cs="Times New Roman"/>
          <w:color w:val="333333"/>
          <w:sz w:val="24"/>
          <w:szCs w:val="24"/>
        </w:rPr>
        <w:t xml:space="preserve"> Copayments members plan copayments applied to the allowable benefit for the rendered services</w:t>
      </w:r>
      <w:r>
        <w:rPr>
          <w:rFonts w:ascii="Times New Roman" w:eastAsia="Times New Roman" w:hAnsi="Times New Roman" w:cs="Times New Roman"/>
          <w:color w:val="333333"/>
          <w:sz w:val="24"/>
          <w:szCs w:val="24"/>
        </w:rPr>
        <w:t>.</w:t>
      </w:r>
    </w:p>
    <w:p w14:paraId="79EC01D8" w14:textId="77777777" w:rsidR="00B86F44"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6A6AF8" w:rsidRDefault="00171CF7" w:rsidP="009F0382">
      <w:pPr>
        <w:shd w:val="clear" w:color="auto" w:fill="FFFFFF"/>
        <w:spacing w:after="0" w:line="240" w:lineRule="auto"/>
        <w:jc w:val="center"/>
        <w:rPr>
          <w:rFonts w:ascii="Times New Roman" w:hAnsi="Times New Roman" w:cs="Times New Roman"/>
          <w:b/>
          <w:sz w:val="32"/>
          <w:szCs w:val="24"/>
        </w:rPr>
      </w:pPr>
      <w:r w:rsidRPr="006A6AF8">
        <w:rPr>
          <w:rFonts w:ascii="Times New Roman" w:hAnsi="Times New Roman" w:cs="Times New Roman"/>
          <w:b/>
          <w:sz w:val="32"/>
          <w:szCs w:val="24"/>
        </w:rPr>
        <w:t>HCFA 1500</w:t>
      </w:r>
    </w:p>
    <w:p w14:paraId="64E2CD17" w14:textId="6BE2D65A" w:rsidR="00171CF7" w:rsidRPr="006A6AF8"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6A6AF8" w:rsidRDefault="00017506" w:rsidP="00A2722A">
      <w:pPr>
        <w:pStyle w:val="NormalWeb"/>
        <w:shd w:val="clear" w:color="auto" w:fill="FFFFFF"/>
        <w:jc w:val="both"/>
        <w:rPr>
          <w:sz w:val="28"/>
          <w:shd w:val="clear" w:color="auto" w:fill="FFFFFF"/>
        </w:rPr>
      </w:pPr>
      <w:r w:rsidRPr="006A6AF8">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A6AF8" w:rsidRDefault="00DF7DA0" w:rsidP="00A2722A">
      <w:pPr>
        <w:pStyle w:val="NormalWeb"/>
        <w:shd w:val="clear" w:color="auto" w:fill="FFFFFF"/>
        <w:jc w:val="both"/>
      </w:pPr>
      <w:r w:rsidRPr="006A6AF8">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A6AF8" w:rsidRDefault="00DF7DA0" w:rsidP="00A2722A">
      <w:pPr>
        <w:pStyle w:val="NormalWeb"/>
        <w:shd w:val="clear" w:color="auto" w:fill="FFFFFF"/>
        <w:jc w:val="both"/>
      </w:pPr>
      <w:r w:rsidRPr="006A6AF8">
        <w:t>Form HCFA is so comprehensive that private insurers have also adopted it as their standard.</w:t>
      </w:r>
    </w:p>
    <w:p w14:paraId="44BB45B5"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1A152C5A"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49A3E532"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6A6AF8" w:rsidRDefault="00DF7DA0" w:rsidP="00A2722A">
      <w:pPr>
        <w:shd w:val="clear" w:color="auto" w:fill="FFFFFF"/>
        <w:spacing w:after="0" w:line="240" w:lineRule="auto"/>
        <w:jc w:val="both"/>
        <w:rPr>
          <w:rFonts w:ascii="Times New Roman" w:hAnsi="Times New Roman" w:cs="Times New Roman"/>
          <w:b/>
          <w:sz w:val="28"/>
          <w:szCs w:val="24"/>
        </w:rPr>
      </w:pPr>
      <w:r w:rsidRPr="006A6AF8">
        <w:rPr>
          <w:rFonts w:ascii="Times New Roman" w:hAnsi="Times New Roman" w:cs="Times New Roman"/>
          <w:b/>
          <w:sz w:val="28"/>
          <w:szCs w:val="24"/>
        </w:rPr>
        <w:t xml:space="preserve">How </w:t>
      </w:r>
      <w:r w:rsidR="006A6AF8" w:rsidRPr="006A6AF8">
        <w:rPr>
          <w:rFonts w:ascii="Times New Roman" w:hAnsi="Times New Roman" w:cs="Times New Roman"/>
          <w:b/>
          <w:sz w:val="28"/>
          <w:szCs w:val="24"/>
        </w:rPr>
        <w:t>does</w:t>
      </w:r>
      <w:r w:rsidRPr="006A6AF8">
        <w:rPr>
          <w:rFonts w:ascii="Times New Roman" w:hAnsi="Times New Roman" w:cs="Times New Roman"/>
          <w:b/>
          <w:sz w:val="28"/>
          <w:szCs w:val="24"/>
        </w:rPr>
        <w:t xml:space="preserve"> the HCFA form work?</w:t>
      </w:r>
    </w:p>
    <w:p w14:paraId="119806BF" w14:textId="10477CE5" w:rsidR="00DF7DA0" w:rsidRPr="006A6AF8"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A6AF8">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r w:rsidRPr="006653EB">
        <w:rPr>
          <w:rFonts w:ascii="Times New Roman" w:hAnsi="Times New Roman" w:cs="Times New Roman"/>
          <w:sz w:val="24"/>
          <w:szCs w:val="24"/>
          <w:shd w:val="clear" w:color="auto" w:fill="FFFFFF"/>
        </w:rPr>
        <w:t>.</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095A81A4" w14:textId="77777777" w:rsidR="000A72C2" w:rsidRDefault="000A72C2"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p>
    <w:p w14:paraId="5B77393B" w14:textId="3AFFFB5A"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6"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42A8EC09" w14:textId="2ABA4194" w:rsidR="00760F68"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500A0C">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w:t>
      </w:r>
      <w:r w:rsidRPr="00760F68">
        <w:rPr>
          <w:rFonts w:ascii="Times New Roman" w:hAnsi="Times New Roman" w:cs="Times New Roman"/>
          <w:spacing w:val="8"/>
          <w:sz w:val="24"/>
          <w:szCs w:val="24"/>
          <w:shd w:val="clear" w:color="auto" w:fill="FFFFFF"/>
        </w:rPr>
        <w:t>t.</w:t>
      </w:r>
      <w:r w:rsidR="00760F68">
        <w:rPr>
          <w:rFonts w:ascii="Times New Roman" w:hAnsi="Times New Roman" w:cs="Times New Roman"/>
          <w:sz w:val="24"/>
          <w:szCs w:val="24"/>
          <w:shd w:val="clear" w:color="auto" w:fill="FFFFFF"/>
        </w:rPr>
        <w:t xml:space="preserve"> </w:t>
      </w:r>
      <w:r w:rsidR="00AA1C0B" w:rsidRPr="00760F68">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6653EB"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760F68">
        <w:rPr>
          <w:rFonts w:ascii="Times New Roman" w:hAnsi="Times New Roman" w:cs="Times New Roman"/>
          <w:sz w:val="24"/>
          <w:szCs w:val="24"/>
        </w:rPr>
        <w:t>The 835 is sent to detail the payment for the claim, which was sent by the provider using the 837 transaction set.</w:t>
      </w:r>
      <w:r w:rsidR="00AA1C0B" w:rsidRPr="006653EB">
        <w:rPr>
          <w:rFonts w:ascii="Times New Roman" w:hAnsi="Times New Roman" w:cs="Times New Roman"/>
          <w:sz w:val="24"/>
          <w:szCs w:val="24"/>
          <w:shd w:val="clear" w:color="auto" w:fill="FFFFFF"/>
        </w:rPr>
        <w:t xml:space="preserve"> In medical billing, ERAs detail a patient’s paid and denied </w:t>
      </w:r>
      <w:hyperlink r:id="rId47" w:history="1">
        <w:r w:rsidR="00AA1C0B" w:rsidRPr="006653EB">
          <w:rPr>
            <w:rStyle w:val="Hyperlink"/>
            <w:rFonts w:ascii="Times New Roman" w:hAnsi="Times New Roman" w:cs="Times New Roman"/>
            <w:color w:val="auto"/>
            <w:sz w:val="24"/>
            <w:szCs w:val="24"/>
            <w:u w:val="none"/>
            <w:shd w:val="clear" w:color="auto" w:fill="FFFFFF"/>
          </w:rPr>
          <w:t>medical claims</w:t>
        </w:r>
      </w:hyperlink>
      <w:r w:rsidR="00AA1C0B"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8"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1D58C935" w14:textId="13BE1C74" w:rsidR="00C67345" w:rsidRPr="000A72C2"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xml:space="preserve"> Just because you’ve alerted patients that they need to pay doesn’t mean they’ll do so right away. With EOBs, you have no easy way to determine whether patients have received your bill and acted on them. ERAs, though, are entirely </w:t>
      </w:r>
      <w:r w:rsidRPr="006653EB">
        <w:rPr>
          <w:rFonts w:ascii="Times New Roman" w:eastAsia="Times New Roman" w:hAnsi="Times New Roman" w:cs="Times New Roman"/>
          <w:sz w:val="24"/>
          <w:szCs w:val="24"/>
        </w:rPr>
        <w:lastRenderedPageBreak/>
        <w:t>trackable. This makes it easier to get in touch with patients who are behind on payment, and receive the payments sooner.</w:t>
      </w: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How much of the billed amount your insurance company paid</w:t>
      </w:r>
    </w:p>
    <w:p w14:paraId="6874FA6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3B690064" w:rsidR="00540EC8" w:rsidRPr="00272C50" w:rsidRDefault="00147206" w:rsidP="00A2722A">
      <w:pPr>
        <w:shd w:val="clear" w:color="auto" w:fill="FFFFFF"/>
        <w:spacing w:after="0" w:line="240" w:lineRule="auto"/>
        <w:jc w:val="both"/>
        <w:rPr>
          <w:rFonts w:ascii="Times New Roman" w:hAnsi="Times New Roman" w:cs="Times New Roman"/>
          <w:sz w:val="24"/>
          <w:szCs w:val="24"/>
          <w:shd w:val="clear" w:color="auto" w:fill="FFFFFF"/>
        </w:rPr>
      </w:pPr>
      <w:hyperlink r:id="rId49"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w:t>
      </w:r>
      <w:r w:rsidR="00540EC8" w:rsidRPr="00272C50">
        <w:rPr>
          <w:rFonts w:ascii="Times New Roman" w:hAnsi="Times New Roman" w:cs="Times New Roman"/>
          <w:sz w:val="24"/>
          <w:szCs w:val="24"/>
          <w:shd w:val="clear" w:color="auto" w:fill="FFFFFF"/>
        </w:rPr>
        <w:t>ealthcare practice</w:t>
      </w:r>
      <w:r w:rsidR="00272C50" w:rsidRPr="00272C50">
        <w:rPr>
          <w:rFonts w:ascii="Times New Roman" w:hAnsi="Times New Roman" w:cs="Times New Roman"/>
          <w:sz w:val="24"/>
          <w:szCs w:val="24"/>
          <w:shd w:val="clear" w:color="auto" w:fill="FFFFFF"/>
        </w:rPr>
        <w:t>.</w:t>
      </w:r>
      <w:r w:rsidR="00272C50" w:rsidRPr="00272C50">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272C50"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297DD707"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b/>
          <w:sz w:val="24"/>
          <w:szCs w:val="24"/>
          <w:shd w:val="clear" w:color="auto" w:fill="FFFFFF"/>
        </w:rPr>
        <w:t>For Example</w:t>
      </w:r>
    </w:p>
    <w:p w14:paraId="5BAEF099" w14:textId="160139AC"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color w:val="000000"/>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272C50">
        <w:rPr>
          <w:rFonts w:ascii="Times New Roman" w:hAnsi="Times New Roman" w:cs="Times New Roman"/>
          <w:color w:val="000000"/>
          <w:sz w:val="24"/>
          <w:szCs w:val="24"/>
          <w:shd w:val="clear" w:color="auto" w:fill="EEEEEE"/>
        </w:rPr>
        <w:t>asks</w:t>
      </w:r>
      <w:proofErr w:type="gramEnd"/>
      <w:r w:rsidRPr="00272C50">
        <w:rPr>
          <w:rFonts w:ascii="Times New Roman" w:hAnsi="Times New Roman" w:cs="Times New Roman"/>
          <w:color w:val="000000"/>
          <w:sz w:val="24"/>
          <w:szCs w:val="24"/>
          <w:shd w:val="clear" w:color="auto" w:fill="EEEEEE"/>
        </w:rPr>
        <w:t xml:space="preserve">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Authorization request and response</w:t>
      </w:r>
    </w:p>
    <w:p w14:paraId="3A78A180"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Consistent transactions across the board</w:t>
      </w:r>
    </w:p>
    <w:p w14:paraId="7D62102F"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153F684" w14:textId="77777777" w:rsidR="00147206" w:rsidRDefault="00147206" w:rsidP="00CF781E">
      <w:pPr>
        <w:pStyle w:val="NormalWeb"/>
        <w:shd w:val="clear" w:color="auto" w:fill="FFFFFF"/>
        <w:spacing w:before="0" w:beforeAutospacing="0" w:after="300" w:afterAutospacing="0"/>
        <w:jc w:val="center"/>
        <w:rPr>
          <w:b/>
          <w:sz w:val="32"/>
        </w:rPr>
      </w:pPr>
    </w:p>
    <w:p w14:paraId="4EE91C02" w14:textId="647A4272"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28759C">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28759C">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28759C">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28759C">
      <w:pPr>
        <w:pStyle w:val="ListParagraph"/>
        <w:numPr>
          <w:ilvl w:val="0"/>
          <w:numId w:val="30"/>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lastRenderedPageBreak/>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4BC5D90A" w:rsidR="00242030" w:rsidRPr="00242030" w:rsidRDefault="00F82420" w:rsidP="00DB352A">
      <w:pPr>
        <w:pStyle w:val="NormalWeb"/>
        <w:shd w:val="clear" w:color="auto" w:fill="FFFFFF"/>
        <w:spacing w:before="0" w:beforeAutospacing="0" w:after="300" w:afterAutospacing="0"/>
        <w:rPr>
          <w:b/>
          <w:sz w:val="32"/>
        </w:rPr>
      </w:pPr>
      <w:r w:rsidRPr="00242030">
        <w:rPr>
          <w:szCs w:val="26"/>
          <w:shd w:val="clear" w:color="auto" w:fill="FFFFFF"/>
        </w:rPr>
        <w:t>A crossover claim is a claim for a recipient who is eligible for both Medicare and Medicaid, where Medicare pays a portion of the claim, and Medicaid is billed for any remaining deductible</w:t>
      </w:r>
      <w:r w:rsidR="00DB352A">
        <w:rPr>
          <w:szCs w:val="26"/>
          <w:shd w:val="clear" w:color="auto" w:fill="FFFFFF"/>
        </w:rPr>
        <w:t xml:space="preserve"> </w:t>
      </w:r>
      <w:r w:rsidRPr="00242030">
        <w:rPr>
          <w:szCs w:val="26"/>
          <w:shd w:val="clear" w:color="auto" w:fill="FFFFFF"/>
        </w:rPr>
        <w:t>or coinsurance.</w:t>
      </w:r>
    </w:p>
    <w:p w14:paraId="2F7DCEC4" w14:textId="78DD5A58" w:rsidR="005B7A39" w:rsidRPr="003E4446" w:rsidRDefault="005B7A39" w:rsidP="00DB352A">
      <w:pPr>
        <w:pStyle w:val="NormalWeb"/>
        <w:shd w:val="clear" w:color="auto" w:fill="FFFFFF"/>
        <w:spacing w:before="0" w:beforeAutospacing="0" w:after="300" w:afterAutospacing="0"/>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61DFE73A" w14:textId="77777777" w:rsidR="008201CD" w:rsidRDefault="008201CD" w:rsidP="003E4446">
      <w:pPr>
        <w:pStyle w:val="NormalWeb"/>
        <w:shd w:val="clear" w:color="auto" w:fill="FFFFFF"/>
        <w:spacing w:before="0" w:beforeAutospacing="0" w:after="300" w:afterAutospacing="0"/>
        <w:jc w:val="center"/>
        <w:rPr>
          <w:b/>
          <w:sz w:val="32"/>
          <w:shd w:val="clear" w:color="auto" w:fill="FFFFFF"/>
        </w:rPr>
      </w:pPr>
    </w:p>
    <w:p w14:paraId="74C88B3F" w14:textId="6C570822"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lastRenderedPageBreak/>
        <w:t>For Example:</w:t>
      </w:r>
    </w:p>
    <w:p w14:paraId="274B1A23" w14:textId="3735E5CB" w:rsidR="00242030" w:rsidRPr="001144EF" w:rsidRDefault="00700309" w:rsidP="001144EF">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t>8:30 pm – Set Change</w:t>
      </w:r>
      <w:r w:rsidRPr="00040575">
        <w:rPr>
          <w:szCs w:val="27"/>
        </w:rPr>
        <w:br/>
        <w:t>9:00 pm – Headliner</w:t>
      </w:r>
      <w:r w:rsidRPr="00040575">
        <w:rPr>
          <w:szCs w:val="27"/>
        </w:rPr>
        <w:br/>
        <w:t>11:00 pm – Venue Clear and Strike</w:t>
      </w: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The Centers for Medicare and Medicaid Services (CMS) develops fee schedules for:</w:t>
      </w:r>
    </w:p>
    <w:p w14:paraId="456D60A1" w14:textId="14546936" w:rsidR="008A1043" w:rsidRPr="003E4446" w:rsidRDefault="002B09EB" w:rsidP="0028759C">
      <w:pPr>
        <w:pStyle w:val="NormalWeb"/>
        <w:numPr>
          <w:ilvl w:val="0"/>
          <w:numId w:val="33"/>
        </w:numPr>
        <w:shd w:val="clear" w:color="auto" w:fill="FFFFFF"/>
        <w:spacing w:before="0" w:beforeAutospacing="0" w:after="300" w:afterAutospacing="0"/>
        <w:jc w:val="both"/>
      </w:pPr>
      <w:r w:rsidRPr="003E4446">
        <w:t>Physicians</w:t>
      </w:r>
    </w:p>
    <w:p w14:paraId="70C2A106" w14:textId="604014EF"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Clinical laboratory services </w:t>
      </w:r>
    </w:p>
    <w:p w14:paraId="5A041552" w14:textId="77777777" w:rsidR="002B09EB"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Durable medical equipment suppliers </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 xml:space="preserve">The Centers for Medicare and Medicaid Services (CMS) is a federal agency that provides health insurance coverage to Americans via Medicare and works with state governments to provide </w:t>
      </w:r>
      <w:r w:rsidRPr="003E4446">
        <w:lastRenderedPageBreak/>
        <w:t>insurance through Medicaid and </w:t>
      </w:r>
      <w:hyperlink r:id="rId50"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51"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lastRenderedPageBreak/>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1144EF"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1144EF">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60601B6F" w:rsidR="003E4446"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Default="009F142E" w:rsidP="003E4446">
      <w:pPr>
        <w:pStyle w:val="NormalWeb"/>
        <w:shd w:val="clear" w:color="auto" w:fill="FFFFFF"/>
        <w:spacing w:before="0" w:beforeAutospacing="0"/>
      </w:pPr>
    </w:p>
    <w:p w14:paraId="69F8EFDC" w14:textId="55040411" w:rsidR="009F142E" w:rsidRPr="008201CD" w:rsidRDefault="007D6534" w:rsidP="008201CD">
      <w:pPr>
        <w:pStyle w:val="NormalWeb"/>
        <w:shd w:val="clear" w:color="auto" w:fill="FFFFFF"/>
        <w:spacing w:before="0" w:beforeAutospacing="0"/>
        <w:jc w:val="center"/>
        <w:rPr>
          <w:b/>
          <w:sz w:val="32"/>
        </w:rPr>
      </w:pPr>
      <w:r w:rsidRPr="008201CD">
        <w:rPr>
          <w:b/>
          <w:sz w:val="32"/>
        </w:rPr>
        <w:t>Group Number</w:t>
      </w:r>
    </w:p>
    <w:p w14:paraId="260AFF04" w14:textId="03E43B09" w:rsidR="007D6534" w:rsidRPr="00040575" w:rsidRDefault="007D6534" w:rsidP="003E4446">
      <w:pPr>
        <w:pStyle w:val="NormalWeb"/>
        <w:shd w:val="clear" w:color="auto" w:fill="FFFFFF"/>
        <w:spacing w:before="0" w:beforeAutospacing="0"/>
      </w:pPr>
      <w:r>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8201CD" w:rsidRDefault="008C6C8F" w:rsidP="008A1043">
      <w:pPr>
        <w:pStyle w:val="NormalWeb"/>
        <w:shd w:val="clear" w:color="auto" w:fill="FFFFFF"/>
        <w:spacing w:before="0" w:beforeAutospacing="0" w:after="300" w:afterAutospacing="0"/>
        <w:jc w:val="both"/>
        <w:rPr>
          <w:b/>
          <w:sz w:val="28"/>
        </w:rPr>
      </w:pPr>
      <w:r w:rsidRPr="008201CD">
        <w:rPr>
          <w:b/>
          <w:sz w:val="28"/>
        </w:rPr>
        <w:t>For Example:</w:t>
      </w:r>
    </w:p>
    <w:p w14:paraId="3752A9AE" w14:textId="0AB78B94" w:rsidR="008C6C8F" w:rsidRDefault="008C6C8F" w:rsidP="008A1043">
      <w:pPr>
        <w:pStyle w:val="NormalWeb"/>
        <w:shd w:val="clear" w:color="auto" w:fill="FFFFFF"/>
        <w:spacing w:before="0" w:beforeAutospacing="0" w:after="300" w:afterAutospacing="0"/>
        <w:jc w:val="both"/>
      </w:pPr>
      <w:r>
        <w:t>Group number is unique to your company. Everyone who has an insurance from your company will have a same group number. The group number is created when a company first signs up for insurance.</w:t>
      </w:r>
    </w:p>
    <w:p w14:paraId="3E726E1B" w14:textId="20CBFA2F" w:rsidR="008C6C8F" w:rsidRDefault="008C6C8F" w:rsidP="008C6C8F">
      <w:pPr>
        <w:pStyle w:val="NormalWeb"/>
        <w:shd w:val="clear" w:color="auto" w:fill="FFFFFF"/>
        <w:spacing w:before="0" w:beforeAutospacing="0" w:after="300" w:afterAutospacing="0"/>
        <w:jc w:val="center"/>
        <w:rPr>
          <w:b/>
          <w:sz w:val="32"/>
        </w:rPr>
      </w:pPr>
      <w:r w:rsidRPr="008C6C8F">
        <w:rPr>
          <w:b/>
          <w:sz w:val="32"/>
        </w:rPr>
        <w:t>In-Patient</w:t>
      </w:r>
    </w:p>
    <w:p w14:paraId="4C49A5AE" w14:textId="706D978D" w:rsidR="008C6C8F" w:rsidRPr="008201CD" w:rsidRDefault="00D25ED8" w:rsidP="008C6C8F">
      <w:pPr>
        <w:pStyle w:val="NormalWeb"/>
        <w:shd w:val="clear" w:color="auto" w:fill="FFFFFF"/>
        <w:spacing w:before="0" w:beforeAutospacing="0" w:after="300" w:afterAutospacing="0"/>
        <w:rPr>
          <w:color w:val="333333"/>
          <w:shd w:val="clear" w:color="auto" w:fill="FFFFFF"/>
        </w:rPr>
      </w:pPr>
      <w:r w:rsidRPr="008201CD">
        <w:rPr>
          <w:color w:val="333333"/>
          <w:shd w:val="clear" w:color="auto" w:fill="FFFFFF"/>
        </w:rPr>
        <w:t>Inpatient care is care provided in a hospital or other type of inpatient facility, where you are admitted, and spend at least one night</w:t>
      </w:r>
      <w:r w:rsidRPr="008201CD">
        <w:rPr>
          <w:rStyle w:val="Emphasis"/>
          <w:color w:val="333333"/>
          <w:shd w:val="clear" w:color="auto" w:fill="FFFFFF"/>
        </w:rPr>
        <w:t>—</w:t>
      </w:r>
      <w:r w:rsidRPr="008201CD">
        <w:rPr>
          <w:color w:val="333333"/>
          <w:shd w:val="clear" w:color="auto" w:fill="FFFFFF"/>
        </w:rPr>
        <w:t>sometimes more</w:t>
      </w:r>
      <w:r w:rsidRPr="008201CD">
        <w:rPr>
          <w:rStyle w:val="Emphasis"/>
          <w:color w:val="333333"/>
          <w:shd w:val="clear" w:color="auto" w:fill="FFFFFF"/>
        </w:rPr>
        <w:t>—</w:t>
      </w:r>
      <w:r w:rsidRPr="008201CD">
        <w:rPr>
          <w:color w:val="333333"/>
          <w:shd w:val="clear" w:color="auto" w:fill="FFFFFF"/>
        </w:rPr>
        <w:t>depending on your condition.</w:t>
      </w:r>
    </w:p>
    <w:p w14:paraId="375BF4DC" w14:textId="6703ADDB" w:rsidR="00D25ED8" w:rsidRPr="008201CD" w:rsidRDefault="00763A40" w:rsidP="008C6C8F">
      <w:pPr>
        <w:pStyle w:val="NormalWeb"/>
        <w:shd w:val="clear" w:color="auto" w:fill="FFFFFF"/>
        <w:spacing w:before="0" w:beforeAutospacing="0" w:after="300" w:afterAutospacing="0"/>
        <w:rPr>
          <w:b/>
        </w:rPr>
      </w:pPr>
      <w:r w:rsidRPr="008201CD">
        <w:rPr>
          <w:b/>
        </w:rPr>
        <w:t>As an Inpatient</w:t>
      </w:r>
    </w:p>
    <w:p w14:paraId="1A1AFAA3" w14:textId="77777777" w:rsidR="00763A40" w:rsidRPr="008201CD" w:rsidRDefault="00763A40" w:rsidP="00B3661E">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under the care of doctors, nurses, and other types of health care professionals within a hospital.</w:t>
      </w:r>
    </w:p>
    <w:p w14:paraId="13318826" w14:textId="183519D7" w:rsidR="00763A40" w:rsidRPr="008201CD" w:rsidRDefault="00763A40" w:rsidP="00B3661E">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often admitted to a particular service, such as Neurology, Cardiology, Orthopedics, Oncology, General Surgery, etc., depending on what you are being treated for.</w:t>
      </w:r>
    </w:p>
    <w:p w14:paraId="482D1962" w14:textId="28286845" w:rsidR="00763A40" w:rsidRPr="008201CD" w:rsidRDefault="00763A40" w:rsidP="00763A40">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w:t>
      </w:r>
    </w:p>
    <w:p w14:paraId="298D6B9A" w14:textId="0F9A4F36"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illness such as flu, stroke, heart attack</w:t>
      </w:r>
    </w:p>
    <w:p w14:paraId="2DDD8536" w14:textId="47E5BBC6"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Traumatic injury</w:t>
      </w:r>
    </w:p>
    <w:p w14:paraId="53616FD3" w14:textId="12C0A981"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lastRenderedPageBreak/>
        <w:t xml:space="preserve">Severe burns </w:t>
      </w:r>
    </w:p>
    <w:p w14:paraId="04336600" w14:textId="0175D03D"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 xml:space="preserve">Serious </w:t>
      </w:r>
    </w:p>
    <w:p w14:paraId="1331785C"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mental health issues, treatment for substance use disorder, and overdoses</w:t>
      </w:r>
    </w:p>
    <w:p w14:paraId="6BE30DB4"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Chronic diseases, such as cancer and chronic obstructive pulmonary disease (COPD), that require specialized treatment and ongoing care</w:t>
      </w:r>
    </w:p>
    <w:p w14:paraId="009199A5"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Some cosmetic procedures requiring extensive plastic surgery or reconstruction</w:t>
      </w:r>
    </w:p>
    <w:p w14:paraId="1FC270DB" w14:textId="6CC00E1B"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1EEA005F" w14:textId="121D045F"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E3D6B67" w14:textId="154E45C8"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6D7CAC4" w14:textId="3E7A9C77" w:rsidR="00763A40" w:rsidRPr="008201CD"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Out-Patient</w:t>
      </w:r>
    </w:p>
    <w:p w14:paraId="279DE28F" w14:textId="1C0065DF" w:rsidR="00763A40" w:rsidRPr="008201CD" w:rsidRDefault="00763A40"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w:t>
      </w:r>
      <w:r w:rsidRPr="008201CD">
        <w:rPr>
          <w:rStyle w:val="Emphasis"/>
          <w:rFonts w:ascii="Times New Roman" w:hAnsi="Times New Roman" w:cs="Times New Roman"/>
          <w:color w:val="333333"/>
          <w:sz w:val="24"/>
          <w:szCs w:val="24"/>
          <w:shd w:val="clear" w:color="auto" w:fill="FFFFFF"/>
        </w:rPr>
        <w:t>—</w:t>
      </w:r>
      <w:r w:rsidRPr="008201CD">
        <w:rPr>
          <w:rFonts w:ascii="Times New Roman" w:hAnsi="Times New Roman" w:cs="Times New Roman"/>
          <w:color w:val="333333"/>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8201CD" w:rsidRDefault="00836D33"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 may be provided in a hospital, as well as a walk-in clinic, an outpatient surgery center, and even your doctor’s office.</w:t>
      </w:r>
    </w:p>
    <w:p w14:paraId="4EF70B12" w14:textId="446E175F" w:rsidR="00836D33" w:rsidRPr="008201CD" w:rsidRDefault="00836D33" w:rsidP="00836D33">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Examples</w:t>
      </w:r>
    </w:p>
    <w:p w14:paraId="3E92484B"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Medical screenings such as mammogram, colonoscopy, and endoscopy</w:t>
      </w:r>
    </w:p>
    <w:p w14:paraId="0CEC46E2"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Oral surgeries and other dental procedures, such as extractions, implants, root canal, and gum grafts</w:t>
      </w:r>
    </w:p>
    <w:p w14:paraId="5F67F336"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Minor surgeries and procedures that don’t require advanced medical care, such as laser surgery, hand or foot surgery, mole removal, and Lasik eye surgery</w:t>
      </w:r>
    </w:p>
    <w:p w14:paraId="4E835E52" w14:textId="00D1578D" w:rsidR="00836D33" w:rsidRPr="008201CD" w:rsidRDefault="00836D33" w:rsidP="008201CD">
      <w:pPr>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Medicare</w:t>
      </w:r>
    </w:p>
    <w:p w14:paraId="3694EF7F" w14:textId="0DCCE694" w:rsidR="00836D33" w:rsidRPr="008201CD" w:rsidRDefault="00836D33" w:rsidP="00836D33">
      <w:pPr>
        <w:spacing w:before="100" w:beforeAutospacing="1" w:after="100" w:afterAutospacing="1" w:line="240" w:lineRule="auto"/>
        <w:rPr>
          <w:rStyle w:val="2gmchg"/>
          <w:rFonts w:ascii="Times New Roman" w:hAnsi="Times New Roman" w:cs="Times New Roman"/>
          <w:sz w:val="24"/>
          <w:szCs w:val="24"/>
        </w:rPr>
      </w:pPr>
      <w:r w:rsidRPr="008201CD">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52" w:tgtFrame="_self" w:history="1">
        <w:r w:rsidRPr="008201CD">
          <w:rPr>
            <w:rStyle w:val="2gmchg"/>
            <w:rFonts w:ascii="Times New Roman" w:hAnsi="Times New Roman" w:cs="Times New Roman"/>
            <w:sz w:val="24"/>
            <w:szCs w:val="24"/>
          </w:rPr>
          <w:t>medical costs as you age</w:t>
        </w:r>
      </w:hyperlink>
      <w:r w:rsidRPr="008201CD">
        <w:rPr>
          <w:rStyle w:val="2gmchg"/>
          <w:rFonts w:ascii="Times New Roman" w:hAnsi="Times New Roman" w:cs="Times New Roman"/>
          <w:sz w:val="24"/>
          <w:szCs w:val="24"/>
        </w:rPr>
        <w:t>.</w:t>
      </w:r>
    </w:p>
    <w:p w14:paraId="08B686FF" w14:textId="0C189196" w:rsidR="00836D33" w:rsidRPr="008201CD" w:rsidRDefault="003E2FF1" w:rsidP="00836D33">
      <w:pPr>
        <w:spacing w:before="100" w:beforeAutospacing="1" w:after="100" w:afterAutospacing="1" w:line="240" w:lineRule="auto"/>
        <w:rPr>
          <w:rFonts w:ascii="Times New Roman" w:eastAsia="Times New Roman" w:hAnsi="Times New Roman" w:cs="Times New Roman"/>
          <w:b/>
          <w:color w:val="333333"/>
          <w:sz w:val="28"/>
          <w:szCs w:val="24"/>
        </w:rPr>
      </w:pPr>
      <w:r w:rsidRPr="008201CD">
        <w:rPr>
          <w:rFonts w:ascii="Times New Roman" w:eastAsia="Times New Roman" w:hAnsi="Times New Roman" w:cs="Times New Roman"/>
          <w:b/>
          <w:color w:val="333333"/>
          <w:sz w:val="28"/>
          <w:szCs w:val="24"/>
        </w:rPr>
        <w:t xml:space="preserve">Types of Medicare </w:t>
      </w:r>
    </w:p>
    <w:p w14:paraId="0F5FD8F2" w14:textId="41F5F353" w:rsidR="003E2FF1" w:rsidRPr="008201CD" w:rsidRDefault="003E2FF1" w:rsidP="003E2FF1">
      <w:pPr>
        <w:pStyle w:val="ListParagraph"/>
        <w:numPr>
          <w:ilvl w:val="1"/>
          <w:numId w:val="19"/>
        </w:num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 xml:space="preserve">Medicare Part A </w:t>
      </w:r>
    </w:p>
    <w:p w14:paraId="138480BC" w14:textId="6EBA884A" w:rsidR="003E2FF1" w:rsidRPr="008201CD" w:rsidRDefault="003E2FF1" w:rsidP="008201CD">
      <w:pPr>
        <w:spacing w:before="100" w:beforeAutospacing="1" w:after="100" w:afterAutospacing="1" w:line="240" w:lineRule="auto"/>
        <w:ind w:left="1440"/>
        <w:rPr>
          <w:rFonts w:ascii="Times New Roman" w:hAnsi="Times New Roman" w:cs="Times New Roman"/>
          <w:sz w:val="24"/>
          <w:szCs w:val="24"/>
        </w:rPr>
      </w:pPr>
      <w:r w:rsidRPr="008201CD">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8201CD"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Coverage</w:t>
      </w:r>
    </w:p>
    <w:p w14:paraId="29874853" w14:textId="363D64F6"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inpatient hospital </w:t>
      </w:r>
      <w:r w:rsidR="008201CD" w:rsidRPr="008201CD">
        <w:rPr>
          <w:rFonts w:ascii="Times New Roman" w:hAnsi="Times New Roman" w:cs="Times New Roman"/>
          <w:sz w:val="24"/>
          <w:szCs w:val="24"/>
        </w:rPr>
        <w:t>stays</w:t>
      </w:r>
    </w:p>
    <w:p w14:paraId="45EE4F86"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limited stay in a </w:t>
      </w:r>
      <w:hyperlink r:id="rId53" w:history="1">
        <w:r w:rsidRPr="008201CD">
          <w:rPr>
            <w:rStyle w:val="Hyperlink"/>
            <w:rFonts w:ascii="Times New Roman" w:hAnsi="Times New Roman" w:cs="Times New Roman"/>
            <w:color w:val="auto"/>
            <w:sz w:val="24"/>
            <w:szCs w:val="24"/>
            <w:u w:val="none"/>
          </w:rPr>
          <w:t>skilled nursing facility</w:t>
        </w:r>
      </w:hyperlink>
    </w:p>
    <w:p w14:paraId="626DAA6F"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lastRenderedPageBreak/>
        <w:t>stay in a long-term care hospital</w:t>
      </w:r>
    </w:p>
    <w:p w14:paraId="24304D9A"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nursing home care that is not long-term or custodial</w:t>
      </w:r>
    </w:p>
    <w:p w14:paraId="6C1DC849"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hospice care</w:t>
      </w:r>
    </w:p>
    <w:p w14:paraId="4C632E5F" w14:textId="77777777" w:rsidR="009579D5" w:rsidRPr="008201CD"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 you must</w:t>
      </w:r>
    </w:p>
    <w:p w14:paraId="31080875"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make sure the facility accepts Medicare</w:t>
      </w:r>
    </w:p>
    <w:p w14:paraId="5C1F8C90"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confirm that Medicare and the facility approve the reason for your stay</w:t>
      </w:r>
    </w:p>
    <w:p w14:paraId="744DE24A" w14:textId="1EF9E66F" w:rsidR="003E2FF1" w:rsidRPr="008201CD" w:rsidRDefault="009579D5" w:rsidP="003E2FF1">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 Payment for the Plan </w:t>
      </w:r>
    </w:p>
    <w:p w14:paraId="7409F601" w14:textId="1A7C9F41" w:rsidR="009579D5" w:rsidRPr="008201CD" w:rsidRDefault="009579D5" w:rsidP="003E2FF1">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Under Medicare Part A, </w:t>
      </w:r>
      <w:hyperlink r:id="rId54" w:history="1">
        <w:r w:rsidRPr="008201CD">
          <w:rPr>
            <w:rStyle w:val="Hyperlink"/>
            <w:rFonts w:ascii="Times New Roman" w:hAnsi="Times New Roman" w:cs="Times New Roman"/>
            <w:color w:val="auto"/>
            <w:sz w:val="24"/>
            <w:szCs w:val="24"/>
            <w:u w:val="none"/>
          </w:rPr>
          <w:t>you can expect to pay</w:t>
        </w:r>
      </w:hyperlink>
      <w:r w:rsidRPr="008201CD">
        <w:rPr>
          <w:rFonts w:ascii="Times New Roman" w:hAnsi="Times New Roman" w:cs="Times New Roman"/>
          <w:sz w:val="24"/>
          <w:szCs w:val="24"/>
        </w:rPr>
        <w:t> the following costs in </w:t>
      </w:r>
      <w:hyperlink r:id="rId55" w:tgtFrame="_blank" w:history="1">
        <w:r w:rsidRPr="008201CD">
          <w:rPr>
            <w:rStyle w:val="Hyperlink"/>
            <w:rFonts w:ascii="Times New Roman" w:hAnsi="Times New Roman" w:cs="Times New Roman"/>
            <w:color w:val="auto"/>
            <w:sz w:val="24"/>
            <w:szCs w:val="24"/>
            <w:u w:val="none"/>
          </w:rPr>
          <w:t>2023</w:t>
        </w:r>
      </w:hyperlink>
      <w:r w:rsidRPr="008201CD">
        <w:rPr>
          <w:rFonts w:ascii="Times New Roman" w:hAnsi="Times New Roman" w:cs="Times New Roman"/>
          <w:sz w:val="24"/>
          <w:szCs w:val="24"/>
        </w:rPr>
        <w:t>:</w:t>
      </w:r>
    </w:p>
    <w:p w14:paraId="39F6403A" w14:textId="0B9E35C5" w:rsidR="00E04947" w:rsidRPr="008201CD" w:rsidRDefault="00E04947" w:rsidP="00B3661E">
      <w:pPr>
        <w:numPr>
          <w:ilvl w:val="0"/>
          <w:numId w:val="46"/>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no premium if you worked at least 40 quarters (10 years) in your lifetime and paid Medicare taxes (you’ll pay up to $506 per month if you worked less than 40 quarters)</w:t>
      </w:r>
    </w:p>
    <w:p w14:paraId="126C78EF" w14:textId="77777777"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 $1,600 deductible for each </w:t>
      </w:r>
      <w:hyperlink r:id="rId56" w:history="1">
        <w:r w:rsidRPr="008201CD">
          <w:rPr>
            <w:rStyle w:val="Hyperlink"/>
            <w:rFonts w:ascii="Times New Roman" w:hAnsi="Times New Roman" w:cs="Times New Roman"/>
            <w:color w:val="auto"/>
            <w:sz w:val="24"/>
            <w:szCs w:val="24"/>
            <w:u w:val="none"/>
          </w:rPr>
          <w:t>benefit period</w:t>
        </w:r>
      </w:hyperlink>
    </w:p>
    <w:p w14:paraId="666829EF" w14:textId="77777777"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all costs if you are in the hospital for more than 90 days in one benefit period and you have exceeded your 60 </w:t>
      </w:r>
      <w:hyperlink r:id="rId57" w:history="1">
        <w:r w:rsidRPr="008201CD">
          <w:rPr>
            <w:rStyle w:val="Hyperlink"/>
            <w:rFonts w:ascii="Times New Roman" w:hAnsi="Times New Roman" w:cs="Times New Roman"/>
            <w:color w:val="auto"/>
            <w:sz w:val="24"/>
            <w:szCs w:val="24"/>
            <w:u w:val="none"/>
          </w:rPr>
          <w:t>lifetime reserve days</w:t>
        </w:r>
      </w:hyperlink>
    </w:p>
    <w:p w14:paraId="60FFE160" w14:textId="6D52CB66" w:rsidR="009579D5" w:rsidRPr="008201CD" w:rsidRDefault="009579D5" w:rsidP="009579D5">
      <w:pPr>
        <w:pStyle w:val="ListParagraph"/>
        <w:numPr>
          <w:ilvl w:val="1"/>
          <w:numId w:val="19"/>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Medicare Part B</w:t>
      </w:r>
    </w:p>
    <w:p w14:paraId="1C51F275" w14:textId="0511BC34" w:rsidR="009579D5" w:rsidRPr="008201CD" w:rsidRDefault="009579D5" w:rsidP="009579D5">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sz w:val="24"/>
          <w:szCs w:val="24"/>
        </w:rPr>
        <w:t>Medicare Part B i</w:t>
      </w:r>
      <w:r w:rsidRPr="008201CD">
        <w:rPr>
          <w:rFonts w:ascii="Times New Roman" w:hAnsi="Times New Roman" w:cs="Times New Roman"/>
          <w:color w:val="231F20"/>
          <w:sz w:val="24"/>
          <w:szCs w:val="24"/>
        </w:rPr>
        <w:t>s the part of original Medicare that covers the costs of your outpatient care.</w:t>
      </w:r>
    </w:p>
    <w:p w14:paraId="146DDA67" w14:textId="30719B26" w:rsidR="007852DC" w:rsidRPr="008201CD" w:rsidRDefault="007852DC" w:rsidP="009579D5">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Coverage </w:t>
      </w:r>
    </w:p>
    <w:p w14:paraId="4202B579"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doctors’ visits</w:t>
      </w:r>
    </w:p>
    <w:p w14:paraId="7CF8A9FC"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medically necessary medical supplies and services</w:t>
      </w:r>
    </w:p>
    <w:p w14:paraId="6A9E303D" w14:textId="77777777" w:rsidR="007852DC" w:rsidRPr="008201CD" w:rsidRDefault="00147206" w:rsidP="00B3661E">
      <w:pPr>
        <w:numPr>
          <w:ilvl w:val="0"/>
          <w:numId w:val="41"/>
        </w:numPr>
        <w:spacing w:before="100" w:beforeAutospacing="1" w:after="120" w:line="390" w:lineRule="atLeast"/>
        <w:rPr>
          <w:rFonts w:ascii="Times New Roman" w:hAnsi="Times New Roman" w:cs="Times New Roman"/>
          <w:sz w:val="24"/>
          <w:szCs w:val="24"/>
        </w:rPr>
      </w:pPr>
      <w:hyperlink r:id="rId58" w:history="1">
        <w:r w:rsidR="007852DC" w:rsidRPr="008201CD">
          <w:rPr>
            <w:rStyle w:val="Hyperlink"/>
            <w:rFonts w:ascii="Times New Roman" w:hAnsi="Times New Roman" w:cs="Times New Roman"/>
            <w:color w:val="auto"/>
            <w:sz w:val="24"/>
            <w:szCs w:val="24"/>
            <w:u w:val="none"/>
          </w:rPr>
          <w:t>preventive care services</w:t>
        </w:r>
      </w:hyperlink>
    </w:p>
    <w:p w14:paraId="51AD9290" w14:textId="77777777" w:rsidR="007852DC" w:rsidRPr="008201CD" w:rsidRDefault="00147206" w:rsidP="00B3661E">
      <w:pPr>
        <w:numPr>
          <w:ilvl w:val="0"/>
          <w:numId w:val="41"/>
        </w:numPr>
        <w:spacing w:before="100" w:beforeAutospacing="1" w:after="120" w:line="390" w:lineRule="atLeast"/>
        <w:rPr>
          <w:rFonts w:ascii="Times New Roman" w:hAnsi="Times New Roman" w:cs="Times New Roman"/>
          <w:sz w:val="24"/>
          <w:szCs w:val="24"/>
        </w:rPr>
      </w:pPr>
      <w:hyperlink r:id="rId59" w:history="1">
        <w:r w:rsidR="007852DC" w:rsidRPr="008201CD">
          <w:rPr>
            <w:rStyle w:val="Hyperlink"/>
            <w:rFonts w:ascii="Times New Roman" w:hAnsi="Times New Roman" w:cs="Times New Roman"/>
            <w:color w:val="auto"/>
            <w:sz w:val="24"/>
            <w:szCs w:val="24"/>
            <w:u w:val="none"/>
          </w:rPr>
          <w:t>emergency ambulance transportation</w:t>
        </w:r>
      </w:hyperlink>
    </w:p>
    <w:p w14:paraId="0ADC8890"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60" w:history="1">
        <w:r w:rsidRPr="008201CD">
          <w:rPr>
            <w:rStyle w:val="Hyperlink"/>
            <w:rFonts w:ascii="Times New Roman" w:hAnsi="Times New Roman" w:cs="Times New Roman"/>
            <w:color w:val="auto"/>
            <w:sz w:val="24"/>
            <w:szCs w:val="24"/>
            <w:u w:val="none"/>
          </w:rPr>
          <w:t>medical equipment</w:t>
        </w:r>
      </w:hyperlink>
    </w:p>
    <w:p w14:paraId="496FC584"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inpatient and outpatient </w:t>
      </w:r>
      <w:hyperlink r:id="rId61" w:history="1">
        <w:r w:rsidRPr="008201CD">
          <w:rPr>
            <w:rStyle w:val="Hyperlink"/>
            <w:rFonts w:ascii="Times New Roman" w:hAnsi="Times New Roman" w:cs="Times New Roman"/>
            <w:color w:val="auto"/>
            <w:sz w:val="24"/>
            <w:szCs w:val="24"/>
            <w:u w:val="none"/>
          </w:rPr>
          <w:t>mental health services</w:t>
        </w:r>
      </w:hyperlink>
    </w:p>
    <w:p w14:paraId="5FF9448C" w14:textId="54B111C5"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62" w:history="1">
        <w:r w:rsidRPr="008201CD">
          <w:rPr>
            <w:rStyle w:val="Hyperlink"/>
            <w:rFonts w:ascii="Times New Roman" w:hAnsi="Times New Roman" w:cs="Times New Roman"/>
            <w:color w:val="auto"/>
            <w:sz w:val="24"/>
            <w:szCs w:val="24"/>
            <w:u w:val="none"/>
          </w:rPr>
          <w:t>outpatient prescription medications</w:t>
        </w:r>
      </w:hyperlink>
    </w:p>
    <w:p w14:paraId="6B409166" w14:textId="2ACC9CCE"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w:t>
      </w:r>
    </w:p>
    <w:p w14:paraId="06A86308" w14:textId="004405E7"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hAnsi="Times New Roman" w:cs="Times New Roman"/>
          <w:color w:val="231F20"/>
          <w:sz w:val="24"/>
          <w:szCs w:val="24"/>
        </w:rPr>
        <w:t xml:space="preserve">To be sure Medicare Part B covers your appointment, service, or medical equipment, ask if your doctor or service provider accepts Medicare. </w:t>
      </w:r>
    </w:p>
    <w:p w14:paraId="16220435" w14:textId="38E29A4D" w:rsidR="007852DC" w:rsidRPr="008201CD"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Payment for the Plan </w:t>
      </w:r>
    </w:p>
    <w:p w14:paraId="6846549C" w14:textId="39129F78" w:rsidR="00E04947" w:rsidRPr="008201CD" w:rsidRDefault="00E04947" w:rsidP="00B3661E">
      <w:pPr>
        <w:numPr>
          <w:ilvl w:val="0"/>
          <w:numId w:val="45"/>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premium of at least $164.90 per month (this amount increases if your individual income is above $97,000 per year or $194,000 per year for married couples)</w:t>
      </w:r>
    </w:p>
    <w:p w14:paraId="1BDB344B" w14:textId="77777777" w:rsidR="007852DC" w:rsidRPr="008201CD" w:rsidRDefault="007852DC" w:rsidP="00B3661E">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$226 deductible for the year</w:t>
      </w:r>
    </w:p>
    <w:p w14:paraId="4371D146" w14:textId="77777777" w:rsidR="007852DC" w:rsidRPr="008201CD" w:rsidRDefault="007852DC" w:rsidP="00B3661E">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20 percent of Medicare-approved amounts after your deductible is met for the year</w:t>
      </w:r>
    </w:p>
    <w:p w14:paraId="5AF41E50" w14:textId="3CCAA8E8" w:rsidR="007852DC" w:rsidRPr="008201CD" w:rsidRDefault="007852DC" w:rsidP="007852DC">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Medicare Part C</w:t>
      </w:r>
    </w:p>
    <w:p w14:paraId="5AC04AF3" w14:textId="3A773564"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C (Medicare Advantage) </w:t>
      </w:r>
      <w:r w:rsidRPr="008201CD">
        <w:rPr>
          <w:rFonts w:ascii="Times New Roman" w:hAnsi="Times New Roman" w:cs="Times New Roman"/>
          <w:color w:val="231F20"/>
          <w:sz w:val="24"/>
          <w:szCs w:val="24"/>
        </w:rPr>
        <w:t>is a private insurance product that gives you all the coverage of Medicare parts A and B, plus extra services.</w:t>
      </w:r>
    </w:p>
    <w:p w14:paraId="0A47FEAB" w14:textId="5D372D94" w:rsidR="007852DC" w:rsidRPr="008201CD" w:rsidRDefault="007852DC" w:rsidP="007852DC">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Most of these plans offer </w:t>
      </w:r>
      <w:hyperlink r:id="rId63" w:history="1">
        <w:r w:rsidRPr="008201CD">
          <w:rPr>
            <w:rStyle w:val="Hyperlink"/>
            <w:rFonts w:ascii="Times New Roman" w:hAnsi="Times New Roman" w:cs="Times New Roman"/>
            <w:color w:val="auto"/>
            <w:sz w:val="24"/>
            <w:szCs w:val="24"/>
            <w:u w:val="none"/>
          </w:rPr>
          <w:t>prescription coverage</w:t>
        </w:r>
      </w:hyperlink>
      <w:r w:rsidRPr="008201CD">
        <w:rPr>
          <w:rFonts w:ascii="Times New Roman" w:hAnsi="Times New Roman" w:cs="Times New Roman"/>
          <w:sz w:val="24"/>
          <w:szCs w:val="24"/>
        </w:rPr>
        <w:t> in addition to inpatient and outpatient services. Benefits like </w:t>
      </w:r>
      <w:hyperlink r:id="rId64" w:history="1">
        <w:r w:rsidRPr="008201CD">
          <w:rPr>
            <w:rStyle w:val="Hyperlink"/>
            <w:rFonts w:ascii="Times New Roman" w:hAnsi="Times New Roman" w:cs="Times New Roman"/>
            <w:color w:val="auto"/>
            <w:sz w:val="24"/>
            <w:szCs w:val="24"/>
            <w:u w:val="none"/>
          </w:rPr>
          <w:t>dental</w:t>
        </w:r>
      </w:hyperlink>
      <w:r w:rsidRPr="008201CD">
        <w:rPr>
          <w:rFonts w:ascii="Times New Roman" w:hAnsi="Times New Roman" w:cs="Times New Roman"/>
          <w:sz w:val="24"/>
          <w:szCs w:val="24"/>
        </w:rPr>
        <w:t> and </w:t>
      </w:r>
      <w:hyperlink r:id="rId65" w:history="1">
        <w:r w:rsidRPr="008201CD">
          <w:rPr>
            <w:rStyle w:val="Hyperlink"/>
            <w:rFonts w:ascii="Times New Roman" w:hAnsi="Times New Roman" w:cs="Times New Roman"/>
            <w:color w:val="auto"/>
            <w:sz w:val="24"/>
            <w:szCs w:val="24"/>
            <w:u w:val="none"/>
          </w:rPr>
          <w:t>vision</w:t>
        </w:r>
      </w:hyperlink>
      <w:r w:rsidRPr="008201CD">
        <w:rPr>
          <w:rFonts w:ascii="Times New Roman" w:hAnsi="Times New Roman" w:cs="Times New Roman"/>
          <w:sz w:val="24"/>
          <w:szCs w:val="24"/>
        </w:rPr>
        <w:t> coverage can be added too.</w:t>
      </w:r>
    </w:p>
    <w:p w14:paraId="28DC7583" w14:textId="3C711B61" w:rsidR="007852DC" w:rsidRPr="008201CD"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Plan Classifications</w:t>
      </w:r>
    </w:p>
    <w:p w14:paraId="686A2DA5" w14:textId="77777777" w:rsidR="00E04947" w:rsidRPr="008201CD" w:rsidRDefault="00147206" w:rsidP="00B3661E">
      <w:pPr>
        <w:numPr>
          <w:ilvl w:val="0"/>
          <w:numId w:val="43"/>
        </w:numPr>
        <w:spacing w:before="100" w:beforeAutospacing="1" w:after="120" w:line="390" w:lineRule="atLeast"/>
        <w:rPr>
          <w:rFonts w:ascii="Times New Roman" w:hAnsi="Times New Roman" w:cs="Times New Roman"/>
          <w:sz w:val="24"/>
          <w:szCs w:val="24"/>
        </w:rPr>
      </w:pPr>
      <w:hyperlink r:id="rId66" w:history="1">
        <w:r w:rsidR="00E04947" w:rsidRPr="008201CD">
          <w:rPr>
            <w:rStyle w:val="Hyperlink"/>
            <w:rFonts w:ascii="Times New Roman" w:hAnsi="Times New Roman" w:cs="Times New Roman"/>
            <w:b/>
            <w:color w:val="auto"/>
            <w:sz w:val="24"/>
            <w:szCs w:val="24"/>
            <w:u w:val="none"/>
          </w:rPr>
          <w:t>Health Maintenance Organization (HMO)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require that you receive nonemergency care from specific providers within your plan’s network.</w:t>
      </w:r>
    </w:p>
    <w:p w14:paraId="4C661205" w14:textId="77777777" w:rsidR="00E04947" w:rsidRPr="008201CD" w:rsidRDefault="00147206" w:rsidP="00B3661E">
      <w:pPr>
        <w:numPr>
          <w:ilvl w:val="0"/>
          <w:numId w:val="43"/>
        </w:numPr>
        <w:spacing w:before="100" w:beforeAutospacing="1" w:after="120" w:line="390" w:lineRule="atLeast"/>
        <w:rPr>
          <w:rFonts w:ascii="Times New Roman" w:hAnsi="Times New Roman" w:cs="Times New Roman"/>
          <w:sz w:val="24"/>
          <w:szCs w:val="24"/>
        </w:rPr>
      </w:pPr>
      <w:hyperlink r:id="rId67" w:history="1">
        <w:r w:rsidR="00E04947" w:rsidRPr="008201CD">
          <w:rPr>
            <w:rStyle w:val="Hyperlink"/>
            <w:rFonts w:ascii="Times New Roman" w:hAnsi="Times New Roman" w:cs="Times New Roman"/>
            <w:b/>
            <w:color w:val="auto"/>
            <w:sz w:val="24"/>
            <w:szCs w:val="24"/>
            <w:u w:val="none"/>
          </w:rPr>
          <w:t>Preferred Provider Organization (PPO)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8201CD" w:rsidRDefault="00147206" w:rsidP="00B3661E">
      <w:pPr>
        <w:numPr>
          <w:ilvl w:val="0"/>
          <w:numId w:val="43"/>
        </w:numPr>
        <w:spacing w:before="100" w:beforeAutospacing="1" w:after="120" w:line="390" w:lineRule="atLeast"/>
        <w:rPr>
          <w:rFonts w:ascii="Times New Roman" w:hAnsi="Times New Roman" w:cs="Times New Roman"/>
          <w:sz w:val="24"/>
          <w:szCs w:val="24"/>
        </w:rPr>
      </w:pPr>
      <w:hyperlink r:id="rId68" w:history="1">
        <w:r w:rsidR="00E04947" w:rsidRPr="008201CD">
          <w:rPr>
            <w:rStyle w:val="Hyperlink"/>
            <w:rFonts w:ascii="Times New Roman" w:hAnsi="Times New Roman" w:cs="Times New Roman"/>
            <w:b/>
            <w:color w:val="auto"/>
            <w:sz w:val="24"/>
            <w:szCs w:val="24"/>
            <w:u w:val="none"/>
          </w:rPr>
          <w:t>Private Fee-for-Service (PFFS)</w:t>
        </w:r>
      </w:hyperlink>
      <w:r w:rsidR="00E04947" w:rsidRPr="008201CD">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8201CD" w:rsidRDefault="00147206" w:rsidP="00B3661E">
      <w:pPr>
        <w:numPr>
          <w:ilvl w:val="0"/>
          <w:numId w:val="43"/>
        </w:numPr>
        <w:spacing w:before="100" w:beforeAutospacing="1" w:after="120" w:line="390" w:lineRule="atLeast"/>
        <w:rPr>
          <w:rFonts w:ascii="Times New Roman" w:hAnsi="Times New Roman" w:cs="Times New Roman"/>
          <w:sz w:val="24"/>
          <w:szCs w:val="24"/>
        </w:rPr>
      </w:pPr>
      <w:hyperlink r:id="rId69" w:history="1">
        <w:r w:rsidR="00E04947" w:rsidRPr="008201CD">
          <w:rPr>
            <w:rStyle w:val="Hyperlink"/>
            <w:rFonts w:ascii="Times New Roman" w:hAnsi="Times New Roman" w:cs="Times New Roman"/>
            <w:b/>
            <w:color w:val="auto"/>
            <w:sz w:val="24"/>
            <w:szCs w:val="24"/>
            <w:u w:val="none"/>
          </w:rPr>
          <w:t>Special Needs Plans (SNPs)</w:t>
        </w:r>
      </w:hyperlink>
      <w:r w:rsidR="00E04947" w:rsidRPr="008201CD">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8201CD" w:rsidRDefault="00E04947" w:rsidP="00E04947">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D </w:t>
      </w:r>
    </w:p>
    <w:p w14:paraId="581E61B7" w14:textId="34C9D058" w:rsidR="009579D5" w:rsidRPr="008201CD" w:rsidRDefault="00E04947" w:rsidP="003E2FF1">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eastAsia="Times New Roman" w:hAnsi="Times New Roman" w:cs="Times New Roman"/>
          <w:b/>
          <w:sz w:val="24"/>
          <w:szCs w:val="24"/>
        </w:rPr>
        <w:t xml:space="preserve">Medicare Part D </w:t>
      </w:r>
      <w:r w:rsidRPr="008201CD">
        <w:rPr>
          <w:rFonts w:ascii="Times New Roman" w:hAnsi="Times New Roman" w:cs="Times New Roman"/>
          <w:color w:val="231F20"/>
          <w:sz w:val="24"/>
          <w:szCs w:val="24"/>
        </w:rPr>
        <w:t>is a plan that offers coverage for prescription medications. Prescription medication coverage must be offered at a standard level set by Medicare.</w:t>
      </w:r>
    </w:p>
    <w:p w14:paraId="51FD0806" w14:textId="01E097F3"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Coverage </w:t>
      </w:r>
    </w:p>
    <w:p w14:paraId="264F99CB" w14:textId="77777777"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formulary, which is a list of prescription medications covered in the plan – typically with at least two choices for each drug class or category</w:t>
      </w:r>
    </w:p>
    <w:p w14:paraId="56CBCAC6" w14:textId="77777777"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generic medications that may be substituted for brand-name medications with the same effect</w:t>
      </w:r>
    </w:p>
    <w:p w14:paraId="632EF973" w14:textId="4F818AD3"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tiered programs that offer various levels of medications (generic only, generic plus name brand, and so on) for a range of copayments that increase with your medication prices</w:t>
      </w:r>
    </w:p>
    <w:p w14:paraId="44A995BF" w14:textId="609D5E4D" w:rsidR="00E04947" w:rsidRPr="008201CD" w:rsidRDefault="00E04947" w:rsidP="00E04947">
      <w:p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Payment for the Plan</w:t>
      </w:r>
    </w:p>
    <w:p w14:paraId="10378C23" w14:textId="09CFC3F9" w:rsidR="00E04947" w:rsidRPr="008201CD" w:rsidRDefault="00E04947" w:rsidP="00E04947">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The average Medicare Part D monthly premium is </w:t>
      </w:r>
      <w:hyperlink r:id="rId70" w:tgtFrame="_blank" w:history="1">
        <w:r w:rsidRPr="008201CD">
          <w:rPr>
            <w:rStyle w:val="Hyperlink"/>
            <w:rFonts w:ascii="Times New Roman" w:hAnsi="Times New Roman" w:cs="Times New Roman"/>
            <w:color w:val="02838D"/>
            <w:sz w:val="24"/>
            <w:szCs w:val="24"/>
          </w:rPr>
          <w:t>$31.50 in 2023</w:t>
        </w:r>
      </w:hyperlink>
      <w:r w:rsidRPr="008201CD">
        <w:rPr>
          <w:rFonts w:ascii="Times New Roman" w:hAnsi="Times New Roman" w:cs="Times New Roman"/>
          <w:color w:val="231F20"/>
          <w:sz w:val="24"/>
          <w:szCs w:val="24"/>
        </w:rPr>
        <w:t>, but rates can range from $0 to over $150, depending on the plan you choose and your medications.</w:t>
      </w:r>
    </w:p>
    <w:p w14:paraId="029DE1FB" w14:textId="7DF30856"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p>
    <w:p w14:paraId="6F93C740" w14:textId="1281173F"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Difference between Part A, B, C, D</w:t>
      </w:r>
    </w:p>
    <w:tbl>
      <w:tblPr>
        <w:tblStyle w:val="TableGrid"/>
        <w:tblW w:w="0" w:type="auto"/>
        <w:tblLook w:val="04A0" w:firstRow="1" w:lastRow="0" w:firstColumn="1" w:lastColumn="0" w:noHBand="0" w:noVBand="1"/>
      </w:tblPr>
      <w:tblGrid>
        <w:gridCol w:w="2854"/>
        <w:gridCol w:w="2929"/>
        <w:gridCol w:w="3567"/>
      </w:tblGrid>
      <w:tr w:rsidR="006049AC" w:rsidRPr="008201CD" w14:paraId="20F98E06" w14:textId="77777777" w:rsidTr="006049AC">
        <w:tc>
          <w:tcPr>
            <w:tcW w:w="3116" w:type="dxa"/>
          </w:tcPr>
          <w:p w14:paraId="4B2232D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c>
          <w:tcPr>
            <w:tcW w:w="3117" w:type="dxa"/>
          </w:tcPr>
          <w:p w14:paraId="7A065380" w14:textId="7A105296"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Coverage </w:t>
            </w:r>
          </w:p>
        </w:tc>
        <w:tc>
          <w:tcPr>
            <w:tcW w:w="3117" w:type="dxa"/>
          </w:tcPr>
          <w:p w14:paraId="5FBE4212" w14:textId="3324179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Cost </w:t>
            </w:r>
          </w:p>
        </w:tc>
      </w:tr>
      <w:tr w:rsidR="006049AC" w:rsidRPr="008201CD" w14:paraId="29D1DA87" w14:textId="77777777" w:rsidTr="006049AC">
        <w:tc>
          <w:tcPr>
            <w:tcW w:w="3116" w:type="dxa"/>
          </w:tcPr>
          <w:p w14:paraId="20CA3BB9" w14:textId="37935534"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A</w:t>
            </w:r>
          </w:p>
        </w:tc>
        <w:tc>
          <w:tcPr>
            <w:tcW w:w="3117" w:type="dxa"/>
          </w:tcPr>
          <w:p w14:paraId="0961DCE3" w14:textId="05C95AA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8201CD"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$0 for most people; but up to $506 per month in 2023 for those who don't qualify for premium-free Part A.</w:t>
                  </w:r>
                </w:p>
              </w:tc>
            </w:tr>
            <w:tr w:rsidR="006049AC" w:rsidRPr="008201CD"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lastRenderedPageBreak/>
                    <w:t>Deductible: $1,600 in 2023.</w:t>
                  </w:r>
                </w:p>
              </w:tc>
            </w:tr>
          </w:tbl>
          <w:p w14:paraId="0A63982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60198EAD" w14:textId="77777777" w:rsidTr="006049AC">
        <w:tc>
          <w:tcPr>
            <w:tcW w:w="3116" w:type="dxa"/>
          </w:tcPr>
          <w:p w14:paraId="72B94142" w14:textId="12F4957A"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lastRenderedPageBreak/>
              <w:t>Part B</w:t>
            </w:r>
          </w:p>
        </w:tc>
        <w:tc>
          <w:tcPr>
            <w:tcW w:w="3117" w:type="dxa"/>
          </w:tcPr>
          <w:p w14:paraId="48098779" w14:textId="303B594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8201CD"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Starts at $164.90 per month in 2023.</w:t>
                  </w:r>
                </w:p>
              </w:tc>
            </w:tr>
            <w:tr w:rsidR="006049AC" w:rsidRPr="008201CD"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Deductible: $226 in 2023.</w:t>
                  </w:r>
                </w:p>
              </w:tc>
            </w:tr>
          </w:tbl>
          <w:p w14:paraId="309F0898"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5DD155B1" w14:textId="77777777" w:rsidTr="006049AC">
        <w:tc>
          <w:tcPr>
            <w:tcW w:w="3116" w:type="dxa"/>
          </w:tcPr>
          <w:p w14:paraId="4F836C6C" w14:textId="13D3DAC2"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C</w:t>
            </w:r>
          </w:p>
        </w:tc>
        <w:tc>
          <w:tcPr>
            <w:tcW w:w="3117" w:type="dxa"/>
          </w:tcPr>
          <w:p w14:paraId="7FE34273" w14:textId="57732EE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8201CD"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Continue to pay Part B premium, plus premium billed by private insurer. (Some plans have $0 premiums.)</w:t>
                  </w:r>
                </w:p>
              </w:tc>
            </w:tr>
            <w:tr w:rsidR="006049AC" w:rsidRPr="008201CD"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Out-of-pocket limit: As much as $8,300 in 2023.</w:t>
                  </w:r>
                </w:p>
              </w:tc>
            </w:tr>
          </w:tbl>
          <w:p w14:paraId="4C79201A"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0ACDC911" w14:textId="77777777" w:rsidTr="006049AC">
        <w:tc>
          <w:tcPr>
            <w:tcW w:w="3116" w:type="dxa"/>
          </w:tcPr>
          <w:p w14:paraId="42D155BF" w14:textId="4E11C43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D</w:t>
            </w:r>
          </w:p>
        </w:tc>
        <w:tc>
          <w:tcPr>
            <w:tcW w:w="3117" w:type="dxa"/>
          </w:tcPr>
          <w:p w14:paraId="73D3502F" w14:textId="00AFB50D"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Generic and brand-name prescription drugs </w:t>
            </w:r>
          </w:p>
        </w:tc>
        <w:tc>
          <w:tcPr>
            <w:tcW w:w="3117" w:type="dxa"/>
          </w:tcPr>
          <w:p w14:paraId="382305D2" w14:textId="77777777" w:rsidR="006049AC" w:rsidRPr="008201CD" w:rsidRDefault="006049AC" w:rsidP="006049AC">
            <w:pPr>
              <w:rPr>
                <w:rFonts w:ascii="Times New Roman" w:hAnsi="Times New Roman" w:cs="Times New Roman"/>
                <w:color w:val="000000"/>
                <w:sz w:val="24"/>
                <w:szCs w:val="24"/>
              </w:rPr>
            </w:pPr>
            <w:r w:rsidRPr="008201CD">
              <w:rPr>
                <w:rFonts w:ascii="Times New Roman" w:hAnsi="Times New Roman" w:cs="Times New Roman"/>
                <w:color w:val="000000"/>
                <w:sz w:val="24"/>
                <w:szCs w:val="24"/>
              </w:rPr>
              <w:t>Premium: Varies by private insurer; average is $31.50 per month in 2023.</w:t>
            </w:r>
          </w:p>
          <w:p w14:paraId="0CB80613"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bl>
    <w:p w14:paraId="5F9D6DC1" w14:textId="72E5D421"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38A060EB" w:rsidR="00C73510" w:rsidRPr="008201CD" w:rsidRDefault="00C73510"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Medicaid Plan </w:t>
      </w:r>
    </w:p>
    <w:p w14:paraId="1BF1CDC5" w14:textId="291EDE5D" w:rsidR="009F7CBC" w:rsidRPr="008201CD"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Who is Eligible for Medicaid?</w:t>
      </w:r>
    </w:p>
    <w:p w14:paraId="2A954BE3"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lastRenderedPageBreak/>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certain parents or caretakers with very low income; and</w:t>
      </w:r>
    </w:p>
    <w:p w14:paraId="2508B5A3" w14:textId="77777777" w:rsidR="009F7CBC" w:rsidRPr="008201CD"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 xml:space="preserve"> Coverage </w:t>
      </w:r>
    </w:p>
    <w:p w14:paraId="1400097E" w14:textId="6B10E71C" w:rsidR="009F7CBC" w:rsidRPr="008201CD"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01CD" w:rsidRDefault="00CD2B4D" w:rsidP="00CD2B4D">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Provider Network</w:t>
      </w:r>
    </w:p>
    <w:p w14:paraId="1B07B251" w14:textId="136F7A17" w:rsidR="00CD2B4D" w:rsidRPr="008201CD"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color w:val="000000"/>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8201CD"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Why does health insurance plan have provider network?</w:t>
      </w:r>
    </w:p>
    <w:p w14:paraId="5EF4B1A5" w14:textId="77777777" w:rsidR="00CF4856" w:rsidRPr="008201CD" w:rsidRDefault="00CF4856" w:rsidP="00CF4856">
      <w:pPr>
        <w:pStyle w:val="NormalWeb"/>
        <w:shd w:val="clear" w:color="auto" w:fill="FFFFFF"/>
        <w:rPr>
          <w:color w:val="000000"/>
        </w:rPr>
      </w:pPr>
      <w:r w:rsidRPr="008201CD">
        <w:rPr>
          <w:color w:val="000000"/>
        </w:rPr>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8201CD" w:rsidRDefault="00CF4856" w:rsidP="00CF4856">
      <w:pPr>
        <w:pStyle w:val="NormalWeb"/>
        <w:shd w:val="clear" w:color="auto" w:fill="FFFFFF"/>
        <w:rPr>
          <w:color w:val="000000"/>
        </w:rPr>
      </w:pPr>
      <w:r w:rsidRPr="008201CD">
        <w:rPr>
          <w:color w:val="000000"/>
        </w:rPr>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8201CD" w:rsidRDefault="00CF4856" w:rsidP="00CF4856">
      <w:pPr>
        <w:pStyle w:val="NormalWeb"/>
        <w:shd w:val="clear" w:color="auto" w:fill="FFFFFF"/>
        <w:jc w:val="center"/>
        <w:rPr>
          <w:b/>
          <w:color w:val="000000"/>
        </w:rPr>
      </w:pPr>
      <w:r w:rsidRPr="008201CD">
        <w:rPr>
          <w:b/>
          <w:color w:val="000000"/>
        </w:rPr>
        <w:t>Out of Network Provider</w:t>
      </w:r>
    </w:p>
    <w:p w14:paraId="3EF8C987" w14:textId="6B34CC21" w:rsidR="00CF4856" w:rsidRPr="008201CD" w:rsidRDefault="00905865" w:rsidP="00CF4856">
      <w:pPr>
        <w:pStyle w:val="NormalWeb"/>
        <w:shd w:val="clear" w:color="auto" w:fill="FFFFFF"/>
        <w:rPr>
          <w:b/>
          <w:color w:val="000000"/>
        </w:rPr>
      </w:pPr>
      <w:r w:rsidRPr="008201CD">
        <w:t xml:space="preserve">These are providers that do not have a contract with your insurance company. If you receive covered services from an out- of-network provider, the insurance company may pay only a part </w:t>
      </w:r>
      <w:r w:rsidRPr="008201CD">
        <w:lastRenderedPageBreak/>
        <w:t>or none of the charges depending upon the terms of your policy. Also, your copay or coinsurance may be larger than if the services had been provided by an in-network provider.</w:t>
      </w:r>
    </w:p>
    <w:p w14:paraId="70BD0E65" w14:textId="0F458FE6" w:rsidR="00CF4856" w:rsidRPr="008201CD"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8201CD"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8201CD" w:rsidRDefault="00905865" w:rsidP="00E67501">
            <w:pPr>
              <w:spacing w:after="0" w:line="240" w:lineRule="auto"/>
              <w:jc w:val="center"/>
              <w:rPr>
                <w:rFonts w:ascii="Times New Roman" w:eastAsia="Times New Roman" w:hAnsi="Times New Roman" w:cs="Times New Roman"/>
                <w:color w:val="000000"/>
                <w:sz w:val="24"/>
                <w:szCs w:val="24"/>
              </w:rPr>
            </w:pPr>
            <w:r w:rsidRPr="008201CD">
              <w:rPr>
                <w:rFonts w:ascii="Times New Roman" w:eastAsia="Times New Roman" w:hAnsi="Times New Roman" w:cs="Times New Roman"/>
                <w:b/>
                <w:bCs/>
                <w:color w:val="000000"/>
                <w:sz w:val="24"/>
                <w:szCs w:val="24"/>
              </w:rPr>
              <w:t>Out-of-Network Hospital – pays 60%</w:t>
            </w:r>
          </w:p>
        </w:tc>
      </w:tr>
      <w:tr w:rsidR="00905865" w:rsidRPr="008201CD"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r>
      <w:tr w:rsidR="00905865" w:rsidRPr="008201CD"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plan does not agree to pay the $8,000 difference</w:t>
            </w:r>
          </w:p>
        </w:tc>
      </w:tr>
      <w:tr w:rsidR="00905865" w:rsidRPr="008201CD"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80% of the discounted rate:</w:t>
            </w:r>
          </w:p>
          <w:p w14:paraId="4DDCB5AC" w14:textId="316B8769"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60% = $8,400</w:t>
            </w:r>
          </w:p>
        </w:tc>
      </w:tr>
      <w:tr w:rsidR="00905865" w:rsidRPr="008201CD"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20% of the discounted rate:</w:t>
            </w:r>
          </w:p>
          <w:p w14:paraId="36F7A39B" w14:textId="5EA00D7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40% of charges ($14,000) in addition to all of the amount that the plan does not agree to pay ($8,000):</w:t>
            </w:r>
          </w:p>
          <w:p w14:paraId="554C3DF6" w14:textId="1ADEFFD3"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$5,600 + $8,000 = $13,600</w:t>
            </w:r>
          </w:p>
        </w:tc>
      </w:tr>
    </w:tbl>
    <w:p w14:paraId="4B352328" w14:textId="2A2023D0" w:rsidR="00CF4856" w:rsidRPr="008201CD"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8201CD"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8201CD"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Primary Care Physician (PCP)</w:t>
      </w:r>
    </w:p>
    <w:p w14:paraId="02715085" w14:textId="7657F661" w:rsidR="00FA0F7E"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A primary care physician is a medical doctor who’s trained to prevent, diagnose, and treat a broad array of illnesses and injuries in the general population.</w:t>
      </w:r>
    </w:p>
    <w:p w14:paraId="2793E8A4" w14:textId="244A3A12"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8201CD"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What do primary care physicians do?</w:t>
      </w:r>
    </w:p>
    <w:p w14:paraId="7A031F55" w14:textId="4AD21C3A"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 Let’s take a closer look at the types of services a primary care physician can provide.</w:t>
      </w:r>
    </w:p>
    <w:p w14:paraId="7991C5BE" w14:textId="3EBACA3D" w:rsidR="00971314" w:rsidRPr="008201CD"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lastRenderedPageBreak/>
        <w:t>Wellness and prevention screenings</w:t>
      </w:r>
    </w:p>
    <w:p w14:paraId="4AFAF0E3" w14:textId="77777777" w:rsidR="00971314" w:rsidRPr="008201CD" w:rsidRDefault="00971314" w:rsidP="00971314">
      <w:pPr>
        <w:pStyle w:val="NormalWeb"/>
        <w:spacing w:before="375" w:beforeAutospacing="0" w:after="375" w:afterAutospacing="0" w:line="390" w:lineRule="atLeast"/>
      </w:pPr>
      <w:r w:rsidRPr="008201CD">
        <w:t>Primary care physicians commonly check for:</w:t>
      </w:r>
    </w:p>
    <w:p w14:paraId="17F822C3" w14:textId="77777777" w:rsidR="00971314" w:rsidRPr="008201CD" w:rsidRDefault="00147206" w:rsidP="00B3661E">
      <w:pPr>
        <w:numPr>
          <w:ilvl w:val="0"/>
          <w:numId w:val="48"/>
        </w:numPr>
        <w:spacing w:before="100" w:beforeAutospacing="1" w:after="120" w:line="390" w:lineRule="atLeast"/>
        <w:rPr>
          <w:rFonts w:ascii="Times New Roman" w:hAnsi="Times New Roman" w:cs="Times New Roman"/>
          <w:sz w:val="24"/>
          <w:szCs w:val="24"/>
        </w:rPr>
      </w:pPr>
      <w:hyperlink r:id="rId71" w:history="1">
        <w:r w:rsidR="00971314" w:rsidRPr="008201CD">
          <w:rPr>
            <w:rStyle w:val="Hyperlink"/>
            <w:rFonts w:ascii="Times New Roman" w:hAnsi="Times New Roman" w:cs="Times New Roman"/>
            <w:color w:val="auto"/>
            <w:sz w:val="24"/>
            <w:szCs w:val="24"/>
            <w:u w:val="none"/>
          </w:rPr>
          <w:t>high blood pressure</w:t>
        </w:r>
      </w:hyperlink>
    </w:p>
    <w:p w14:paraId="255A54B4" w14:textId="77777777" w:rsidR="00971314" w:rsidRPr="008201CD"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other risk factors for </w:t>
      </w:r>
      <w:hyperlink r:id="rId72" w:history="1">
        <w:r w:rsidRPr="008201CD">
          <w:rPr>
            <w:rStyle w:val="Hyperlink"/>
            <w:rFonts w:ascii="Times New Roman" w:hAnsi="Times New Roman" w:cs="Times New Roman"/>
            <w:color w:val="auto"/>
            <w:sz w:val="24"/>
            <w:szCs w:val="24"/>
            <w:u w:val="none"/>
          </w:rPr>
          <w:t>heart disease</w:t>
        </w:r>
      </w:hyperlink>
    </w:p>
    <w:p w14:paraId="15704A45" w14:textId="0E6AD3F7" w:rsidR="00971314" w:rsidRPr="008201CD" w:rsidRDefault="00147206" w:rsidP="00B3661E">
      <w:pPr>
        <w:numPr>
          <w:ilvl w:val="0"/>
          <w:numId w:val="48"/>
        </w:numPr>
        <w:spacing w:before="100" w:beforeAutospacing="1" w:after="120" w:line="390" w:lineRule="atLeast"/>
        <w:rPr>
          <w:rFonts w:ascii="Times New Roman" w:hAnsi="Times New Roman" w:cs="Times New Roman"/>
          <w:sz w:val="24"/>
          <w:szCs w:val="24"/>
        </w:rPr>
      </w:pPr>
      <w:hyperlink r:id="rId73" w:history="1">
        <w:r w:rsidR="00971314" w:rsidRPr="008201CD">
          <w:rPr>
            <w:rStyle w:val="Hyperlink"/>
            <w:rFonts w:ascii="Times New Roman" w:hAnsi="Times New Roman" w:cs="Times New Roman"/>
            <w:color w:val="auto"/>
            <w:sz w:val="24"/>
            <w:szCs w:val="24"/>
            <w:u w:val="none"/>
          </w:rPr>
          <w:t>high cholesterol</w:t>
        </w:r>
      </w:hyperlink>
    </w:p>
    <w:p w14:paraId="4B577EB3" w14:textId="77777777" w:rsidR="00971314" w:rsidRPr="008201CD"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developmental disorders</w:t>
      </w:r>
    </w:p>
    <w:p w14:paraId="3DB9D851" w14:textId="77777777" w:rsidR="00971314" w:rsidRPr="008201CD" w:rsidRDefault="00147206" w:rsidP="00B3661E">
      <w:pPr>
        <w:numPr>
          <w:ilvl w:val="0"/>
          <w:numId w:val="48"/>
        </w:numPr>
        <w:spacing w:before="100" w:beforeAutospacing="1" w:after="120" w:line="390" w:lineRule="atLeast"/>
        <w:rPr>
          <w:rFonts w:ascii="Times New Roman" w:hAnsi="Times New Roman" w:cs="Times New Roman"/>
          <w:sz w:val="24"/>
          <w:szCs w:val="24"/>
        </w:rPr>
      </w:pPr>
      <w:hyperlink r:id="rId74" w:history="1">
        <w:r w:rsidR="00971314" w:rsidRPr="008201CD">
          <w:rPr>
            <w:rStyle w:val="Hyperlink"/>
            <w:rFonts w:ascii="Times New Roman" w:hAnsi="Times New Roman" w:cs="Times New Roman"/>
            <w:color w:val="auto"/>
            <w:sz w:val="24"/>
            <w:szCs w:val="24"/>
            <w:u w:val="none"/>
          </w:rPr>
          <w:t>depression</w:t>
        </w:r>
      </w:hyperlink>
    </w:p>
    <w:p w14:paraId="6E4C1B7C" w14:textId="2488B4BE" w:rsidR="00971314" w:rsidRPr="008201CD"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signs of </w:t>
      </w:r>
      <w:hyperlink r:id="rId75" w:anchor="1" w:history="1">
        <w:r w:rsidRPr="008201CD">
          <w:rPr>
            <w:rStyle w:val="Hyperlink"/>
            <w:rFonts w:ascii="Times New Roman" w:hAnsi="Times New Roman" w:cs="Times New Roman"/>
            <w:color w:val="auto"/>
            <w:sz w:val="24"/>
            <w:szCs w:val="24"/>
            <w:u w:val="none"/>
          </w:rPr>
          <w:t>domestic violence</w:t>
        </w:r>
      </w:hyperlink>
    </w:p>
    <w:p w14:paraId="7A72205F" w14:textId="1CFEC123" w:rsidR="00971314" w:rsidRPr="008201CD"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8201CD">
        <w:rPr>
          <w:rFonts w:ascii="Times New Roman" w:hAnsi="Times New Roman" w:cs="Times New Roman"/>
          <w:b/>
          <w:sz w:val="24"/>
          <w:szCs w:val="24"/>
        </w:rPr>
        <w:t>Acute illness and injury care</w:t>
      </w:r>
    </w:p>
    <w:p w14:paraId="78A48A29" w14:textId="77777777" w:rsidR="00971314" w:rsidRPr="008201CD" w:rsidRDefault="00971314" w:rsidP="00971314">
      <w:pPr>
        <w:spacing w:before="375" w:after="375"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If you visit your primary care doctor because you’re sick, injured, or have symptoms that concern you, your doctor will likely be able to:</w:t>
      </w:r>
    </w:p>
    <w:p w14:paraId="5B553C9B" w14:textId="77777777"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perform lab tests to diagnose your condition</w:t>
      </w:r>
    </w:p>
    <w:p w14:paraId="7002EDEF" w14:textId="77777777"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prescribe appropriate medications for your condition</w:t>
      </w:r>
    </w:p>
    <w:p w14:paraId="3B6ECBAE" w14:textId="3C8E1760"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check for interactions with other medicines you’re taking</w:t>
      </w:r>
    </w:p>
    <w:p w14:paraId="521B5414" w14:textId="77777777" w:rsidR="00711898" w:rsidRPr="008201CD" w:rsidRDefault="00711898" w:rsidP="00971314">
      <w:pPr>
        <w:spacing w:before="100" w:beforeAutospacing="1" w:after="120" w:line="390" w:lineRule="atLeast"/>
        <w:rPr>
          <w:rFonts w:ascii="Times New Roman" w:eastAsia="Times New Roman" w:hAnsi="Times New Roman" w:cs="Times New Roman"/>
          <w:b/>
          <w:color w:val="231F20"/>
          <w:sz w:val="24"/>
          <w:szCs w:val="24"/>
        </w:rPr>
      </w:pPr>
    </w:p>
    <w:p w14:paraId="3223971E" w14:textId="39FA4AFB" w:rsidR="00971314" w:rsidRPr="008201CD" w:rsidRDefault="00971314" w:rsidP="00971314">
      <w:pPr>
        <w:spacing w:before="100" w:beforeAutospacing="1" w:after="120" w:line="390" w:lineRule="atLeast"/>
        <w:rPr>
          <w:rFonts w:ascii="Times New Roman" w:eastAsia="Times New Roman" w:hAnsi="Times New Roman" w:cs="Times New Roman"/>
          <w:b/>
          <w:color w:val="231F20"/>
          <w:sz w:val="24"/>
          <w:szCs w:val="24"/>
        </w:rPr>
      </w:pPr>
      <w:r w:rsidRPr="008201CD">
        <w:rPr>
          <w:rFonts w:ascii="Times New Roman" w:eastAsia="Times New Roman" w:hAnsi="Times New Roman" w:cs="Times New Roman"/>
          <w:b/>
          <w:color w:val="231F20"/>
          <w:sz w:val="24"/>
          <w:szCs w:val="24"/>
        </w:rPr>
        <w:t>What to consider when choosing a primary care physician?</w:t>
      </w:r>
    </w:p>
    <w:p w14:paraId="18A400BB" w14:textId="0C0183E2" w:rsidR="00971314" w:rsidRPr="008201CD" w:rsidRDefault="00971314" w:rsidP="00971314">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Here are some practical matters to consider when choosing a primary care doctor:</w:t>
      </w:r>
    </w:p>
    <w:p w14:paraId="312D2103" w14:textId="671C574A"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Insurance</w:t>
      </w:r>
    </w:p>
    <w:p w14:paraId="454D9BD5" w14:textId="68AA91AC"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Location</w:t>
      </w:r>
    </w:p>
    <w:p w14:paraId="72A36321" w14:textId="2F544F6E"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Hours</w:t>
      </w:r>
    </w:p>
    <w:p w14:paraId="5077EA61" w14:textId="2F23EA72" w:rsidR="00971314" w:rsidRPr="008201CD"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color w:val="231F20"/>
          <w:sz w:val="24"/>
          <w:szCs w:val="24"/>
        </w:rPr>
      </w:pPr>
      <w:r w:rsidRPr="008201CD">
        <w:rPr>
          <w:rStyle w:val="Strong"/>
          <w:rFonts w:ascii="Times New Roman" w:hAnsi="Times New Roman" w:cs="Times New Roman"/>
          <w:b w:val="0"/>
          <w:color w:val="231F20"/>
          <w:sz w:val="24"/>
          <w:szCs w:val="24"/>
        </w:rPr>
        <w:t>Language</w:t>
      </w:r>
    </w:p>
    <w:p w14:paraId="744424EB" w14:textId="7B0206B5"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Board certification</w:t>
      </w:r>
    </w:p>
    <w:p w14:paraId="17C855AD" w14:textId="1E43D858"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Online access</w:t>
      </w:r>
    </w:p>
    <w:p w14:paraId="2BCF6E2E" w14:textId="48D50E1D" w:rsidR="00971314" w:rsidRPr="008201CD" w:rsidRDefault="00147206" w:rsidP="001803FF">
      <w:pPr>
        <w:spacing w:before="100" w:beforeAutospacing="1" w:after="120" w:line="390" w:lineRule="atLeast"/>
        <w:jc w:val="center"/>
        <w:rPr>
          <w:rFonts w:ascii="Times New Roman" w:hAnsi="Times New Roman" w:cs="Times New Roman"/>
          <w:b/>
          <w:sz w:val="24"/>
          <w:szCs w:val="24"/>
        </w:rPr>
      </w:pPr>
      <w:r w:rsidRPr="008201CD">
        <w:rPr>
          <w:rFonts w:ascii="Times New Roman" w:hAnsi="Times New Roman" w:cs="Times New Roman"/>
          <w:b/>
          <w:sz w:val="24"/>
          <w:szCs w:val="24"/>
        </w:rPr>
        <w:lastRenderedPageBreak/>
        <w:t>Place of Service (POS)</w:t>
      </w:r>
    </w:p>
    <w:p w14:paraId="308B3B7D" w14:textId="1D228A32" w:rsidR="00147206" w:rsidRPr="008201CD" w:rsidRDefault="001803FF" w:rsidP="00971314">
      <w:pPr>
        <w:spacing w:before="100" w:beforeAutospacing="1" w:after="120" w:line="390" w:lineRule="atLeast"/>
        <w:rPr>
          <w:rFonts w:ascii="Times New Roman" w:hAnsi="Times New Roman" w:cs="Times New Roman"/>
          <w:color w:val="212529"/>
          <w:sz w:val="24"/>
          <w:szCs w:val="24"/>
          <w:shd w:val="clear" w:color="auto" w:fill="FFFFFF"/>
        </w:rPr>
      </w:pPr>
      <w:r w:rsidRPr="008201CD">
        <w:rPr>
          <w:rFonts w:ascii="Times New Roman" w:hAnsi="Times New Roman" w:cs="Times New Roman"/>
          <w:color w:val="212529"/>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Place of Service Codes </w:t>
      </w:r>
    </w:p>
    <w:p w14:paraId="51BCEB26" w14:textId="680CB2EE"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There are 99 place of service codes present (assigned and unassigned).</w:t>
      </w:r>
    </w:p>
    <w:p w14:paraId="4A393F29" w14:textId="7E48213F" w:rsidR="00D03232" w:rsidRPr="008201CD" w:rsidRDefault="00D03232"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For Example</w:t>
      </w:r>
    </w:p>
    <w:p w14:paraId="30306B05" w14:textId="57A0F506" w:rsidR="00D03232" w:rsidRPr="008201CD" w:rsidRDefault="00D03232" w:rsidP="00B3661E">
      <w:pPr>
        <w:pStyle w:val="ListParagraph"/>
        <w:numPr>
          <w:ilvl w:val="0"/>
          <w:numId w:val="52"/>
        </w:numPr>
        <w:spacing w:before="100" w:beforeAutospacing="1" w:after="120" w:line="390" w:lineRule="atLeast"/>
        <w:rPr>
          <w:rFonts w:ascii="Times New Roman" w:hAnsi="Times New Roman" w:cs="Times New Roman"/>
          <w:color w:val="000000"/>
          <w:sz w:val="24"/>
          <w:szCs w:val="24"/>
          <w:shd w:val="clear" w:color="auto" w:fill="FFFFFF"/>
        </w:rPr>
      </w:pPr>
      <w:r w:rsidRPr="008201CD">
        <w:rPr>
          <w:rFonts w:ascii="Times New Roman" w:hAnsi="Times New Roman" w:cs="Times New Roman"/>
          <w:b/>
          <w:bCs/>
          <w:color w:val="000000"/>
          <w:sz w:val="24"/>
          <w:szCs w:val="24"/>
          <w:bdr w:val="none" w:sz="0" w:space="0" w:color="auto" w:frame="1"/>
          <w:shd w:val="clear" w:color="auto" w:fill="FFFFFF"/>
        </w:rPr>
        <w:t>41</w:t>
      </w:r>
      <w:r w:rsidRPr="008201CD">
        <w:rPr>
          <w:rStyle w:val="apple-tab-span"/>
          <w:rFonts w:ascii="Times New Roman" w:hAnsi="Times New Roman" w:cs="Times New Roman"/>
          <w:b/>
          <w:bCs/>
          <w:color w:val="000000"/>
          <w:sz w:val="24"/>
          <w:szCs w:val="24"/>
          <w:bdr w:val="none" w:sz="0" w:space="0" w:color="auto" w:frame="1"/>
        </w:rPr>
        <w:t xml:space="preserve"> </w:t>
      </w:r>
      <w:r w:rsidRPr="008201CD">
        <w:rPr>
          <w:rFonts w:ascii="Times New Roman" w:hAnsi="Times New Roman" w:cs="Times New Roman"/>
          <w:b/>
          <w:bCs/>
          <w:color w:val="000000"/>
          <w:sz w:val="24"/>
          <w:szCs w:val="24"/>
          <w:bdr w:val="none" w:sz="0" w:space="0" w:color="auto" w:frame="1"/>
          <w:shd w:val="clear" w:color="auto" w:fill="FFFFFF"/>
        </w:rPr>
        <w:t>Ambulance –</w:t>
      </w:r>
      <w:r w:rsidRPr="008201CD">
        <w:rPr>
          <w:rFonts w:ascii="Times New Roman" w:hAnsi="Times New Roman" w:cs="Times New Roman"/>
          <w:color w:val="000000"/>
          <w:sz w:val="24"/>
          <w:szCs w:val="24"/>
          <w:shd w:val="clear" w:color="auto" w:fill="FFFFFF"/>
        </w:rPr>
        <w:t> Land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A land vehicle specifically designed, equipped and staffed for lifesaving and transporting the sick or injured.</w:t>
      </w:r>
    </w:p>
    <w:p w14:paraId="54E4CA02" w14:textId="2FBF2CE5" w:rsidR="00D03232" w:rsidRPr="008201CD"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color w:val="000000"/>
          <w:sz w:val="24"/>
          <w:szCs w:val="24"/>
          <w:shd w:val="clear" w:color="auto" w:fill="FFFFFF"/>
        </w:rPr>
        <w:t>43-48</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Unassigned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N/A</w:t>
      </w:r>
    </w:p>
    <w:p w14:paraId="542A2C46" w14:textId="46598D57"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Scenario </w:t>
      </w:r>
    </w:p>
    <w:p w14:paraId="74901CE4" w14:textId="43A341A2"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I</w:t>
      </w:r>
      <w:r w:rsidRPr="008201CD">
        <w:rPr>
          <w:rFonts w:ascii="Times New Roman" w:hAnsi="Times New Roman" w:cs="Times New Roman"/>
          <w:sz w:val="24"/>
          <w:szCs w:val="24"/>
        </w:rPr>
        <w:t>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w:t>
      </w:r>
      <w:r w:rsidRPr="008201CD">
        <w:rPr>
          <w:rFonts w:ascii="Times New Roman" w:hAnsi="Times New Roman" w:cs="Times New Roman"/>
          <w:sz w:val="24"/>
          <w:szCs w:val="24"/>
        </w:rPr>
        <w:t xml:space="preserve"> </w:t>
      </w:r>
    </w:p>
    <w:p w14:paraId="33526207" w14:textId="77777777" w:rsidR="00971314" w:rsidRPr="008201CD" w:rsidRDefault="00971314" w:rsidP="00971314">
      <w:pPr>
        <w:spacing w:before="100" w:beforeAutospacing="1" w:after="120" w:line="390" w:lineRule="atLeast"/>
        <w:ind w:left="720"/>
        <w:rPr>
          <w:rFonts w:ascii="Times New Roman" w:hAnsi="Times New Roman" w:cs="Times New Roman"/>
          <w:color w:val="231F20"/>
          <w:sz w:val="24"/>
          <w:szCs w:val="24"/>
        </w:rPr>
      </w:pPr>
    </w:p>
    <w:p w14:paraId="1EED63C0" w14:textId="553DDC03" w:rsidR="00971314" w:rsidRPr="008201CD"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Durable Medical Equipment (DME)</w:t>
      </w:r>
    </w:p>
    <w:p w14:paraId="359FDC0F"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Nebulizers</w:t>
      </w:r>
    </w:p>
    <w:p w14:paraId="7E0045BB"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Hospital beds</w:t>
      </w:r>
    </w:p>
    <w:p w14:paraId="6B8014A9"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Wheelchairs</w:t>
      </w:r>
    </w:p>
    <w:p w14:paraId="2BA58FCE"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Blood glucose monitors</w:t>
      </w:r>
    </w:p>
    <w:p w14:paraId="2753643F" w14:textId="48037C88"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b/>
          <w:sz w:val="24"/>
          <w:szCs w:val="24"/>
        </w:rPr>
        <w:t>Note:</w:t>
      </w:r>
      <w:r w:rsidRPr="008201CD">
        <w:rPr>
          <w:rFonts w:ascii="Times New Roman" w:eastAsia="Times New Roman" w:hAnsi="Times New Roman" w:cs="Times New Roman"/>
          <w:sz w:val="24"/>
          <w:szCs w:val="24"/>
        </w:rPr>
        <w:t xml:space="preserve"> </w:t>
      </w:r>
      <w:r w:rsidRPr="00D5698F">
        <w:rPr>
          <w:rFonts w:ascii="Times New Roman" w:eastAsia="Times New Roman" w:hAnsi="Times New Roman" w:cs="Times New Roman"/>
          <w:sz w:val="24"/>
          <w:szCs w:val="24"/>
        </w:rPr>
        <w:t>Expendable medical supplies such as bandages, masks, and rubber gloves are not considered DME under Medicare.</w:t>
      </w:r>
    </w:p>
    <w:p w14:paraId="48CD4765" w14:textId="155957F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lastRenderedPageBreak/>
        <w:t>Why is durable medical equipment being important?</w:t>
      </w:r>
    </w:p>
    <w:p w14:paraId="6D496CC5"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Process for DME </w:t>
      </w:r>
    </w:p>
    <w:p w14:paraId="5543EDBE" w14:textId="47AB0B05"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Following are the steps being followed</w:t>
      </w:r>
    </w:p>
    <w:p w14:paraId="412E4D9C" w14:textId="1015DEFD" w:rsidR="00D5698F"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8201CD">
        <w:rPr>
          <w:rFonts w:ascii="Times New Roman" w:eastAsia="Times New Roman" w:hAnsi="Times New Roman" w:cs="Times New Roman"/>
          <w:b/>
          <w:sz w:val="24"/>
          <w:szCs w:val="24"/>
        </w:rPr>
        <w:t>Step1:</w:t>
      </w:r>
      <w:r w:rsidRPr="008201CD">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 xml:space="preserve">Step2: </w:t>
      </w:r>
      <w:r w:rsidRPr="008201CD">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Step3:</w:t>
      </w:r>
      <w:r w:rsidRPr="008201CD">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Step4:</w:t>
      </w:r>
      <w:r w:rsidRPr="008201CD">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w:t>
      </w:r>
    </w:p>
    <w:p w14:paraId="1E7AB7E4" w14:textId="5F3577A0"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information </w:t>
      </w:r>
    </w:p>
    <w:p w14:paraId="216A07D5" w14:textId="66885B1F" w:rsidR="00195A3F" w:rsidRPr="008201CD" w:rsidRDefault="00195A3F" w:rsidP="000F1E88">
      <w:p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 xml:space="preserve">The first digit of the revenue code is zero followed by the other three digits—0110, 0119, and 0276, etc. If there is a zero at the end of the revenue code then it means the service was unspecified and is referred to as general—0110, 0120, and 0130, etc. The number nine is used at </w:t>
      </w:r>
      <w:r w:rsidRPr="008201CD">
        <w:rPr>
          <w:rFonts w:ascii="Times New Roman" w:hAnsi="Times New Roman" w:cs="Times New Roman"/>
          <w:color w:val="333333"/>
          <w:sz w:val="24"/>
          <w:szCs w:val="24"/>
          <w:shd w:val="clear" w:color="auto" w:fill="FFFFFF"/>
        </w:rPr>
        <w:lastRenderedPageBreak/>
        <w:t>the end of a revenue code to represent ‘other’ services in any given category—0119, 0129, and 0149, etc.</w:t>
      </w:r>
    </w:p>
    <w:p w14:paraId="181C9BAA" w14:textId="1DD40FED"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Purpose of Revenue Codes </w:t>
      </w:r>
    </w:p>
    <w:p w14:paraId="6B73C445" w14:textId="683F4D23"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8201CD">
        <w:rPr>
          <w:rFonts w:ascii="Times New Roman" w:hAnsi="Times New Roman" w:cs="Times New Roman"/>
          <w:sz w:val="24"/>
          <w:szCs w:val="24"/>
          <w:shd w:val="clear" w:color="auto" w:fill="FFFFFF"/>
        </w:rPr>
        <w:t>operating</w:t>
      </w:r>
      <w:r w:rsidRPr="008201CD">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8201CD"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For Example:</w:t>
      </w:r>
    </w:p>
    <w:p w14:paraId="4DA759FE" w14:textId="5BBA3D8F" w:rsidR="00457354" w:rsidRPr="008201CD"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8201CD"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p>
    <w:p w14:paraId="474A2857" w14:textId="77777777" w:rsidR="00457354" w:rsidRPr="008201CD"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82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r(--lis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5902"/>
    <w:multiLevelType w:val="hybridMultilevel"/>
    <w:tmpl w:val="FC86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91D6B"/>
    <w:multiLevelType w:val="hybridMultilevel"/>
    <w:tmpl w:val="262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6"/>
  </w:num>
  <w:num w:numId="3">
    <w:abstractNumId w:val="17"/>
  </w:num>
  <w:num w:numId="4">
    <w:abstractNumId w:val="25"/>
  </w:num>
  <w:num w:numId="5">
    <w:abstractNumId w:val="40"/>
  </w:num>
  <w:num w:numId="6">
    <w:abstractNumId w:val="56"/>
  </w:num>
  <w:num w:numId="7">
    <w:abstractNumId w:val="5"/>
  </w:num>
  <w:num w:numId="8">
    <w:abstractNumId w:val="31"/>
  </w:num>
  <w:num w:numId="9">
    <w:abstractNumId w:val="12"/>
  </w:num>
  <w:num w:numId="10">
    <w:abstractNumId w:val="20"/>
  </w:num>
  <w:num w:numId="11">
    <w:abstractNumId w:val="54"/>
  </w:num>
  <w:num w:numId="12">
    <w:abstractNumId w:val="51"/>
  </w:num>
  <w:num w:numId="13">
    <w:abstractNumId w:val="8"/>
  </w:num>
  <w:num w:numId="14">
    <w:abstractNumId w:val="37"/>
  </w:num>
  <w:num w:numId="15">
    <w:abstractNumId w:val="28"/>
  </w:num>
  <w:num w:numId="16">
    <w:abstractNumId w:val="32"/>
  </w:num>
  <w:num w:numId="17">
    <w:abstractNumId w:val="21"/>
  </w:num>
  <w:num w:numId="18">
    <w:abstractNumId w:val="44"/>
  </w:num>
  <w:num w:numId="19">
    <w:abstractNumId w:val="42"/>
  </w:num>
  <w:num w:numId="20">
    <w:abstractNumId w:val="27"/>
  </w:num>
  <w:num w:numId="21">
    <w:abstractNumId w:val="30"/>
  </w:num>
  <w:num w:numId="22">
    <w:abstractNumId w:val="3"/>
  </w:num>
  <w:num w:numId="23">
    <w:abstractNumId w:val="38"/>
  </w:num>
  <w:num w:numId="24">
    <w:abstractNumId w:val="11"/>
  </w:num>
  <w:num w:numId="25">
    <w:abstractNumId w:val="41"/>
  </w:num>
  <w:num w:numId="26">
    <w:abstractNumId w:val="19"/>
  </w:num>
  <w:num w:numId="27">
    <w:abstractNumId w:val="50"/>
  </w:num>
  <w:num w:numId="28">
    <w:abstractNumId w:val="15"/>
  </w:num>
  <w:num w:numId="29">
    <w:abstractNumId w:val="43"/>
  </w:num>
  <w:num w:numId="30">
    <w:abstractNumId w:val="55"/>
  </w:num>
  <w:num w:numId="31">
    <w:abstractNumId w:val="1"/>
  </w:num>
  <w:num w:numId="32">
    <w:abstractNumId w:val="24"/>
  </w:num>
  <w:num w:numId="33">
    <w:abstractNumId w:val="7"/>
  </w:num>
  <w:num w:numId="34">
    <w:abstractNumId w:val="47"/>
  </w:num>
  <w:num w:numId="35">
    <w:abstractNumId w:val="35"/>
  </w:num>
  <w:num w:numId="36">
    <w:abstractNumId w:val="49"/>
  </w:num>
  <w:num w:numId="37">
    <w:abstractNumId w:val="48"/>
  </w:num>
  <w:num w:numId="38">
    <w:abstractNumId w:val="2"/>
  </w:num>
  <w:num w:numId="39">
    <w:abstractNumId w:val="14"/>
  </w:num>
  <w:num w:numId="40">
    <w:abstractNumId w:val="46"/>
  </w:num>
  <w:num w:numId="41">
    <w:abstractNumId w:val="22"/>
  </w:num>
  <w:num w:numId="42">
    <w:abstractNumId w:val="0"/>
  </w:num>
  <w:num w:numId="43">
    <w:abstractNumId w:val="6"/>
  </w:num>
  <w:num w:numId="44">
    <w:abstractNumId w:val="57"/>
  </w:num>
  <w:num w:numId="45">
    <w:abstractNumId w:val="13"/>
  </w:num>
  <w:num w:numId="46">
    <w:abstractNumId w:val="45"/>
  </w:num>
  <w:num w:numId="47">
    <w:abstractNumId w:val="53"/>
  </w:num>
  <w:num w:numId="48">
    <w:abstractNumId w:val="9"/>
  </w:num>
  <w:num w:numId="49">
    <w:abstractNumId w:val="10"/>
  </w:num>
  <w:num w:numId="50">
    <w:abstractNumId w:val="36"/>
  </w:num>
  <w:num w:numId="51">
    <w:abstractNumId w:val="4"/>
  </w:num>
  <w:num w:numId="52">
    <w:abstractNumId w:val="52"/>
  </w:num>
  <w:num w:numId="53">
    <w:abstractNumId w:val="23"/>
  </w:num>
  <w:num w:numId="54">
    <w:abstractNumId w:val="18"/>
  </w:num>
  <w:num w:numId="55">
    <w:abstractNumId w:val="34"/>
  </w:num>
  <w:num w:numId="56">
    <w:abstractNumId w:val="39"/>
  </w:num>
  <w:num w:numId="57">
    <w:abstractNumId w:val="16"/>
  </w:num>
  <w:num w:numId="58">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279B1"/>
    <w:rsid w:val="00040575"/>
    <w:rsid w:val="00087E84"/>
    <w:rsid w:val="000961FC"/>
    <w:rsid w:val="000A72C2"/>
    <w:rsid w:val="000C2B1F"/>
    <w:rsid w:val="000D050A"/>
    <w:rsid w:val="000E0A6B"/>
    <w:rsid w:val="000F1E88"/>
    <w:rsid w:val="001144EF"/>
    <w:rsid w:val="001239A5"/>
    <w:rsid w:val="00147206"/>
    <w:rsid w:val="00147A9E"/>
    <w:rsid w:val="00165330"/>
    <w:rsid w:val="00171CF7"/>
    <w:rsid w:val="001803FF"/>
    <w:rsid w:val="00195A3F"/>
    <w:rsid w:val="001B277D"/>
    <w:rsid w:val="001D73E5"/>
    <w:rsid w:val="00232076"/>
    <w:rsid w:val="00236DB1"/>
    <w:rsid w:val="00242030"/>
    <w:rsid w:val="00245675"/>
    <w:rsid w:val="00272C50"/>
    <w:rsid w:val="002812C4"/>
    <w:rsid w:val="0028759C"/>
    <w:rsid w:val="002B09EB"/>
    <w:rsid w:val="002D4DF6"/>
    <w:rsid w:val="002F777D"/>
    <w:rsid w:val="00311C8C"/>
    <w:rsid w:val="003337B0"/>
    <w:rsid w:val="00337E33"/>
    <w:rsid w:val="00344AF3"/>
    <w:rsid w:val="0034606C"/>
    <w:rsid w:val="003B3D81"/>
    <w:rsid w:val="003D31AE"/>
    <w:rsid w:val="003E2FF1"/>
    <w:rsid w:val="003E4446"/>
    <w:rsid w:val="0041561B"/>
    <w:rsid w:val="00430D35"/>
    <w:rsid w:val="00441889"/>
    <w:rsid w:val="00452BE0"/>
    <w:rsid w:val="00457354"/>
    <w:rsid w:val="004B77BF"/>
    <w:rsid w:val="004E0BA0"/>
    <w:rsid w:val="004E22F2"/>
    <w:rsid w:val="004E3439"/>
    <w:rsid w:val="00500A0C"/>
    <w:rsid w:val="00540EC8"/>
    <w:rsid w:val="00563791"/>
    <w:rsid w:val="00571416"/>
    <w:rsid w:val="00576D56"/>
    <w:rsid w:val="005B7350"/>
    <w:rsid w:val="005B7A39"/>
    <w:rsid w:val="005E37D9"/>
    <w:rsid w:val="005E3A9B"/>
    <w:rsid w:val="005F6F3D"/>
    <w:rsid w:val="00600600"/>
    <w:rsid w:val="006010E4"/>
    <w:rsid w:val="006035CA"/>
    <w:rsid w:val="006049AC"/>
    <w:rsid w:val="00615649"/>
    <w:rsid w:val="00652C28"/>
    <w:rsid w:val="00654A75"/>
    <w:rsid w:val="006653EB"/>
    <w:rsid w:val="006A6AF8"/>
    <w:rsid w:val="006B2CD0"/>
    <w:rsid w:val="006B6E50"/>
    <w:rsid w:val="006C3CCF"/>
    <w:rsid w:val="006E4EA6"/>
    <w:rsid w:val="006E4EBA"/>
    <w:rsid w:val="006F46A3"/>
    <w:rsid w:val="006F7192"/>
    <w:rsid w:val="00700309"/>
    <w:rsid w:val="00711898"/>
    <w:rsid w:val="00760F68"/>
    <w:rsid w:val="00763A40"/>
    <w:rsid w:val="00764C7D"/>
    <w:rsid w:val="00770028"/>
    <w:rsid w:val="007852DC"/>
    <w:rsid w:val="007C31AD"/>
    <w:rsid w:val="007C3FB7"/>
    <w:rsid w:val="007C4297"/>
    <w:rsid w:val="007D6534"/>
    <w:rsid w:val="007E644F"/>
    <w:rsid w:val="008201CD"/>
    <w:rsid w:val="00836D33"/>
    <w:rsid w:val="00847AAD"/>
    <w:rsid w:val="008636CC"/>
    <w:rsid w:val="008727C4"/>
    <w:rsid w:val="00876D6B"/>
    <w:rsid w:val="00884556"/>
    <w:rsid w:val="00892D1D"/>
    <w:rsid w:val="008A1043"/>
    <w:rsid w:val="008B0A4D"/>
    <w:rsid w:val="008C25CB"/>
    <w:rsid w:val="008C49A3"/>
    <w:rsid w:val="008C6C8F"/>
    <w:rsid w:val="008E6DB3"/>
    <w:rsid w:val="00905865"/>
    <w:rsid w:val="00920D41"/>
    <w:rsid w:val="00934D30"/>
    <w:rsid w:val="00956850"/>
    <w:rsid w:val="009579D5"/>
    <w:rsid w:val="00971314"/>
    <w:rsid w:val="009903D6"/>
    <w:rsid w:val="009A1287"/>
    <w:rsid w:val="009A29AF"/>
    <w:rsid w:val="009C0D15"/>
    <w:rsid w:val="009C5CEF"/>
    <w:rsid w:val="009F0382"/>
    <w:rsid w:val="009F142E"/>
    <w:rsid w:val="009F3D89"/>
    <w:rsid w:val="009F7CBC"/>
    <w:rsid w:val="00A016B5"/>
    <w:rsid w:val="00A2722A"/>
    <w:rsid w:val="00A44F50"/>
    <w:rsid w:val="00A7638A"/>
    <w:rsid w:val="00AA1C0B"/>
    <w:rsid w:val="00AD19B4"/>
    <w:rsid w:val="00B132CF"/>
    <w:rsid w:val="00B2219E"/>
    <w:rsid w:val="00B3661E"/>
    <w:rsid w:val="00B51BEB"/>
    <w:rsid w:val="00B75E26"/>
    <w:rsid w:val="00B82DF8"/>
    <w:rsid w:val="00B86F44"/>
    <w:rsid w:val="00B9315D"/>
    <w:rsid w:val="00B9384F"/>
    <w:rsid w:val="00BA27EA"/>
    <w:rsid w:val="00BD4958"/>
    <w:rsid w:val="00BE4067"/>
    <w:rsid w:val="00BE7D19"/>
    <w:rsid w:val="00BF792C"/>
    <w:rsid w:val="00C05ADD"/>
    <w:rsid w:val="00C13D88"/>
    <w:rsid w:val="00C25FCC"/>
    <w:rsid w:val="00C614C5"/>
    <w:rsid w:val="00C67345"/>
    <w:rsid w:val="00C73510"/>
    <w:rsid w:val="00C82660"/>
    <w:rsid w:val="00C90620"/>
    <w:rsid w:val="00C94394"/>
    <w:rsid w:val="00CD2B4D"/>
    <w:rsid w:val="00CE50A1"/>
    <w:rsid w:val="00CF4856"/>
    <w:rsid w:val="00CF781E"/>
    <w:rsid w:val="00D03232"/>
    <w:rsid w:val="00D25ED8"/>
    <w:rsid w:val="00D32C02"/>
    <w:rsid w:val="00D5698F"/>
    <w:rsid w:val="00D825BC"/>
    <w:rsid w:val="00DB1477"/>
    <w:rsid w:val="00DB1584"/>
    <w:rsid w:val="00DB352A"/>
    <w:rsid w:val="00DD5189"/>
    <w:rsid w:val="00DE07EF"/>
    <w:rsid w:val="00DF7DA0"/>
    <w:rsid w:val="00E04947"/>
    <w:rsid w:val="00E22312"/>
    <w:rsid w:val="00E42327"/>
    <w:rsid w:val="00E45E3B"/>
    <w:rsid w:val="00E67412"/>
    <w:rsid w:val="00E67501"/>
    <w:rsid w:val="00E82151"/>
    <w:rsid w:val="00E8684F"/>
    <w:rsid w:val="00E877D0"/>
    <w:rsid w:val="00E909E7"/>
    <w:rsid w:val="00E93F9B"/>
    <w:rsid w:val="00EE1910"/>
    <w:rsid w:val="00EE6885"/>
    <w:rsid w:val="00F15F5F"/>
    <w:rsid w:val="00F82420"/>
    <w:rsid w:val="00FA0F7E"/>
    <w:rsid w:val="00FA7522"/>
    <w:rsid w:val="00FC55F3"/>
    <w:rsid w:val="00FD71A2"/>
    <w:rsid w:val="00FE5223"/>
    <w:rsid w:val="00FF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7-medical-claims-how-to.html" TargetMode="External"/><Relationship Id="rId50" Type="http://schemas.openxmlformats.org/officeDocument/2006/relationships/hyperlink" Target="https://blog.definitivehc.com/the-childrens-health-insurance-program-chip-vs.-medicaid" TargetMode="External"/><Relationship Id="rId55" Type="http://schemas.openxmlformats.org/officeDocument/2006/relationships/hyperlink" Target="https://www.medicare.gov/your-medicare-costs/medicare-costs-at-a-glance" TargetMode="External"/><Relationship Id="rId63" Type="http://schemas.openxmlformats.org/officeDocument/2006/relationships/hyperlink" Target="https://www.healthline.com/health/medicare/medicare-prescription-plans" TargetMode="External"/><Relationship Id="rId68" Type="http://schemas.openxmlformats.org/officeDocument/2006/relationships/hyperlink" Target="https://www.healthline.com/health/medicare/pffs-medicare" TargetMode="External"/><Relationship Id="rId76" Type="http://schemas.openxmlformats.org/officeDocument/2006/relationships/fontTable" Target="fontTable.xml"/><Relationship Id="rId7" Type="http://schemas.openxmlformats.org/officeDocument/2006/relationships/hyperlink" Target="https://www.techtarget.com/whatis/definition/hard-copy-printout" TargetMode="External"/><Relationship Id="rId71" Type="http://schemas.openxmlformats.org/officeDocument/2006/relationships/hyperlink" Target="https://www.healthline.com/health/high-blood-pressure-hypertension"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9" Type="http://schemas.openxmlformats.org/officeDocument/2006/relationships/hyperlink" Target="https://www.aapc.com/codes/icd-10-codes-range/K00-K95"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www.goanywhere.com/blog/what-is-edifact" TargetMode="External"/><Relationship Id="rId53" Type="http://schemas.openxmlformats.org/officeDocument/2006/relationships/hyperlink" Target="https://www.healthline.com/health/medicare/does-medicare-cover-skilled-nursing-facility" TargetMode="External"/><Relationship Id="rId58" Type="http://schemas.openxmlformats.org/officeDocument/2006/relationships/hyperlink" Target="https://www.healthline.com/health/medicare/medicare-preventive-services" TargetMode="External"/><Relationship Id="rId66" Type="http://schemas.openxmlformats.org/officeDocument/2006/relationships/hyperlink" Target="https://www.healthline.com/health/medicare/medicare-hmo" TargetMode="External"/><Relationship Id="rId74"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www.capminds.com/medical-billing" TargetMode="External"/><Relationship Id="rId57" Type="http://schemas.openxmlformats.org/officeDocument/2006/relationships/hyperlink" Target="https://www.healthline.com/health/medicare/medicare-lifetime-reserve-days" TargetMode="External"/><Relationship Id="rId61" Type="http://schemas.openxmlformats.org/officeDocument/2006/relationships/hyperlink" Target="https://www.healthline.com/health/medicare/does-medicare-cover-mental-health"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hyperlink" Target="https://www.nerdwallet.com/blog/investing/what-will-you-spend-on-health-care-costs-in-retirement/" TargetMode="External"/><Relationship Id="rId60" Type="http://schemas.openxmlformats.org/officeDocument/2006/relationships/hyperlink" Target="https://www.healthline.com/health/medicare/how-to-get-a-medical-device-approved-for-medicare" TargetMode="External"/><Relationship Id="rId65" Type="http://schemas.openxmlformats.org/officeDocument/2006/relationships/hyperlink" Target="https://www.healthline.com/health/medicare/does-medicare-cover-eye-exams" TargetMode="External"/><Relationship Id="rId73" Type="http://schemas.openxmlformats.org/officeDocument/2006/relationships/hyperlink" Target="https://www.healthline.com/health/high-cholestero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businessnewsdaily.com/8989-medical-billing-tips.html" TargetMode="External"/><Relationship Id="rId56" Type="http://schemas.openxmlformats.org/officeDocument/2006/relationships/hyperlink" Target="https://www.healthline.com/health/medicare/medicare-benefit-period" TargetMode="External"/><Relationship Id="rId64" Type="http://schemas.openxmlformats.org/officeDocument/2006/relationships/hyperlink" Target="https://www.healthline.com/health/medicare/does-medicare-cover-dental" TargetMode="External"/><Relationship Id="rId69" Type="http://schemas.openxmlformats.org/officeDocument/2006/relationships/hyperlink" Target="https://www.healthline.com/health/medicare/medicare-special-needs-plans" TargetMode="External"/><Relationship Id="rId77" Type="http://schemas.openxmlformats.org/officeDocument/2006/relationships/theme" Target="theme/theme1.xml"/><Relationship Id="rId8" Type="http://schemas.openxmlformats.org/officeDocument/2006/relationships/hyperlink" Target="https://www.hipaaguide.net/healthcare-data-breach-statistics/" TargetMode="External"/><Relationship Id="rId51" Type="http://schemas.openxmlformats.org/officeDocument/2006/relationships/hyperlink" Target="https://www.definitivehc.com/data-products/long-term-care-view" TargetMode="External"/><Relationship Id="rId72" Type="http://schemas.openxmlformats.org/officeDocument/2006/relationships/hyperlink" Target="https://www.healthline.com/health/heart-disease" TargetMode="External"/><Relationship Id="rId3" Type="http://schemas.openxmlformats.org/officeDocument/2006/relationships/styles" Target="styles.xm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3-claim-scrubber-benefits.html" TargetMode="External"/><Relationship Id="rId59" Type="http://schemas.openxmlformats.org/officeDocument/2006/relationships/hyperlink" Target="https://www.healthline.com/health/medicare/does-medicare-cover-ambulance" TargetMode="External"/><Relationship Id="rId67" Type="http://schemas.openxmlformats.org/officeDocument/2006/relationships/hyperlink" Target="https://www.healthline.com/health/medicare/medicare-ppo" TargetMode="External"/><Relationship Id="rId20" Type="http://schemas.openxmlformats.org/officeDocument/2006/relationships/hyperlink" Target="https://www.aapc.com/codes/icd-10-codes-range/C00-D49" TargetMode="External"/><Relationship Id="rId41" Type="http://schemas.openxmlformats.org/officeDocument/2006/relationships/hyperlink" Target="https://sybridmd.com/services/medical-billing-services/" TargetMode="External"/><Relationship Id="rId54" Type="http://schemas.openxmlformats.org/officeDocument/2006/relationships/hyperlink" Target="https://www.healthline.com/health/medicare/medicare-part-a-cost" TargetMode="External"/><Relationship Id="rId62" Type="http://schemas.openxmlformats.org/officeDocument/2006/relationships/hyperlink" Target="https://www.healthline.com/health/medicare/medicare-part-b-vs-part-d" TargetMode="External"/><Relationship Id="rId70" Type="http://schemas.openxmlformats.org/officeDocument/2006/relationships/hyperlink" Target="https://www.cms.gov/newsroom/news-alert/cms-releases-2023-projected-medicare-basic-part-d-average-premium" TargetMode="External"/><Relationship Id="rId75" Type="http://schemas.openxmlformats.org/officeDocument/2006/relationships/hyperlink" Target="https://www.healthline.com/health/domestic-violence-resource-guide"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2FAF-1799-4080-9654-55B514D7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45</Pages>
  <Words>13125</Words>
  <Characters>74819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53</cp:revision>
  <dcterms:created xsi:type="dcterms:W3CDTF">2023-02-02T06:17:00Z</dcterms:created>
  <dcterms:modified xsi:type="dcterms:W3CDTF">2023-02-09T14:07:00Z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