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000000"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000000"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000000"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000000"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000000"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000000"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000000"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000000"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000000"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000000"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000000"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000000"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000000"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000000"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000000"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000000"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000000"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000000"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000000"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000000"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000000"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000000"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000000"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000000"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000000"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000000"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5B7A39">
      <w:pPr>
        <w:pStyle w:val="NormalWeb"/>
        <w:numPr>
          <w:ilvl w:val="0"/>
          <w:numId w:val="33"/>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5B7A39">
      <w:pPr>
        <w:pStyle w:val="NormalWeb"/>
        <w:numPr>
          <w:ilvl w:val="0"/>
          <w:numId w:val="33"/>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Default="00DB1584" w:rsidP="00A2722A">
      <w:pPr>
        <w:shd w:val="clear" w:color="auto" w:fill="FFFFFF"/>
        <w:spacing w:after="0" w:line="240" w:lineRule="auto"/>
        <w:jc w:val="both"/>
      </w:pPr>
      <w: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r>
        <w:t>.</w:t>
      </w:r>
    </w:p>
    <w:p w14:paraId="0D12F076" w14:textId="77777777" w:rsidR="00DB1584"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Default="00DB1584" w:rsidP="009F0382">
      <w:pPr>
        <w:shd w:val="clear" w:color="auto" w:fill="FFFFFF"/>
        <w:spacing w:after="240"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EDI Benefits </w:t>
      </w:r>
    </w:p>
    <w:p w14:paraId="4DE7248A" w14:textId="77777777" w:rsidR="00DB1584" w:rsidRPr="00DB1584" w:rsidRDefault="00DB1584" w:rsidP="009F0382">
      <w:pPr>
        <w:shd w:val="clear" w:color="auto" w:fill="FFFFFF"/>
        <w:spacing w:after="240" w:line="240" w:lineRule="auto"/>
        <w:rPr>
          <w:b/>
          <w:bCs/>
          <w:sz w:val="24"/>
          <w:szCs w:val="24"/>
        </w:rPr>
      </w:pPr>
      <w:r w:rsidRPr="00DB1584">
        <w:rPr>
          <w:b/>
          <w:bCs/>
          <w:sz w:val="24"/>
          <w:szCs w:val="24"/>
        </w:rPr>
        <w:t>Send and receive information faster</w:t>
      </w:r>
    </w:p>
    <w:p w14:paraId="61122DC0" w14:textId="1DA7438D" w:rsidR="00DB1584" w:rsidRDefault="00DB1584" w:rsidP="009F0382">
      <w:pPr>
        <w:shd w:val="clear" w:color="auto" w:fill="FFFFFF"/>
        <w:spacing w:after="240" w:line="240" w:lineRule="auto"/>
      </w:pPr>
      <w: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BA27EA" w:rsidRDefault="00BA27EA" w:rsidP="009F0382">
      <w:pPr>
        <w:shd w:val="clear" w:color="auto" w:fill="FFFFFF"/>
        <w:spacing w:after="240" w:line="240" w:lineRule="auto"/>
        <w:rPr>
          <w:b/>
          <w:bCs/>
          <w:sz w:val="24"/>
          <w:szCs w:val="24"/>
        </w:rPr>
      </w:pPr>
      <w:r w:rsidRPr="00BA27EA">
        <w:rPr>
          <w:b/>
          <w:bCs/>
          <w:sz w:val="24"/>
          <w:szCs w:val="24"/>
        </w:rPr>
        <w:t xml:space="preserve">Identify submission errors immediately to help avoid claim processing delays </w:t>
      </w:r>
    </w:p>
    <w:p w14:paraId="34D746E6" w14:textId="65EB44B5" w:rsidR="00DB1584" w:rsidRDefault="00BA27EA" w:rsidP="009F0382">
      <w:pPr>
        <w:shd w:val="clear" w:color="auto" w:fill="FFFFFF"/>
        <w:spacing w:after="240" w:line="240" w:lineRule="auto"/>
      </w:pPr>
      <w:r>
        <w:t xml:space="preserve">Electronic claims are automatically checked for HIPAA and </w:t>
      </w:r>
      <w:r>
        <w:t>payer specific</w:t>
      </w:r>
      <w:r>
        <w:t xml:space="preserve"> requirements at the vendor, clearinghouse and payer levels. This process decreases the reasons a claim may be rejected. This same level of automated data verification can’t be performed on paper claims.</w:t>
      </w:r>
    </w:p>
    <w:p w14:paraId="61C02816" w14:textId="77777777" w:rsidR="00BA27EA" w:rsidRPr="00BA27EA" w:rsidRDefault="00BA27EA" w:rsidP="009F0382">
      <w:pPr>
        <w:shd w:val="clear" w:color="auto" w:fill="FFFFFF"/>
        <w:spacing w:after="240" w:line="240" w:lineRule="auto"/>
        <w:rPr>
          <w:b/>
          <w:bCs/>
          <w:sz w:val="24"/>
          <w:szCs w:val="24"/>
        </w:rPr>
      </w:pPr>
      <w:r w:rsidRPr="00BA27EA">
        <w:rPr>
          <w:b/>
          <w:bCs/>
          <w:sz w:val="24"/>
          <w:szCs w:val="24"/>
        </w:rPr>
        <w:t>Reduce administrative expenses</w:t>
      </w:r>
    </w:p>
    <w:p w14:paraId="6E500156" w14:textId="77777777" w:rsidR="00BA27EA" w:rsidRDefault="00BA27EA" w:rsidP="009F0382">
      <w:pPr>
        <w:shd w:val="clear" w:color="auto" w:fill="FFFFFF"/>
        <w:spacing w:after="240" w:line="240" w:lineRule="auto"/>
      </w:pPr>
      <w:r>
        <w:t xml:space="preserve"> EDI cuts down on purchases of paper, forms, supplies and postage. It also saves time faxing, printing, sorting and stuffing envelopes.</w:t>
      </w:r>
      <w:r w:rsidRPr="00BA27EA">
        <w:t xml:space="preserve"> </w:t>
      </w:r>
    </w:p>
    <w:p w14:paraId="3352DA60" w14:textId="77777777" w:rsidR="00BA27EA" w:rsidRPr="00BA27EA" w:rsidRDefault="00BA27EA" w:rsidP="009F0382">
      <w:pPr>
        <w:shd w:val="clear" w:color="auto" w:fill="FFFFFF"/>
        <w:spacing w:after="240" w:line="240" w:lineRule="auto"/>
        <w:rPr>
          <w:b/>
          <w:bCs/>
          <w:sz w:val="24"/>
          <w:szCs w:val="24"/>
        </w:rPr>
      </w:pPr>
      <w:r w:rsidRPr="00BA27EA">
        <w:rPr>
          <w:b/>
          <w:bCs/>
          <w:sz w:val="24"/>
          <w:szCs w:val="24"/>
        </w:rPr>
        <w:t>Spend less time on the phone</w:t>
      </w:r>
    </w:p>
    <w:p w14:paraId="1A47E76D" w14:textId="243DE75D" w:rsidR="00BA27EA" w:rsidRDefault="00BA27EA" w:rsidP="009F0382">
      <w:pPr>
        <w:shd w:val="clear" w:color="auto" w:fill="FFFFFF"/>
        <w:spacing w:after="240" w:line="240" w:lineRule="auto"/>
      </w:pPr>
      <w:r>
        <w:t xml:space="preserve">EDI reduces calls your staff needs to make to UnitedHealthcare to obtain information on our members, claims, payments, authorizations and referrals. </w:t>
      </w:r>
    </w:p>
    <w:p w14:paraId="54E8AEF6" w14:textId="77777777" w:rsidR="00BA27EA" w:rsidRPr="00BA27EA" w:rsidRDefault="00BA27EA" w:rsidP="009F0382">
      <w:pPr>
        <w:shd w:val="clear" w:color="auto" w:fill="FFFFFF"/>
        <w:spacing w:after="240" w:line="240" w:lineRule="auto"/>
        <w:rPr>
          <w:b/>
          <w:bCs/>
          <w:sz w:val="24"/>
          <w:szCs w:val="24"/>
        </w:rPr>
      </w:pPr>
      <w:r w:rsidRPr="00BA27EA">
        <w:rPr>
          <w:b/>
          <w:bCs/>
          <w:sz w:val="24"/>
          <w:szCs w:val="24"/>
        </w:rPr>
        <w:t>Exchange information with multiple payers</w:t>
      </w:r>
    </w:p>
    <w:p w14:paraId="0DB7BA2F" w14:textId="75E1B12D" w:rsidR="00BA27EA" w:rsidRDefault="00BA27EA" w:rsidP="009F0382">
      <w:pPr>
        <w:shd w:val="clear" w:color="auto" w:fill="FFFFFF"/>
        <w:spacing w:after="240" w:line="240" w:lineRule="auto"/>
      </w:pPr>
      <w:r>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BA27EA" w:rsidRDefault="00BA27EA" w:rsidP="009F0382">
      <w:pPr>
        <w:shd w:val="clear" w:color="auto" w:fill="FFFFFF"/>
        <w:spacing w:after="240" w:line="240" w:lineRule="auto"/>
        <w:rPr>
          <w:b/>
          <w:bCs/>
          <w:sz w:val="24"/>
          <w:szCs w:val="24"/>
        </w:rPr>
      </w:pPr>
      <w:r w:rsidRPr="00BA27EA">
        <w:rPr>
          <w:b/>
          <w:bCs/>
          <w:sz w:val="24"/>
          <w:szCs w:val="24"/>
        </w:rPr>
        <w:lastRenderedPageBreak/>
        <w:t>Types of EDI transactions</w:t>
      </w:r>
    </w:p>
    <w:p w14:paraId="063EBC0E" w14:textId="1D640004" w:rsidR="00BA27EA" w:rsidRDefault="00BA27EA" w:rsidP="00BA27EA">
      <w:pPr>
        <w:pStyle w:val="ListParagraph"/>
        <w:numPr>
          <w:ilvl w:val="0"/>
          <w:numId w:val="24"/>
        </w:numPr>
        <w:shd w:val="clear" w:color="auto" w:fill="FFFFFF"/>
        <w:spacing w:after="240" w:line="240" w:lineRule="auto"/>
      </w:pPr>
      <w:r w:rsidRPr="00BA27EA">
        <w:rPr>
          <w:b/>
          <w:bCs/>
        </w:rPr>
        <w:t>270/271</w:t>
      </w:r>
      <w:r>
        <w:t>: Eligibility and benefit inquiry and response</w:t>
      </w:r>
    </w:p>
    <w:p w14:paraId="1D3FC4D7" w14:textId="0488DC4A" w:rsidR="00BA27EA" w:rsidRDefault="00BA27EA" w:rsidP="00BA27EA">
      <w:pPr>
        <w:pStyle w:val="ListParagraph"/>
        <w:numPr>
          <w:ilvl w:val="0"/>
          <w:numId w:val="24"/>
        </w:numPr>
        <w:shd w:val="clear" w:color="auto" w:fill="FFFFFF"/>
        <w:spacing w:after="240" w:line="240" w:lineRule="auto"/>
      </w:pPr>
      <w:r w:rsidRPr="00BA27EA">
        <w:rPr>
          <w:b/>
          <w:bCs/>
        </w:rPr>
        <w:t>276/277</w:t>
      </w:r>
      <w:r>
        <w:t>: Claim status inquiry and response</w:t>
      </w:r>
    </w:p>
    <w:p w14:paraId="70069BAA" w14:textId="0F3DC6BE" w:rsidR="00BA27EA" w:rsidRDefault="00BA27EA" w:rsidP="00BA27EA">
      <w:pPr>
        <w:pStyle w:val="ListParagraph"/>
        <w:numPr>
          <w:ilvl w:val="0"/>
          <w:numId w:val="24"/>
        </w:numPr>
        <w:shd w:val="clear" w:color="auto" w:fill="FFFFFF"/>
        <w:spacing w:after="240" w:line="240" w:lineRule="auto"/>
      </w:pPr>
      <w:r w:rsidRPr="00BA27EA">
        <w:rPr>
          <w:b/>
          <w:bCs/>
        </w:rPr>
        <w:t>278</w:t>
      </w:r>
      <w:r>
        <w:t>: Authorization and referral request</w:t>
      </w:r>
    </w:p>
    <w:p w14:paraId="25DD986D" w14:textId="33B1DABF" w:rsidR="00BA27EA" w:rsidRDefault="00BA27EA" w:rsidP="00BA27EA">
      <w:pPr>
        <w:pStyle w:val="ListParagraph"/>
        <w:numPr>
          <w:ilvl w:val="0"/>
          <w:numId w:val="24"/>
        </w:numPr>
        <w:shd w:val="clear" w:color="auto" w:fill="FFFFFF"/>
        <w:spacing w:after="240" w:line="240" w:lineRule="auto"/>
      </w:pPr>
      <w:r w:rsidRPr="00BA27EA">
        <w:rPr>
          <w:b/>
          <w:bCs/>
        </w:rPr>
        <w:t>278I</w:t>
      </w:r>
      <w:r>
        <w:t>: Prior authorization and notification inquiry</w:t>
      </w:r>
    </w:p>
    <w:p w14:paraId="05A9A814" w14:textId="260C5E16" w:rsidR="00BA27EA" w:rsidRDefault="00BA27EA" w:rsidP="00BA27EA">
      <w:pPr>
        <w:pStyle w:val="ListParagraph"/>
        <w:numPr>
          <w:ilvl w:val="0"/>
          <w:numId w:val="24"/>
        </w:numPr>
        <w:shd w:val="clear" w:color="auto" w:fill="FFFFFF"/>
        <w:spacing w:after="240" w:line="240" w:lineRule="auto"/>
      </w:pPr>
      <w:r w:rsidRPr="00BA27EA">
        <w:rPr>
          <w:b/>
          <w:bCs/>
        </w:rPr>
        <w:t>278N</w:t>
      </w:r>
      <w:r>
        <w:t>: Hospital admission notification</w:t>
      </w:r>
    </w:p>
    <w:p w14:paraId="50ED2C87" w14:textId="42E29728" w:rsidR="00BA27EA" w:rsidRDefault="00BA27EA" w:rsidP="00BA27EA">
      <w:pPr>
        <w:pStyle w:val="ListParagraph"/>
        <w:numPr>
          <w:ilvl w:val="0"/>
          <w:numId w:val="24"/>
        </w:numPr>
        <w:shd w:val="clear" w:color="auto" w:fill="FFFFFF"/>
        <w:spacing w:after="240" w:line="240" w:lineRule="auto"/>
      </w:pPr>
      <w:r w:rsidRPr="00BA27EA">
        <w:rPr>
          <w:b/>
          <w:bCs/>
        </w:rPr>
        <w:t>835</w:t>
      </w:r>
      <w:r>
        <w:t xml:space="preserve">: Electronic remittance advice (ERA) </w:t>
      </w:r>
    </w:p>
    <w:p w14:paraId="5A177AA8" w14:textId="77777777" w:rsidR="00BA27EA" w:rsidRDefault="00BA27EA" w:rsidP="00BA27EA">
      <w:pPr>
        <w:pStyle w:val="ListParagraph"/>
        <w:numPr>
          <w:ilvl w:val="0"/>
          <w:numId w:val="24"/>
        </w:numPr>
        <w:shd w:val="clear" w:color="auto" w:fill="FFFFFF"/>
        <w:spacing w:after="240" w:line="240" w:lineRule="auto"/>
      </w:pPr>
      <w:r w:rsidRPr="00BA27EA">
        <w:rPr>
          <w:b/>
          <w:bCs/>
        </w:rPr>
        <w:t>837D</w:t>
      </w:r>
      <w:r>
        <w:t xml:space="preserve">: Dental claim </w:t>
      </w:r>
    </w:p>
    <w:p w14:paraId="354C0A36" w14:textId="77777777" w:rsidR="00BA27EA" w:rsidRDefault="00BA27EA" w:rsidP="00BA27EA">
      <w:pPr>
        <w:pStyle w:val="ListParagraph"/>
        <w:numPr>
          <w:ilvl w:val="0"/>
          <w:numId w:val="24"/>
        </w:numPr>
        <w:shd w:val="clear" w:color="auto" w:fill="FFFFFF"/>
        <w:spacing w:after="240" w:line="240" w:lineRule="auto"/>
      </w:pPr>
      <w:r w:rsidRPr="00BA27EA">
        <w:rPr>
          <w:b/>
          <w:bCs/>
        </w:rPr>
        <w:t>837I</w:t>
      </w:r>
      <w:r>
        <w:t>: Institutional claim</w:t>
      </w:r>
    </w:p>
    <w:p w14:paraId="6E56F5BE" w14:textId="3BA67BC0" w:rsidR="00BA27EA" w:rsidRDefault="00BA27EA" w:rsidP="00BA27EA">
      <w:pPr>
        <w:pStyle w:val="ListParagraph"/>
        <w:numPr>
          <w:ilvl w:val="0"/>
          <w:numId w:val="24"/>
        </w:numPr>
        <w:shd w:val="clear" w:color="auto" w:fill="FFFFFF"/>
        <w:spacing w:after="240" w:line="240" w:lineRule="auto"/>
      </w:pPr>
      <w:r w:rsidRPr="00BA27EA">
        <w:rPr>
          <w:b/>
          <w:bCs/>
        </w:rPr>
        <w:t>837P</w:t>
      </w:r>
      <w:r>
        <w:t>: Professional claim or vision claim</w:t>
      </w:r>
    </w:p>
    <w:p w14:paraId="1EFC6395" w14:textId="77777777" w:rsidR="00BA27EA" w:rsidRDefault="00BA27EA" w:rsidP="009F0382">
      <w:pPr>
        <w:shd w:val="clear" w:color="auto" w:fill="FFFFFF"/>
        <w:spacing w:after="240" w:line="240" w:lineRule="auto"/>
      </w:pPr>
      <w:r>
        <w:t>Steps of an EDI transaction</w:t>
      </w:r>
    </w:p>
    <w:p w14:paraId="2FE914D4" w14:textId="77777777" w:rsidR="00BA27EA" w:rsidRDefault="00BA27EA" w:rsidP="009F0382">
      <w:pPr>
        <w:shd w:val="clear" w:color="auto" w:fill="FFFFFF"/>
        <w:spacing w:after="240" w:line="240" w:lineRule="auto"/>
      </w:pPr>
      <w:r>
        <w:t xml:space="preserve"> 1. EDI transactions start with an inquiry from the care provider and conclude with a response from the payer</w:t>
      </w:r>
    </w:p>
    <w:p w14:paraId="33E1682B" w14:textId="77777777" w:rsidR="00BA27EA" w:rsidRDefault="00BA27EA" w:rsidP="009F0382">
      <w:pPr>
        <w:shd w:val="clear" w:color="auto" w:fill="FFFFFF"/>
        <w:spacing w:after="240" w:line="240" w:lineRule="auto"/>
      </w:pPr>
      <w:r>
        <w:t xml:space="preserve"> 2. The inquiry is submitted by supplying certain required data fields, such as member ID number, date of birth and Payer ID </w:t>
      </w:r>
    </w:p>
    <w:p w14:paraId="0A05BE90" w14:textId="77777777" w:rsidR="00BA27EA" w:rsidRDefault="00BA27EA" w:rsidP="009F0382">
      <w:pPr>
        <w:shd w:val="clear" w:color="auto" w:fill="FFFFFF"/>
        <w:spacing w:after="240" w:line="240" w:lineRule="auto"/>
      </w:pPr>
      <w:r>
        <w:t>3. This inquiry can go directly to the payer, but it often goes through a clearinghouse contracted by the care provider</w:t>
      </w:r>
    </w:p>
    <w:p w14:paraId="6B9208CF" w14:textId="77777777" w:rsidR="00BA27EA" w:rsidRDefault="00BA27EA" w:rsidP="009F0382">
      <w:pPr>
        <w:shd w:val="clear" w:color="auto" w:fill="FFFFFF"/>
        <w:spacing w:after="240" w:line="240" w:lineRule="auto"/>
      </w:pPr>
      <w:r>
        <w:t xml:space="preserve"> 4. The clearinghouse facilitates the inquiry to the payers</w:t>
      </w:r>
    </w:p>
    <w:p w14:paraId="40401BFA" w14:textId="77777777" w:rsidR="00BA27EA" w:rsidRDefault="00BA27EA" w:rsidP="009F0382">
      <w:pPr>
        <w:shd w:val="clear" w:color="auto" w:fill="FFFFFF"/>
        <w:spacing w:after="240" w:line="240" w:lineRule="auto"/>
      </w:pPr>
      <w:r>
        <w:t xml:space="preserve"> 5. Once the payer receives the inquiry, they send the response back to the clearinghouse </w:t>
      </w:r>
    </w:p>
    <w:p w14:paraId="5DB15DAA" w14:textId="77777777" w:rsidR="00BA27EA" w:rsidRDefault="00BA27EA" w:rsidP="009F0382">
      <w:pPr>
        <w:shd w:val="clear" w:color="auto" w:fill="FFFFFF"/>
        <w:spacing w:after="240" w:line="240" w:lineRule="auto"/>
      </w:pPr>
      <w:r>
        <w:t xml:space="preserve">6. The clearinghouse then sends the data to the care provider’s practice management system </w:t>
      </w:r>
    </w:p>
    <w:p w14:paraId="6F4EC11A" w14:textId="278542F4" w:rsidR="00BA27EA" w:rsidRDefault="00BA27EA" w:rsidP="009F0382">
      <w:pPr>
        <w:shd w:val="clear" w:color="auto" w:fill="FFFFFF"/>
        <w:spacing w:after="240" w:line="240" w:lineRule="auto"/>
      </w:pPr>
      <w:r>
        <w:t>7. If there’s an error in the data, the care provider will correct it and resubmit it to the clearinghouse for</w:t>
      </w:r>
      <w:r>
        <w:t xml:space="preserve"> a response.</w:t>
      </w:r>
    </w:p>
    <w:p w14:paraId="4FEEBC80" w14:textId="3B53026C" w:rsidR="00BA27EA" w:rsidRPr="00BA27EA" w:rsidRDefault="00BA27EA" w:rsidP="009F0382">
      <w:pPr>
        <w:shd w:val="clear" w:color="auto" w:fill="FFFFFF"/>
        <w:spacing w:after="240" w:line="240" w:lineRule="auto"/>
      </w:pPr>
      <w:r>
        <w:t>8. EDI transactions can be completed for 1 or more members</w:t>
      </w:r>
    </w:p>
    <w:p w14:paraId="3749C228" w14:textId="77777777" w:rsidR="00BA27EA" w:rsidRDefault="00BA27EA" w:rsidP="00A2722A">
      <w:pPr>
        <w:shd w:val="clear" w:color="auto" w:fill="FFFFFF"/>
        <w:spacing w:before="300" w:line="330" w:lineRule="atLeast"/>
        <w:jc w:val="both"/>
      </w:pPr>
      <w:r>
        <w:t>Sample scenario of how EDI works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13AB0DC5" w14:textId="77777777" w:rsidR="00BA27EA" w:rsidRDefault="00BA27EA" w:rsidP="00A2722A">
      <w:pPr>
        <w:shd w:val="clear" w:color="auto" w:fill="FFFFFF"/>
        <w:spacing w:before="300" w:line="330" w:lineRule="atLeast"/>
        <w:jc w:val="both"/>
      </w:pPr>
      <w:r>
        <w:t xml:space="preserve"> • The care provider’s practice management system compiles the required information for the patients who have appointments on Tuesday</w:t>
      </w:r>
    </w:p>
    <w:p w14:paraId="63936636" w14:textId="77777777" w:rsidR="00BA27EA" w:rsidRDefault="00BA27EA" w:rsidP="00A2722A">
      <w:pPr>
        <w:shd w:val="clear" w:color="auto" w:fill="FFFFFF"/>
        <w:spacing w:before="300" w:line="330" w:lineRule="atLeast"/>
        <w:jc w:val="both"/>
      </w:pPr>
    </w:p>
    <w:p w14:paraId="2DB9016E" w14:textId="77777777" w:rsidR="00BA27EA" w:rsidRDefault="00BA27EA" w:rsidP="00A2722A">
      <w:pPr>
        <w:shd w:val="clear" w:color="auto" w:fill="FFFFFF"/>
        <w:spacing w:before="300" w:line="330" w:lineRule="atLeast"/>
        <w:jc w:val="both"/>
      </w:pPr>
      <w:r>
        <w:t xml:space="preserve">• The </w:t>
      </w:r>
      <w:proofErr w:type="gramStart"/>
      <w:r>
        <w:t>270 inquiry</w:t>
      </w:r>
      <w:proofErr w:type="gramEnd"/>
      <w:r>
        <w:t xml:space="preserve"> transaction goes to the clearinghouse, which sends the 270 transaction to each payer</w:t>
      </w:r>
    </w:p>
    <w:p w14:paraId="06C15E91" w14:textId="77777777" w:rsidR="00BA27EA" w:rsidRDefault="00BA27EA" w:rsidP="00A2722A">
      <w:pPr>
        <w:shd w:val="clear" w:color="auto" w:fill="FFFFFF"/>
        <w:spacing w:before="300" w:line="330" w:lineRule="atLeast"/>
        <w:jc w:val="both"/>
      </w:pPr>
      <w:r>
        <w:lastRenderedPageBreak/>
        <w:t xml:space="preserve"> • The payer returns a </w:t>
      </w:r>
      <w:proofErr w:type="gramStart"/>
      <w:r>
        <w:t>271 response</w:t>
      </w:r>
      <w:proofErr w:type="gramEnd"/>
      <w:r>
        <w:t xml:space="preserve"> transaction with confirmation of coverage/eligibility, copayment, coinsurance and deductible information and other benefit details</w:t>
      </w:r>
    </w:p>
    <w:p w14:paraId="46691F19" w14:textId="77777777" w:rsidR="00BA27EA" w:rsidRDefault="00BA27EA" w:rsidP="00A2722A">
      <w:pPr>
        <w:shd w:val="clear" w:color="auto" w:fill="FFFFFF"/>
        <w:spacing w:before="300" w:line="330" w:lineRule="atLeast"/>
        <w:jc w:val="both"/>
      </w:pPr>
      <w:r>
        <w:t xml:space="preserve"> • The 271 transaction is returned to the clearinghouse for formatting and transmitted into the care provider’s practice management system</w:t>
      </w:r>
    </w:p>
    <w:p w14:paraId="6AB84F7A" w14:textId="77777777" w:rsidR="00BA27EA" w:rsidRDefault="00BA27EA" w:rsidP="00A2722A">
      <w:pPr>
        <w:shd w:val="clear" w:color="auto" w:fill="FFFFFF"/>
        <w:spacing w:before="300" w:line="330" w:lineRule="atLeast"/>
        <w:jc w:val="both"/>
      </w:pPr>
      <w:r>
        <w:t xml:space="preserve"> • On Tuesday morning, the care provider staff sees confirmation of coverage and the cost-sharing amounts on their computers before the patient arrives </w:t>
      </w:r>
    </w:p>
    <w:p w14:paraId="00ACE1EB" w14:textId="77777777" w:rsidR="00BA27EA" w:rsidRDefault="00BA27EA" w:rsidP="00A2722A">
      <w:pPr>
        <w:shd w:val="clear" w:color="auto" w:fill="FFFFFF"/>
        <w:spacing w:before="300" w:line="330" w:lineRule="atLeast"/>
        <w:jc w:val="both"/>
      </w:pPr>
      <w:r>
        <w:t>• If there were errors with any 270 transaction requests, the information can be corrected in the care provider’s practice management system and resubmitted for an immediate response</w:t>
      </w:r>
    </w:p>
    <w:p w14:paraId="1C79FB11" w14:textId="0FCB2DE8" w:rsidR="009F0382" w:rsidRPr="00BA27EA" w:rsidRDefault="00BA27EA" w:rsidP="00A2722A">
      <w:pPr>
        <w:shd w:val="clear" w:color="auto" w:fill="FFFFFF"/>
        <w:spacing w:before="300" w:line="330" w:lineRule="atLeast"/>
        <w:jc w:val="both"/>
      </w:pPr>
      <w: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t>api</w:t>
      </w:r>
      <w:proofErr w:type="spellEnd"/>
      <w:r>
        <w:t xml:space="preserve"> for more information on our API solutions.</w:t>
      </w:r>
    </w:p>
    <w:p w14:paraId="41536262"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00BF8951"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543C0003" w14:textId="36F21940" w:rsidR="00892D1D" w:rsidRPr="006653EB" w:rsidRDefault="00171CF7" w:rsidP="009F0382">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HCFA 1500</w:t>
      </w:r>
    </w:p>
    <w:p w14:paraId="64E2CD17" w14:textId="6BE2D65A" w:rsidR="00171CF7" w:rsidRPr="006653EB"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017506" w:rsidRDefault="00017506" w:rsidP="00A2722A">
      <w:pPr>
        <w:pStyle w:val="NormalWeb"/>
        <w:shd w:val="clear" w:color="auto" w:fill="FFFFFF"/>
        <w:jc w:val="both"/>
        <w:rPr>
          <w:sz w:val="28"/>
          <w:shd w:val="clear" w:color="auto" w:fill="FFFFFF"/>
        </w:rPr>
      </w:pPr>
      <w:r w:rsidRPr="00017506">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653EB" w:rsidRDefault="00DF7DA0" w:rsidP="00A2722A">
      <w:pPr>
        <w:pStyle w:val="NormalWeb"/>
        <w:shd w:val="clear" w:color="auto" w:fill="FFFFFF"/>
        <w:jc w:val="both"/>
      </w:pPr>
      <w:r w:rsidRPr="006653EB">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653EB" w:rsidRDefault="00DF7DA0" w:rsidP="00A2722A">
      <w:pPr>
        <w:pStyle w:val="NormalWeb"/>
        <w:shd w:val="clear" w:color="auto" w:fill="FFFFFF"/>
        <w:jc w:val="both"/>
      </w:pPr>
      <w:r w:rsidRPr="006653EB">
        <w:t>Form HCFA is so comprehensive that private insurers have also adopted it as their standard.</w:t>
      </w:r>
    </w:p>
    <w:p w14:paraId="600D95F8" w14:textId="2629185A" w:rsidR="00DF7DA0" w:rsidRPr="006653EB" w:rsidRDefault="00DF7DA0"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How dose the HCFA form work?</w:t>
      </w:r>
    </w:p>
    <w:p w14:paraId="119806BF" w14:textId="10477CE5" w:rsidR="00DF7DA0" w:rsidRPr="006653EB"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5B77393B" w14:textId="75CCA28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5"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lastRenderedPageBreak/>
        <w:t>Electronic Remittance Advice (ERA)</w:t>
      </w:r>
    </w:p>
    <w:p w14:paraId="42A8EC09" w14:textId="2ABA4194" w:rsidR="00760F68"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500A0C">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w:t>
      </w:r>
      <w:r w:rsidRPr="00760F68">
        <w:rPr>
          <w:rFonts w:ascii="Times New Roman" w:hAnsi="Times New Roman" w:cs="Times New Roman"/>
          <w:spacing w:val="8"/>
          <w:sz w:val="24"/>
          <w:szCs w:val="24"/>
          <w:shd w:val="clear" w:color="auto" w:fill="FFFFFF"/>
        </w:rPr>
        <w:t>t.</w:t>
      </w:r>
      <w:r w:rsidR="00760F68">
        <w:rPr>
          <w:rFonts w:ascii="Times New Roman" w:hAnsi="Times New Roman" w:cs="Times New Roman"/>
          <w:sz w:val="24"/>
          <w:szCs w:val="24"/>
          <w:shd w:val="clear" w:color="auto" w:fill="FFFFFF"/>
        </w:rPr>
        <w:t xml:space="preserve"> </w:t>
      </w:r>
      <w:r w:rsidR="00AA1C0B" w:rsidRPr="00760F68">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6653EB"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760F68">
        <w:rPr>
          <w:rFonts w:ascii="Times New Roman" w:hAnsi="Times New Roman" w:cs="Times New Roman"/>
          <w:sz w:val="24"/>
          <w:szCs w:val="24"/>
        </w:rPr>
        <w:t>The 835 is sent to detail the payment for the claim, which was sent by the provider using the 837 transaction set.</w:t>
      </w:r>
      <w:r w:rsidR="00AA1C0B" w:rsidRPr="006653EB">
        <w:rPr>
          <w:rFonts w:ascii="Times New Roman" w:hAnsi="Times New Roman" w:cs="Times New Roman"/>
          <w:sz w:val="24"/>
          <w:szCs w:val="24"/>
          <w:shd w:val="clear" w:color="auto" w:fill="FFFFFF"/>
        </w:rPr>
        <w:t xml:space="preserve"> In medical billing, ERAs detail a patient’s paid and denied </w:t>
      </w:r>
      <w:hyperlink r:id="rId46" w:history="1">
        <w:r w:rsidR="00AA1C0B" w:rsidRPr="006653EB">
          <w:rPr>
            <w:rStyle w:val="Hyperlink"/>
            <w:rFonts w:ascii="Times New Roman" w:hAnsi="Times New Roman" w:cs="Times New Roman"/>
            <w:color w:val="auto"/>
            <w:sz w:val="24"/>
            <w:szCs w:val="24"/>
            <w:u w:val="none"/>
            <w:shd w:val="clear" w:color="auto" w:fill="FFFFFF"/>
          </w:rPr>
          <w:t>medical claims</w:t>
        </w:r>
      </w:hyperlink>
      <w:r w:rsidR="00AA1C0B"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643343F5" w14:textId="5E736884"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7"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3A568C00"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55EBBF4E"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D58C935"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6E123DE4" w14:textId="4CDD4EA3"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524B287A"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0862BCC4"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1A84561F"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33FCB60C"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611E91F6" w14:textId="61E89DDB"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An EOB is not a Bill </w:t>
      </w:r>
    </w:p>
    <w:p w14:paraId="00045AA4" w14:textId="4EF05A8F" w:rsidR="003337B0" w:rsidRPr="006653EB" w:rsidRDefault="003337B0" w:rsidP="00A2722A">
      <w:pPr>
        <w:shd w:val="clear" w:color="auto" w:fill="FFFFFF"/>
        <w:spacing w:after="0" w:line="240" w:lineRule="auto"/>
        <w:jc w:val="both"/>
        <w:textAlignment w:val="top"/>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Explanation of Benefits tells you how much of the doctor's charges you are responsible for, but it is not a bill. The EOB is for your reference only. If you owe money for the service beyond what your insurer or health accounts pay, you may receive a bill directly from your provider.</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How much of the billed amount your insurance company paid</w:t>
      </w:r>
    </w:p>
    <w:p w14:paraId="6874FA6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lastRenderedPageBreak/>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3B690064" w:rsidR="00540EC8" w:rsidRPr="00272C50" w:rsidRDefault="00000000" w:rsidP="00A2722A">
      <w:pPr>
        <w:shd w:val="clear" w:color="auto" w:fill="FFFFFF"/>
        <w:spacing w:after="0" w:line="240" w:lineRule="auto"/>
        <w:jc w:val="both"/>
        <w:rPr>
          <w:rFonts w:ascii="Times New Roman" w:hAnsi="Times New Roman" w:cs="Times New Roman"/>
          <w:sz w:val="24"/>
          <w:szCs w:val="24"/>
          <w:shd w:val="clear" w:color="auto" w:fill="FFFFFF"/>
        </w:rPr>
      </w:pPr>
      <w:hyperlink r:id="rId48"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w:t>
      </w:r>
      <w:r w:rsidR="00540EC8" w:rsidRPr="00272C50">
        <w:rPr>
          <w:rFonts w:ascii="Times New Roman" w:hAnsi="Times New Roman" w:cs="Times New Roman"/>
          <w:sz w:val="24"/>
          <w:szCs w:val="24"/>
          <w:shd w:val="clear" w:color="auto" w:fill="FFFFFF"/>
        </w:rPr>
        <w:t>ealthcare practice</w:t>
      </w:r>
      <w:r w:rsidR="00272C50" w:rsidRPr="00272C50">
        <w:rPr>
          <w:rFonts w:ascii="Times New Roman" w:hAnsi="Times New Roman" w:cs="Times New Roman"/>
          <w:sz w:val="24"/>
          <w:szCs w:val="24"/>
          <w:shd w:val="clear" w:color="auto" w:fill="FFFFFF"/>
        </w:rPr>
        <w:t>.</w:t>
      </w:r>
      <w:r w:rsidR="00272C50" w:rsidRPr="00272C50">
        <w:rPr>
          <w:rFonts w:ascii="Times New Roman" w:hAnsi="Times New Roman" w:cs="Times New Roman"/>
          <w:shd w:val="clear" w:color="auto" w:fill="FFFFFF"/>
        </w:rPr>
        <w:t xml:space="preserve"> </w:t>
      </w:r>
      <w:r w:rsidR="00272C50" w:rsidRPr="00272C50">
        <w:rPr>
          <w:rFonts w:ascii="Times New Roman" w:hAnsi="Times New Roman" w:cs="Times New Roman"/>
          <w:shd w:val="clear" w:color="auto" w:fill="FFFFFF"/>
        </w:rPr>
        <w:t>To avoid claim rejection, the verification process must be done before the patient is admitted into a hospital, sees a physician or gets services from a medical professional.</w:t>
      </w:r>
    </w:p>
    <w:p w14:paraId="24E23CBC" w14:textId="44A369E3" w:rsidR="00540EC8" w:rsidRPr="00272C50"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297DD707"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b/>
          <w:sz w:val="24"/>
          <w:szCs w:val="24"/>
          <w:shd w:val="clear" w:color="auto" w:fill="FFFFFF"/>
        </w:rPr>
        <w:t>For Example</w:t>
      </w:r>
    </w:p>
    <w:p w14:paraId="5BAEF099" w14:textId="160139AC"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color w:val="000000"/>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272C50">
        <w:rPr>
          <w:rFonts w:ascii="Times New Roman" w:hAnsi="Times New Roman" w:cs="Times New Roman"/>
          <w:color w:val="000000"/>
          <w:sz w:val="24"/>
          <w:szCs w:val="24"/>
          <w:shd w:val="clear" w:color="auto" w:fill="EEEEEE"/>
        </w:rPr>
        <w:t>asks</w:t>
      </w:r>
      <w:proofErr w:type="gramEnd"/>
      <w:r w:rsidRPr="00272C50">
        <w:rPr>
          <w:rFonts w:ascii="Times New Roman" w:hAnsi="Times New Roman" w:cs="Times New Roman"/>
          <w:color w:val="000000"/>
          <w:sz w:val="24"/>
          <w:szCs w:val="24"/>
          <w:shd w:val="clear" w:color="auto" w:fill="EEEEEE"/>
        </w:rPr>
        <w:t xml:space="preserve">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7E506F2D" w14:textId="04F77D96" w:rsidR="00540EC8"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lastRenderedPageBreak/>
        <w:t>Transactions Specified in the HIPAA 5010 Standard</w:t>
      </w:r>
    </w:p>
    <w:p w14:paraId="19981019"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Authorization request and response</w:t>
      </w:r>
    </w:p>
    <w:p w14:paraId="3A78A180"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Improved functionality with new changes suggested by the healthcare industry</w:t>
      </w:r>
    </w:p>
    <w:p w14:paraId="7457F15E" w14:textId="17F6D7F5"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Consistent transactions across the board</w:t>
      </w:r>
    </w:p>
    <w:p w14:paraId="7D62102F"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EE91C02" w14:textId="1D662437"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5B7A3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5B7A39">
      <w:pPr>
        <w:pStyle w:val="ListParagraph"/>
        <w:numPr>
          <w:ilvl w:val="0"/>
          <w:numId w:val="32"/>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5B7A39">
      <w:pPr>
        <w:pStyle w:val="ListParagraph"/>
        <w:numPr>
          <w:ilvl w:val="0"/>
          <w:numId w:val="32"/>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5B7A39">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lastRenderedPageBreak/>
        <w:t>For Example:</w:t>
      </w:r>
    </w:p>
    <w:p w14:paraId="6107DD6C" w14:textId="1D99C627" w:rsidR="008B0A4D" w:rsidRDefault="008B0A4D" w:rsidP="00A2722A">
      <w:pPr>
        <w:pStyle w:val="NormalWeb"/>
        <w:shd w:val="clear" w:color="auto" w:fill="FFFFFF"/>
        <w:spacing w:before="0" w:beforeAutospacing="0" w:after="300" w:afterAutospacing="0"/>
        <w:jc w:val="both"/>
      </w:pPr>
      <w:r>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4BC5D90A" w:rsidR="00242030" w:rsidRPr="00242030" w:rsidRDefault="00F82420" w:rsidP="00DB352A">
      <w:pPr>
        <w:pStyle w:val="NormalWeb"/>
        <w:shd w:val="clear" w:color="auto" w:fill="FFFFFF"/>
        <w:spacing w:before="0" w:beforeAutospacing="0" w:after="300" w:afterAutospacing="0"/>
        <w:rPr>
          <w:b/>
          <w:sz w:val="32"/>
        </w:rPr>
      </w:pPr>
      <w:r w:rsidRPr="00242030">
        <w:rPr>
          <w:szCs w:val="26"/>
          <w:shd w:val="clear" w:color="auto" w:fill="FFFFFF"/>
        </w:rPr>
        <w:t>A crossover claim is a claim for a recipient who is eligible for both Medicare and Medicaid, where Medicare pays a portion of the claim, and Medicaid is billed for any remaining deductible</w:t>
      </w:r>
      <w:r w:rsidR="00DB352A">
        <w:rPr>
          <w:szCs w:val="26"/>
          <w:shd w:val="clear" w:color="auto" w:fill="FFFFFF"/>
        </w:rPr>
        <w:t xml:space="preserve"> </w:t>
      </w:r>
      <w:r w:rsidRPr="00242030">
        <w:rPr>
          <w:szCs w:val="26"/>
          <w:shd w:val="clear" w:color="auto" w:fill="FFFFFF"/>
        </w:rPr>
        <w:t>or coinsurance.</w:t>
      </w:r>
    </w:p>
    <w:p w14:paraId="2F7DCEC4" w14:textId="78DD5A58" w:rsidR="005B7A39" w:rsidRPr="003E4446" w:rsidRDefault="005B7A39" w:rsidP="00DB352A">
      <w:pPr>
        <w:pStyle w:val="NormalWeb"/>
        <w:shd w:val="clear" w:color="auto" w:fill="FFFFFF"/>
        <w:spacing w:before="0" w:beforeAutospacing="0" w:after="300" w:afterAutospacing="0"/>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74C88B3F" w14:textId="3B877196"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lastRenderedPageBreak/>
        <w:t>For Example:</w:t>
      </w:r>
    </w:p>
    <w:p w14:paraId="3B2ABDBC" w14:textId="2BE02283" w:rsidR="00700309" w:rsidRPr="003E4446" w:rsidRDefault="00700309" w:rsidP="00E909E7">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t>8:30 pm – Set Change</w:t>
      </w:r>
      <w:r w:rsidRPr="00040575">
        <w:rPr>
          <w:szCs w:val="27"/>
        </w:rPr>
        <w:br/>
        <w:t>9:00 pm – Headliner</w:t>
      </w:r>
      <w:r w:rsidRPr="00040575">
        <w:rPr>
          <w:szCs w:val="27"/>
        </w:rPr>
        <w:br/>
        <w:t>11:00 pm – Venue Clear and Strike</w:t>
      </w:r>
    </w:p>
    <w:p w14:paraId="744A11FB" w14:textId="77777777" w:rsidR="00242030" w:rsidRDefault="00242030" w:rsidP="003E4446">
      <w:pPr>
        <w:pStyle w:val="NormalWeb"/>
        <w:shd w:val="clear" w:color="auto" w:fill="FFFFFF"/>
        <w:spacing w:before="0" w:beforeAutospacing="0" w:after="300" w:afterAutospacing="0"/>
        <w:jc w:val="center"/>
        <w:rPr>
          <w:b/>
          <w:sz w:val="32"/>
        </w:rPr>
      </w:pPr>
    </w:p>
    <w:p w14:paraId="274B1A23" w14:textId="77777777" w:rsidR="00242030" w:rsidRDefault="00242030" w:rsidP="003E4446">
      <w:pPr>
        <w:pStyle w:val="NormalWeb"/>
        <w:shd w:val="clear" w:color="auto" w:fill="FFFFFF"/>
        <w:spacing w:before="0" w:beforeAutospacing="0" w:after="300" w:afterAutospacing="0"/>
        <w:jc w:val="center"/>
        <w:rPr>
          <w:b/>
          <w:sz w:val="32"/>
        </w:rPr>
      </w:pP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The Centers for Medicare and Medicaid Services (CMS) develops fee schedules for:</w:t>
      </w:r>
    </w:p>
    <w:p w14:paraId="456D60A1" w14:textId="14546936" w:rsidR="008A1043" w:rsidRPr="003E4446" w:rsidRDefault="002B09EB" w:rsidP="008A1043">
      <w:pPr>
        <w:pStyle w:val="NormalWeb"/>
        <w:numPr>
          <w:ilvl w:val="0"/>
          <w:numId w:val="35"/>
        </w:numPr>
        <w:shd w:val="clear" w:color="auto" w:fill="FFFFFF"/>
        <w:spacing w:before="0" w:beforeAutospacing="0" w:after="300" w:afterAutospacing="0"/>
        <w:jc w:val="both"/>
      </w:pPr>
      <w:r w:rsidRPr="003E4446">
        <w:t>Physicians</w:t>
      </w:r>
    </w:p>
    <w:p w14:paraId="70C2A106" w14:textId="604014EF" w:rsidR="008A1043" w:rsidRPr="003E4446" w:rsidRDefault="008A1043" w:rsidP="008A1043">
      <w:pPr>
        <w:pStyle w:val="NormalWeb"/>
        <w:numPr>
          <w:ilvl w:val="0"/>
          <w:numId w:val="35"/>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8A1043">
      <w:pPr>
        <w:pStyle w:val="NormalWeb"/>
        <w:numPr>
          <w:ilvl w:val="0"/>
          <w:numId w:val="35"/>
        </w:numPr>
        <w:shd w:val="clear" w:color="auto" w:fill="FFFFFF"/>
        <w:spacing w:before="0" w:beforeAutospacing="0" w:after="300" w:afterAutospacing="0"/>
        <w:jc w:val="both"/>
      </w:pPr>
      <w:r w:rsidRPr="003E4446">
        <w:t xml:space="preserve">Clinical laboratory services </w:t>
      </w:r>
    </w:p>
    <w:p w14:paraId="5A041552" w14:textId="77777777" w:rsidR="002B09EB" w:rsidRPr="003E4446" w:rsidRDefault="008A1043" w:rsidP="002B09EB">
      <w:pPr>
        <w:pStyle w:val="NormalWeb"/>
        <w:numPr>
          <w:ilvl w:val="0"/>
          <w:numId w:val="35"/>
        </w:numPr>
        <w:shd w:val="clear" w:color="auto" w:fill="FFFFFF"/>
        <w:spacing w:before="0" w:beforeAutospacing="0" w:after="300" w:afterAutospacing="0"/>
        <w:jc w:val="both"/>
      </w:pPr>
      <w:r w:rsidRPr="003E4446">
        <w:t xml:space="preserve">Durable medical equipment suppliers </w:t>
      </w:r>
    </w:p>
    <w:p w14:paraId="3A9283EB" w14:textId="301CC025"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Status indicators used by CMS</w:t>
      </w:r>
    </w:p>
    <w:p w14:paraId="1BD35043" w14:textId="77777777" w:rsidR="002B09EB" w:rsidRPr="00040575" w:rsidRDefault="002B09EB" w:rsidP="002B09EB">
      <w:pPr>
        <w:pStyle w:val="ListParagraph"/>
        <w:numPr>
          <w:ilvl w:val="0"/>
          <w:numId w:val="38"/>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lastRenderedPageBreak/>
        <w:t>A </w:t>
      </w:r>
      <w:r w:rsidRPr="00040575">
        <w:rPr>
          <w:rFonts w:ascii="Times New Roman" w:eastAsia="Times New Roman" w:hAnsi="Times New Roman" w:cs="Times New Roman"/>
          <w:sz w:val="24"/>
          <w:szCs w:val="21"/>
        </w:rPr>
        <w:t>= </w:t>
      </w:r>
      <w:r w:rsidRPr="00040575">
        <w:rPr>
          <w:rFonts w:ascii="Times New Roman" w:eastAsia="Times New Roman" w:hAnsi="Times New Roman" w:cs="Times New Roman"/>
          <w:b/>
          <w:bCs/>
          <w:sz w:val="24"/>
          <w:szCs w:val="21"/>
        </w:rPr>
        <w:t>Active code</w:t>
      </w:r>
      <w:r w:rsidRPr="00040575">
        <w:rPr>
          <w:rFonts w:ascii="Times New Roman" w:eastAsia="Times New Roman" w:hAnsi="Times New Roman" w:cs="Times New Roman"/>
          <w:sz w:val="24"/>
          <w:szCs w:val="21"/>
        </w:rPr>
        <w:t>. These codes are separately paid under the physician fee schedule, if covered.</w:t>
      </w:r>
    </w:p>
    <w:p w14:paraId="14BAE69F" w14:textId="77777777" w:rsidR="002B09EB" w:rsidRPr="00040575" w:rsidRDefault="002B09EB" w:rsidP="002B09EB">
      <w:pPr>
        <w:pStyle w:val="ListParagraph"/>
        <w:numPr>
          <w:ilvl w:val="0"/>
          <w:numId w:val="38"/>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t>B </w:t>
      </w:r>
      <w:r w:rsidRPr="00040575">
        <w:rPr>
          <w:rFonts w:ascii="Times New Roman" w:eastAsia="Times New Roman" w:hAnsi="Times New Roman" w:cs="Times New Roman"/>
          <w:sz w:val="24"/>
          <w:szCs w:val="21"/>
        </w:rPr>
        <w:t>=</w:t>
      </w:r>
      <w:r w:rsidRPr="00040575">
        <w:rPr>
          <w:rFonts w:ascii="Times New Roman" w:eastAsia="Times New Roman" w:hAnsi="Times New Roman" w:cs="Times New Roman"/>
          <w:b/>
          <w:bCs/>
          <w:sz w:val="24"/>
          <w:szCs w:val="21"/>
        </w:rPr>
        <w:t> Bundled code</w:t>
      </w:r>
      <w:r w:rsidRPr="00040575">
        <w:rPr>
          <w:rFonts w:ascii="Times New Roman" w:eastAsia="Times New Roman" w:hAnsi="Times New Roman" w:cs="Times New Roman"/>
          <w:sz w:val="24"/>
          <w:szCs w:val="21"/>
        </w:rPr>
        <w:t>. Payment for covered services is always bundled into payment for other services not specified.</w:t>
      </w:r>
    </w:p>
    <w:p w14:paraId="612E11CA"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C </w:t>
      </w:r>
      <w:r w:rsidRPr="002B09EB">
        <w:rPr>
          <w:rFonts w:ascii="Times New Roman" w:eastAsia="Times New Roman" w:hAnsi="Times New Roman" w:cs="Times New Roman"/>
          <w:sz w:val="24"/>
          <w:szCs w:val="21"/>
        </w:rPr>
        <w:t>= </w:t>
      </w:r>
      <w:r w:rsidRPr="002B09EB">
        <w:rPr>
          <w:rFonts w:ascii="Times New Roman" w:eastAsia="Times New Roman" w:hAnsi="Times New Roman" w:cs="Times New Roman"/>
          <w:b/>
          <w:bCs/>
          <w:sz w:val="24"/>
          <w:szCs w:val="21"/>
        </w:rPr>
        <w:t>MACs priced code</w:t>
      </w:r>
      <w:r w:rsidRPr="002B09EB">
        <w:rPr>
          <w:rFonts w:ascii="Times New Roman" w:eastAsia="Times New Roman" w:hAnsi="Times New Roman" w:cs="Times New Roman"/>
          <w:sz w:val="24"/>
          <w:szCs w:val="21"/>
        </w:rPr>
        <w:t>. MACS will establish RVUs and payment amounts for these services, generally on an individual case-by-case basis following review of documentation such as an operative report.</w:t>
      </w:r>
    </w:p>
    <w:p w14:paraId="3F6D5CC8"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E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Excluded from physician fee schedule by regulation.</w:t>
      </w:r>
      <w:r w:rsidRPr="002B09EB">
        <w:rPr>
          <w:rFonts w:ascii="Times New Roman" w:eastAsia="Times New Roman" w:hAnsi="Times New Roman" w:cs="Times New Roman"/>
          <w:sz w:val="24"/>
          <w:szCs w:val="21"/>
        </w:rPr>
        <w:t> These codes are for items and/or services that CMS chose to exclude from the fee schedule payment by regulation.</w:t>
      </w:r>
    </w:p>
    <w:p w14:paraId="618D3BCC"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I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Not valid for Medicare purposes</w:t>
      </w:r>
      <w:r w:rsidRPr="002B09EB">
        <w:rPr>
          <w:rFonts w:ascii="Times New Roman" w:eastAsia="Times New Roman" w:hAnsi="Times New Roman" w:cs="Times New Roman"/>
          <w:sz w:val="24"/>
          <w:szCs w:val="21"/>
        </w:rPr>
        <w:t>. Medicare uses another code for reporting of, and payment for, these services. (Code is NOT subject to a 90-day grace period.)</w:t>
      </w:r>
    </w:p>
    <w:p w14:paraId="58738485"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M</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Measurement codes</w:t>
      </w:r>
      <w:r w:rsidRPr="002B09EB">
        <w:rPr>
          <w:rFonts w:ascii="Times New Roman" w:eastAsia="Times New Roman" w:hAnsi="Times New Roman" w:cs="Times New Roman"/>
          <w:sz w:val="24"/>
          <w:szCs w:val="21"/>
        </w:rPr>
        <w:t>. Used for reporting purposes only.</w:t>
      </w:r>
    </w:p>
    <w:p w14:paraId="62AFC751"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N</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Non-covered service</w:t>
      </w:r>
      <w:r w:rsidRPr="002B09EB">
        <w:rPr>
          <w:rFonts w:ascii="Times New Roman" w:eastAsia="Times New Roman" w:hAnsi="Times New Roman" w:cs="Times New Roman"/>
          <w:sz w:val="24"/>
          <w:szCs w:val="21"/>
        </w:rPr>
        <w:t>.</w:t>
      </w:r>
    </w:p>
    <w:p w14:paraId="0C7E68F0"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P</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Bundled/excluded codes</w:t>
      </w:r>
      <w:r w:rsidRPr="002B09EB">
        <w:rPr>
          <w:rFonts w:ascii="Times New Roman" w:eastAsia="Times New Roman" w:hAnsi="Times New Roman" w:cs="Times New Roman"/>
          <w:sz w:val="24"/>
          <w:szCs w:val="21"/>
        </w:rPr>
        <w:t>. There are no RVUs and no payment amounts for these services. No separate payment is made for them under the fee schedule.</w:t>
      </w:r>
    </w:p>
    <w:p w14:paraId="688C71FD"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R</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Restricted coverage</w:t>
      </w:r>
      <w:r w:rsidRPr="002B09EB">
        <w:rPr>
          <w:rFonts w:ascii="Times New Roman" w:eastAsia="Times New Roman" w:hAnsi="Times New Roman" w:cs="Times New Roman"/>
          <w:sz w:val="24"/>
          <w:szCs w:val="21"/>
        </w:rPr>
        <w:t>. Special coverage instructions apply.</w:t>
      </w:r>
    </w:p>
    <w:p w14:paraId="6EFDD697"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T</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Paid as only service</w:t>
      </w:r>
      <w:r w:rsidRPr="002B09EB">
        <w:rPr>
          <w:rFonts w:ascii="Times New Roman" w:eastAsia="Times New Roman" w:hAnsi="Times New Roman" w:cs="Times New Roman"/>
          <w:sz w:val="24"/>
          <w:szCs w:val="21"/>
        </w:rPr>
        <w:t>. These codes are paid only if there are no other services payable under the physician fee schedule billed on the same date by the same provider.</w:t>
      </w:r>
    </w:p>
    <w:p w14:paraId="1B1E5D56"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X</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Statutory exclusion</w:t>
      </w:r>
      <w:r w:rsidRPr="002B09EB">
        <w:rPr>
          <w:rFonts w:ascii="Times New Roman" w:eastAsia="Times New Roman" w:hAnsi="Times New Roman" w:cs="Times New Roman"/>
          <w:sz w:val="24"/>
          <w:szCs w:val="21"/>
        </w:rPr>
        <w:t>. These codes represent an item or service that is not in the statutory definition of ‘physician services’ for fee schedule payment purposes.</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The Centers for Medicare and Medicaid Services (CMS) is a federal agency that provides health insurance coverage to Americans via Medicare and works with state governments to provide insurance through Medicaid and </w:t>
      </w:r>
      <w:hyperlink r:id="rId49"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50"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lastRenderedPageBreak/>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040575" w:rsidRDefault="003E4446" w:rsidP="003E4446">
      <w:pPr>
        <w:pStyle w:val="ListParagraph"/>
        <w:numPr>
          <w:ilvl w:val="0"/>
          <w:numId w:val="40"/>
        </w:numPr>
        <w:spacing w:before="100" w:beforeAutospacing="1" w:after="100" w:afterAutospacing="1" w:line="240" w:lineRule="auto"/>
        <w:rPr>
          <w:rFonts w:ascii="Times New Roman" w:hAnsi="Times New Roman" w:cs="Times New Roman"/>
          <w:sz w:val="24"/>
          <w:szCs w:val="24"/>
          <w:shd w:val="clear" w:color="auto" w:fill="FFFFFF"/>
        </w:rPr>
      </w:pPr>
      <w:r w:rsidRPr="00040575">
        <w:rPr>
          <w:rFonts w:ascii="Times New Roman" w:hAnsi="Times New Roman" w:cs="Times New Roman"/>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77777777" w:rsidR="003E4446" w:rsidRPr="00040575"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3A4F1691" w14:textId="77777777" w:rsidR="003E4446" w:rsidRPr="00040575" w:rsidRDefault="003E4446" w:rsidP="008A1043">
      <w:pPr>
        <w:pStyle w:val="NormalWeb"/>
        <w:shd w:val="clear" w:color="auto" w:fill="FFFFFF"/>
        <w:spacing w:before="0" w:beforeAutospacing="0" w:after="300" w:afterAutospacing="0"/>
        <w:jc w:val="both"/>
      </w:pPr>
    </w:p>
    <w:sectPr w:rsidR="003E4446" w:rsidRPr="0004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4BB"/>
    <w:multiLevelType w:val="hybridMultilevel"/>
    <w:tmpl w:val="9B00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C5902"/>
    <w:multiLevelType w:val="hybridMultilevel"/>
    <w:tmpl w:val="D42C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B48A0"/>
    <w:multiLevelType w:val="hybridMultilevel"/>
    <w:tmpl w:val="B42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1607C"/>
    <w:multiLevelType w:val="hybridMultilevel"/>
    <w:tmpl w:val="A09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740AA"/>
    <w:multiLevelType w:val="multilevel"/>
    <w:tmpl w:val="D13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27526"/>
    <w:multiLevelType w:val="multilevel"/>
    <w:tmpl w:val="EC3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10ABD"/>
    <w:multiLevelType w:val="hybridMultilevel"/>
    <w:tmpl w:val="698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22362"/>
    <w:multiLevelType w:val="multilevel"/>
    <w:tmpl w:val="36F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310281">
    <w:abstractNumId w:val="22"/>
  </w:num>
  <w:num w:numId="2" w16cid:durableId="1237206076">
    <w:abstractNumId w:val="15"/>
  </w:num>
  <w:num w:numId="3" w16cid:durableId="9380559">
    <w:abstractNumId w:val="9"/>
  </w:num>
  <w:num w:numId="4" w16cid:durableId="1745640306">
    <w:abstractNumId w:val="14"/>
  </w:num>
  <w:num w:numId="5" w16cid:durableId="537855613">
    <w:abstractNumId w:val="28"/>
  </w:num>
  <w:num w:numId="6" w16cid:durableId="988291988">
    <w:abstractNumId w:val="40"/>
  </w:num>
  <w:num w:numId="7" w16cid:durableId="955453979">
    <w:abstractNumId w:val="3"/>
  </w:num>
  <w:num w:numId="8" w16cid:durableId="933316693">
    <w:abstractNumId w:val="20"/>
  </w:num>
  <w:num w:numId="9" w16cid:durableId="1590119683">
    <w:abstractNumId w:val="7"/>
  </w:num>
  <w:num w:numId="10" w16cid:durableId="1333752474">
    <w:abstractNumId w:val="11"/>
  </w:num>
  <w:num w:numId="11" w16cid:durableId="799224743">
    <w:abstractNumId w:val="38"/>
  </w:num>
  <w:num w:numId="12" w16cid:durableId="825825782">
    <w:abstractNumId w:val="36"/>
  </w:num>
  <w:num w:numId="13" w16cid:durableId="91166044">
    <w:abstractNumId w:val="5"/>
  </w:num>
  <w:num w:numId="14" w16cid:durableId="826477711">
    <w:abstractNumId w:val="25"/>
  </w:num>
  <w:num w:numId="15" w16cid:durableId="934366250">
    <w:abstractNumId w:val="18"/>
  </w:num>
  <w:num w:numId="16" w16cid:durableId="2011441688">
    <w:abstractNumId w:val="21"/>
  </w:num>
  <w:num w:numId="17" w16cid:durableId="388961642">
    <w:abstractNumId w:val="12"/>
  </w:num>
  <w:num w:numId="18" w16cid:durableId="1272935315">
    <w:abstractNumId w:val="32"/>
  </w:num>
  <w:num w:numId="19" w16cid:durableId="1618100300">
    <w:abstractNumId w:val="30"/>
  </w:num>
  <w:num w:numId="20" w16cid:durableId="1100488462">
    <w:abstractNumId w:val="17"/>
  </w:num>
  <w:num w:numId="21" w16cid:durableId="1391919907">
    <w:abstractNumId w:val="19"/>
  </w:num>
  <w:num w:numId="22" w16cid:durableId="1397781656">
    <w:abstractNumId w:val="2"/>
  </w:num>
  <w:num w:numId="23" w16cid:durableId="833109441">
    <w:abstractNumId w:val="27"/>
  </w:num>
  <w:num w:numId="24" w16cid:durableId="1712344696">
    <w:abstractNumId w:val="6"/>
  </w:num>
  <w:num w:numId="25" w16cid:durableId="86733889">
    <w:abstractNumId w:val="1"/>
  </w:num>
  <w:num w:numId="26" w16cid:durableId="1148548885">
    <w:abstractNumId w:val="29"/>
  </w:num>
  <w:num w:numId="27" w16cid:durableId="1069226669">
    <w:abstractNumId w:val="10"/>
  </w:num>
  <w:num w:numId="28" w16cid:durableId="171995074">
    <w:abstractNumId w:val="35"/>
  </w:num>
  <w:num w:numId="29" w16cid:durableId="1223492186">
    <w:abstractNumId w:val="8"/>
  </w:num>
  <w:num w:numId="30" w16cid:durableId="1717704315">
    <w:abstractNumId w:val="31"/>
  </w:num>
  <w:num w:numId="31" w16cid:durableId="172574533">
    <w:abstractNumId w:val="39"/>
  </w:num>
  <w:num w:numId="32" w16cid:durableId="894270741">
    <w:abstractNumId w:val="0"/>
  </w:num>
  <w:num w:numId="33" w16cid:durableId="1429615217">
    <w:abstractNumId w:val="13"/>
  </w:num>
  <w:num w:numId="34" w16cid:durableId="1709254442">
    <w:abstractNumId w:val="16"/>
  </w:num>
  <w:num w:numId="35" w16cid:durableId="253171938">
    <w:abstractNumId w:val="4"/>
  </w:num>
  <w:num w:numId="36" w16cid:durableId="907224703">
    <w:abstractNumId w:val="24"/>
  </w:num>
  <w:num w:numId="37" w16cid:durableId="1379664508">
    <w:abstractNumId w:val="26"/>
  </w:num>
  <w:num w:numId="38" w16cid:durableId="1224675829">
    <w:abstractNumId w:val="33"/>
  </w:num>
  <w:num w:numId="39" w16cid:durableId="640842419">
    <w:abstractNumId w:val="34"/>
  </w:num>
  <w:num w:numId="40" w16cid:durableId="246227700">
    <w:abstractNumId w:val="23"/>
  </w:num>
  <w:num w:numId="41" w16cid:durableId="446000478">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40575"/>
    <w:rsid w:val="00087E84"/>
    <w:rsid w:val="000961FC"/>
    <w:rsid w:val="000C2B1F"/>
    <w:rsid w:val="000D050A"/>
    <w:rsid w:val="000E0A6B"/>
    <w:rsid w:val="00147A9E"/>
    <w:rsid w:val="00171CF7"/>
    <w:rsid w:val="001B277D"/>
    <w:rsid w:val="00236DB1"/>
    <w:rsid w:val="00242030"/>
    <w:rsid w:val="00245675"/>
    <w:rsid w:val="00272C50"/>
    <w:rsid w:val="002812C4"/>
    <w:rsid w:val="002B09EB"/>
    <w:rsid w:val="00311C8C"/>
    <w:rsid w:val="003337B0"/>
    <w:rsid w:val="00344AF3"/>
    <w:rsid w:val="0034606C"/>
    <w:rsid w:val="003B3D81"/>
    <w:rsid w:val="003D31AE"/>
    <w:rsid w:val="003E4446"/>
    <w:rsid w:val="0041561B"/>
    <w:rsid w:val="00430D35"/>
    <w:rsid w:val="00441889"/>
    <w:rsid w:val="00452BE0"/>
    <w:rsid w:val="004B77BF"/>
    <w:rsid w:val="004E0BA0"/>
    <w:rsid w:val="00500A0C"/>
    <w:rsid w:val="00540EC8"/>
    <w:rsid w:val="00563791"/>
    <w:rsid w:val="005B7350"/>
    <w:rsid w:val="005B7A39"/>
    <w:rsid w:val="005E37D9"/>
    <w:rsid w:val="005E3A9B"/>
    <w:rsid w:val="005F6F3D"/>
    <w:rsid w:val="006010E4"/>
    <w:rsid w:val="00615649"/>
    <w:rsid w:val="00652C28"/>
    <w:rsid w:val="00654A75"/>
    <w:rsid w:val="006653EB"/>
    <w:rsid w:val="006B2CD0"/>
    <w:rsid w:val="006B6E50"/>
    <w:rsid w:val="006E4EA6"/>
    <w:rsid w:val="006E4EBA"/>
    <w:rsid w:val="006F46A3"/>
    <w:rsid w:val="006F7192"/>
    <w:rsid w:val="00700309"/>
    <w:rsid w:val="00760F68"/>
    <w:rsid w:val="00764C7D"/>
    <w:rsid w:val="00770028"/>
    <w:rsid w:val="007C31AD"/>
    <w:rsid w:val="007C4297"/>
    <w:rsid w:val="007E644F"/>
    <w:rsid w:val="00847AAD"/>
    <w:rsid w:val="008636CC"/>
    <w:rsid w:val="00876D6B"/>
    <w:rsid w:val="00892D1D"/>
    <w:rsid w:val="008A1043"/>
    <w:rsid w:val="008B0A4D"/>
    <w:rsid w:val="008C25CB"/>
    <w:rsid w:val="008C49A3"/>
    <w:rsid w:val="008E6DB3"/>
    <w:rsid w:val="00920D41"/>
    <w:rsid w:val="00934D30"/>
    <w:rsid w:val="00956850"/>
    <w:rsid w:val="009A1287"/>
    <w:rsid w:val="009A29AF"/>
    <w:rsid w:val="009C0D15"/>
    <w:rsid w:val="009C5CEF"/>
    <w:rsid w:val="009F0382"/>
    <w:rsid w:val="00A016B5"/>
    <w:rsid w:val="00A2722A"/>
    <w:rsid w:val="00A44F50"/>
    <w:rsid w:val="00A7638A"/>
    <w:rsid w:val="00AA1C0B"/>
    <w:rsid w:val="00AD19B4"/>
    <w:rsid w:val="00B132CF"/>
    <w:rsid w:val="00B2219E"/>
    <w:rsid w:val="00B51BEB"/>
    <w:rsid w:val="00B75E26"/>
    <w:rsid w:val="00B82DF8"/>
    <w:rsid w:val="00B9315D"/>
    <w:rsid w:val="00B9384F"/>
    <w:rsid w:val="00BA27EA"/>
    <w:rsid w:val="00BD4958"/>
    <w:rsid w:val="00BE4067"/>
    <w:rsid w:val="00BE7D19"/>
    <w:rsid w:val="00BF792C"/>
    <w:rsid w:val="00C13D88"/>
    <w:rsid w:val="00C25FCC"/>
    <w:rsid w:val="00C614C5"/>
    <w:rsid w:val="00C67345"/>
    <w:rsid w:val="00C82660"/>
    <w:rsid w:val="00C90620"/>
    <w:rsid w:val="00C94394"/>
    <w:rsid w:val="00CE50A1"/>
    <w:rsid w:val="00CF781E"/>
    <w:rsid w:val="00D32C02"/>
    <w:rsid w:val="00D825BC"/>
    <w:rsid w:val="00DB1584"/>
    <w:rsid w:val="00DB352A"/>
    <w:rsid w:val="00DE07EF"/>
    <w:rsid w:val="00DF7DA0"/>
    <w:rsid w:val="00E22312"/>
    <w:rsid w:val="00E42327"/>
    <w:rsid w:val="00E67412"/>
    <w:rsid w:val="00E82151"/>
    <w:rsid w:val="00E8684F"/>
    <w:rsid w:val="00E877D0"/>
    <w:rsid w:val="00E909E7"/>
    <w:rsid w:val="00E93F9B"/>
    <w:rsid w:val="00EE1910"/>
    <w:rsid w:val="00F15F5F"/>
    <w:rsid w:val="00F82420"/>
    <w:rsid w:val="00FA7522"/>
    <w:rsid w:val="00FD71A2"/>
    <w:rsid w:val="00FE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3" Type="http://schemas.openxmlformats.org/officeDocument/2006/relationships/styles" Target="styles.xm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8989-medical-billing-tips.html" TargetMode="External"/><Relationship Id="rId50" Type="http://schemas.openxmlformats.org/officeDocument/2006/relationships/hyperlink" Target="https://www.definitivehc.com/data-products/long-term-care-view" TargetMode="External"/><Relationship Id="rId7" Type="http://schemas.openxmlformats.org/officeDocument/2006/relationships/hyperlink" Target="https://www.techtarget.com/whatis/definition/hard-copy-printout" TargetMode="Externa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7-medical-claims-how-to.html"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0" Type="http://schemas.openxmlformats.org/officeDocument/2006/relationships/hyperlink" Target="https://www.aapc.com/codes/icd-10-codes-range/C00-D49" TargetMode="External"/><Relationship Id="rId29" Type="http://schemas.openxmlformats.org/officeDocument/2006/relationships/hyperlink" Target="https://www.aapc.com/codes/icd-10-codes-range/K00-K95" TargetMode="External"/><Relationship Id="rId41" Type="http://schemas.openxmlformats.org/officeDocument/2006/relationships/hyperlink" Target="https://sybridmd.com/services/medical-billing-services/"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www.businessnewsdaily.com/16233-claim-scrubber-benefits.html"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blog.definitivehc.com/the-childrens-health-insurance-program-chip-vs.-medicaid"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capminds.com/medical-billing" TargetMode="External"/><Relationship Id="rId8" Type="http://schemas.openxmlformats.org/officeDocument/2006/relationships/hyperlink" Target="https://www.hipaaguide.net/healthcare-data-breach-statistic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A847-26E9-49C0-8391-742A36C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31</Pages>
  <Words>9954</Words>
  <Characters>54752</Characters>
  <Application>Microsoft Office Word</Application>
  <DocSecurity>0</DocSecurity>
  <Lines>1244</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star zubi</cp:lastModifiedBy>
  <cp:revision>38</cp:revision>
  <dcterms:created xsi:type="dcterms:W3CDTF">2023-02-02T06:17:00Z</dcterms:created>
  <dcterms:modified xsi:type="dcterms:W3CDTF">2023-02-07T19:54:00Z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