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BD4958" w:rsidRDefault="00BE4067" w:rsidP="00A016B5">
      <w:pPr>
        <w:spacing w:line="276" w:lineRule="auto"/>
        <w:jc w:val="center"/>
        <w:rPr>
          <w:rFonts w:ascii="Times New Roman" w:eastAsia="Times New Roman" w:hAnsi="Times New Roman" w:cs="Times New Roman"/>
          <w:b/>
          <w:kern w:val="36"/>
          <w:sz w:val="36"/>
          <w:szCs w:val="48"/>
        </w:rPr>
      </w:pPr>
      <w:r w:rsidRPr="00BD4958">
        <w:rPr>
          <w:rFonts w:ascii="Times New Roman" w:eastAsia="Times New Roman" w:hAnsi="Times New Roman" w:cs="Times New Roman"/>
          <w:b/>
          <w:kern w:val="36"/>
          <w:sz w:val="36"/>
          <w:szCs w:val="48"/>
        </w:rPr>
        <w:t>Health Insurance Portability and Accountability Act (HIPAA)</w:t>
      </w:r>
    </w:p>
    <w:p w14:paraId="6619874B" w14:textId="77777777" w:rsidR="00BE4067" w:rsidRPr="00BD4958" w:rsidRDefault="00BE4067" w:rsidP="00A016B5">
      <w:pPr>
        <w:spacing w:line="276" w:lineRule="auto"/>
        <w:rPr>
          <w:rFonts w:ascii="Times New Roman" w:eastAsia="Times New Roman" w:hAnsi="Times New Roman" w:cs="Times New Roman"/>
          <w:kern w:val="36"/>
          <w:sz w:val="24"/>
        </w:rPr>
      </w:pPr>
      <w:r w:rsidRPr="00BD4958">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BD4958" w:rsidRDefault="00BE4067" w:rsidP="00A016B5">
      <w:pPr>
        <w:spacing w:line="276" w:lineRule="auto"/>
        <w:rPr>
          <w:rFonts w:ascii="Times New Roman" w:eastAsia="Times New Roman" w:hAnsi="Times New Roman" w:cs="Times New Roman"/>
          <w:kern w:val="36"/>
          <w:sz w:val="28"/>
        </w:rPr>
      </w:pPr>
      <w:r w:rsidRPr="00BD4958">
        <w:rPr>
          <w:rFonts w:ascii="Times New Roman" w:eastAsia="Times New Roman" w:hAnsi="Times New Roman" w:cs="Times New Roman"/>
          <w:b/>
          <w:kern w:val="36"/>
          <w:sz w:val="28"/>
        </w:rPr>
        <w:t>Primary Objectives of HIPAA</w:t>
      </w:r>
    </w:p>
    <w:p w14:paraId="42243556"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Assure health insurance portability by eliminating job-lock due to pre-existing medical conditions.</w:t>
      </w:r>
    </w:p>
    <w:p w14:paraId="021F002F"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Reduce healthcare fraud and abuse.</w:t>
      </w:r>
    </w:p>
    <w:p w14:paraId="7A56B9AD"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Enforce standards for health information.</w:t>
      </w:r>
    </w:p>
    <w:p w14:paraId="6C1E214D" w14:textId="77777777" w:rsidR="00BE4067" w:rsidRPr="00BD4958" w:rsidRDefault="00BE4067" w:rsidP="00A016B5">
      <w:pPr>
        <w:pStyle w:val="trt0xe"/>
        <w:numPr>
          <w:ilvl w:val="0"/>
          <w:numId w:val="2"/>
        </w:numPr>
        <w:shd w:val="clear" w:color="auto" w:fill="FFFFFF"/>
        <w:spacing w:before="0" w:beforeAutospacing="0" w:after="60" w:afterAutospacing="0" w:line="276" w:lineRule="auto"/>
      </w:pPr>
      <w:r w:rsidRPr="00BD4958">
        <w:t>Guarantee security and privacy of health information.</w:t>
      </w:r>
    </w:p>
    <w:p w14:paraId="5AF076B0" w14:textId="77777777" w:rsidR="00BE4067" w:rsidRPr="00BD4958" w:rsidRDefault="00BE4067" w:rsidP="00A016B5">
      <w:pPr>
        <w:pStyle w:val="trt0xe"/>
        <w:shd w:val="clear" w:color="auto" w:fill="FFFFFF"/>
        <w:spacing w:before="0" w:beforeAutospacing="0" w:after="60" w:afterAutospacing="0" w:line="276" w:lineRule="auto"/>
        <w:ind w:left="360"/>
      </w:pPr>
    </w:p>
    <w:p w14:paraId="5606378C" w14:textId="77777777" w:rsidR="00BE4067" w:rsidRPr="00BD4958" w:rsidRDefault="00BE4067" w:rsidP="00A016B5">
      <w:pPr>
        <w:spacing w:line="276" w:lineRule="auto"/>
        <w:rPr>
          <w:rFonts w:ascii="Times New Roman" w:eastAsia="Times New Roman" w:hAnsi="Times New Roman" w:cs="Times New Roman"/>
          <w:b/>
          <w:kern w:val="36"/>
          <w:sz w:val="28"/>
        </w:rPr>
      </w:pPr>
      <w:r w:rsidRPr="00BD4958">
        <w:rPr>
          <w:rFonts w:ascii="Times New Roman" w:eastAsia="Times New Roman" w:hAnsi="Times New Roman" w:cs="Times New Roman"/>
          <w:b/>
          <w:kern w:val="36"/>
          <w:sz w:val="28"/>
        </w:rPr>
        <w:t xml:space="preserve">What information is protected under HIPAA? </w:t>
      </w:r>
    </w:p>
    <w:p w14:paraId="478DC821" w14:textId="77777777" w:rsidR="00BE4067" w:rsidRPr="00BD4958" w:rsidRDefault="00BE4067" w:rsidP="00A016B5">
      <w:pPr>
        <w:pStyle w:val="NormalWeb"/>
        <w:shd w:val="clear" w:color="auto" w:fill="FFFFFF"/>
        <w:spacing w:before="120" w:beforeAutospacing="0" w:after="360" w:afterAutospacing="0" w:line="276" w:lineRule="auto"/>
      </w:pPr>
      <w:r w:rsidRPr="00BD4958">
        <w:t>The HIPAA Privacy Rule protects all individually identifiable health information that is held or transmitted by a covered entity. This information including </w:t>
      </w:r>
      <w:hyperlink r:id="rId6" w:history="1">
        <w:r w:rsidRPr="00BD4958">
          <w:rPr>
            <w:rStyle w:val="Hyperlink"/>
            <w:rFonts w:eastAsiaTheme="majorEastAsia"/>
            <w:color w:val="auto"/>
            <w:u w:val="none"/>
          </w:rPr>
          <w:t>digital</w:t>
        </w:r>
      </w:hyperlink>
      <w:r w:rsidRPr="00BD4958">
        <w:t>, </w:t>
      </w:r>
      <w:hyperlink r:id="rId7" w:history="1">
        <w:r w:rsidRPr="00BD4958">
          <w:rPr>
            <w:rStyle w:val="Hyperlink"/>
            <w:rFonts w:eastAsiaTheme="majorEastAsia"/>
            <w:color w:val="auto"/>
            <w:u w:val="none"/>
          </w:rPr>
          <w:t>paper</w:t>
        </w:r>
      </w:hyperlink>
      <w:r w:rsidRPr="00BD4958">
        <w:t> or oral.</w:t>
      </w:r>
    </w:p>
    <w:p w14:paraId="254384C3" w14:textId="5824CCCF" w:rsidR="00BE4067" w:rsidRPr="00BD4958" w:rsidRDefault="00BE4067" w:rsidP="00A016B5">
      <w:pPr>
        <w:pStyle w:val="NormalWeb"/>
        <w:shd w:val="clear" w:color="auto" w:fill="FFFFFF"/>
        <w:spacing w:before="360" w:beforeAutospacing="0" w:after="360" w:afterAutospacing="0" w:line="276" w:lineRule="auto"/>
      </w:pPr>
      <w:r w:rsidRPr="00BD4958">
        <w:t>PHI includes the following:</w:t>
      </w:r>
    </w:p>
    <w:p w14:paraId="2A490076" w14:textId="77777777" w:rsidR="00BE4067"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an individual's past, present or future physical or mental health condition;</w:t>
      </w:r>
    </w:p>
    <w:p w14:paraId="1416EC92" w14:textId="18833B16" w:rsidR="00BE4067"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any care provided to an individua</w:t>
      </w:r>
      <w:r w:rsidR="009C5CEF">
        <w:rPr>
          <w:rFonts w:ascii="Times New Roman" w:hAnsi="Times New Roman" w:cs="Times New Roman"/>
          <w:sz w:val="24"/>
          <w:szCs w:val="24"/>
        </w:rPr>
        <w:t>l</w:t>
      </w:r>
    </w:p>
    <w:p w14:paraId="436863C6" w14:textId="49961EC1" w:rsidR="00C82660" w:rsidRPr="00BD4958" w:rsidRDefault="00BE4067" w:rsidP="00A016B5">
      <w:pPr>
        <w:numPr>
          <w:ilvl w:val="0"/>
          <w:numId w:val="1"/>
        </w:numPr>
        <w:shd w:val="clear" w:color="auto" w:fill="FFFFFF"/>
        <w:spacing w:before="150" w:after="150" w:line="276" w:lineRule="auto"/>
        <w:ind w:left="375"/>
        <w:rPr>
          <w:rFonts w:ascii="Times New Roman" w:hAnsi="Times New Roman" w:cs="Times New Roman"/>
          <w:sz w:val="24"/>
          <w:szCs w:val="24"/>
        </w:rPr>
      </w:pPr>
      <w:r w:rsidRPr="00BD4958">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BD4958" w:rsidRDefault="00BE4067" w:rsidP="00A016B5">
      <w:pPr>
        <w:shd w:val="clear" w:color="auto" w:fill="FFFFFF"/>
        <w:spacing w:before="150" w:after="150" w:line="276" w:lineRule="auto"/>
        <w:ind w:left="15"/>
        <w:rPr>
          <w:rFonts w:ascii="Times New Roman" w:hAnsi="Times New Roman" w:cs="Times New Roman"/>
          <w:b/>
          <w:sz w:val="28"/>
          <w:szCs w:val="24"/>
        </w:rPr>
      </w:pPr>
      <w:r w:rsidRPr="00BD4958">
        <w:rPr>
          <w:rFonts w:ascii="Times New Roman" w:hAnsi="Times New Roman" w:cs="Times New Roman"/>
          <w:b/>
          <w:sz w:val="28"/>
          <w:szCs w:val="24"/>
        </w:rPr>
        <w:t>Common HIPAA Privacy Violations:</w:t>
      </w:r>
    </w:p>
    <w:p w14:paraId="7E91D4A5" w14:textId="77777777" w:rsidR="00BE4067" w:rsidRPr="00BD4958" w:rsidRDefault="00BE4067" w:rsidP="00A016B5">
      <w:pPr>
        <w:pStyle w:val="ListParagraph"/>
        <w:numPr>
          <w:ilvl w:val="0"/>
          <w:numId w:val="3"/>
        </w:numPr>
        <w:shd w:val="clear" w:color="auto" w:fill="FFFFFF"/>
        <w:spacing w:before="150" w:after="150" w:line="276" w:lineRule="auto"/>
        <w:rPr>
          <w:rFonts w:ascii="Times New Roman" w:hAnsi="Times New Roman" w:cs="Times New Roman"/>
          <w:sz w:val="24"/>
          <w:szCs w:val="24"/>
        </w:rPr>
      </w:pPr>
      <w:r w:rsidRPr="00BD4958">
        <w:rPr>
          <w:rFonts w:ascii="Times New Roman" w:hAnsi="Times New Roman" w:cs="Times New Roman"/>
          <w:sz w:val="24"/>
          <w:szCs w:val="24"/>
        </w:rPr>
        <w:t>Losing Devices</w:t>
      </w:r>
    </w:p>
    <w:p w14:paraId="15721DC0" w14:textId="1EC75308" w:rsidR="00BE4067" w:rsidRPr="00BD4958" w:rsidRDefault="00BE4067"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BD4958" w:rsidRDefault="00BE4067" w:rsidP="00A016B5">
      <w:pPr>
        <w:pStyle w:val="ListParagraph"/>
        <w:numPr>
          <w:ilvl w:val="0"/>
          <w:numId w:val="3"/>
        </w:numPr>
        <w:shd w:val="clear" w:color="auto" w:fill="FFFFFF"/>
        <w:spacing w:before="150" w:after="150" w:line="276" w:lineRule="auto"/>
        <w:rPr>
          <w:rFonts w:ascii="Times New Roman" w:hAnsi="Times New Roman" w:cs="Times New Roman"/>
          <w:sz w:val="24"/>
          <w:szCs w:val="24"/>
        </w:rPr>
      </w:pPr>
      <w:r w:rsidRPr="00BD4958">
        <w:rPr>
          <w:rFonts w:ascii="Times New Roman" w:hAnsi="Times New Roman" w:cs="Times New Roman"/>
          <w:sz w:val="24"/>
          <w:szCs w:val="24"/>
        </w:rPr>
        <w:t>Getting Hacked</w:t>
      </w:r>
    </w:p>
    <w:p w14:paraId="0DBB98B7" w14:textId="1E073C2E" w:rsidR="00BE4067" w:rsidRPr="00BD4958" w:rsidRDefault="00BE4067"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BD4958">
          <w:rPr>
            <w:rStyle w:val="Hyperlink"/>
            <w:rFonts w:ascii="Times New Roman" w:hAnsi="Times New Roman" w:cs="Times New Roman"/>
            <w:b/>
            <w:bCs/>
            <w:color w:val="auto"/>
            <w:sz w:val="24"/>
            <w:u w:val="none"/>
            <w:shd w:val="clear" w:color="auto" w:fill="FFFFFF"/>
          </w:rPr>
          <w:t>50 million individuals</w:t>
        </w:r>
      </w:hyperlink>
      <w:r w:rsidRPr="00BD4958">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BD4958" w:rsidRDefault="00FD71A2" w:rsidP="00A016B5">
      <w:pPr>
        <w:pStyle w:val="ListParagraph"/>
        <w:numPr>
          <w:ilvl w:val="0"/>
          <w:numId w:val="3"/>
        </w:numPr>
        <w:shd w:val="clear" w:color="auto" w:fill="FFFFFF"/>
        <w:spacing w:before="150" w:after="150" w:line="276" w:lineRule="auto"/>
        <w:rPr>
          <w:rFonts w:ascii="Times New Roman" w:hAnsi="Times New Roman" w:cs="Times New Roman"/>
          <w:sz w:val="24"/>
          <w:szCs w:val="24"/>
        </w:rPr>
      </w:pPr>
      <w:r w:rsidRPr="00BD4958">
        <w:rPr>
          <w:rFonts w:ascii="Times New Roman" w:hAnsi="Times New Roman" w:cs="Times New Roman"/>
          <w:sz w:val="24"/>
          <w:szCs w:val="24"/>
        </w:rPr>
        <w:lastRenderedPageBreak/>
        <w:t>Employee Dishonestly Accessing File</w:t>
      </w:r>
    </w:p>
    <w:p w14:paraId="2DF51A93" w14:textId="1FEEB30C" w:rsidR="00FD71A2" w:rsidRPr="00BD4958" w:rsidRDefault="00FD71A2"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BD4958" w:rsidRDefault="008C49A3" w:rsidP="00A016B5">
      <w:pPr>
        <w:shd w:val="clear" w:color="auto" w:fill="FFFFFF"/>
        <w:spacing w:before="150" w:after="150" w:line="276" w:lineRule="auto"/>
        <w:ind w:left="375"/>
        <w:rPr>
          <w:rFonts w:ascii="Times New Roman" w:hAnsi="Times New Roman" w:cs="Times New Roman"/>
          <w:sz w:val="24"/>
          <w:shd w:val="clear" w:color="auto" w:fill="FFFFFF"/>
        </w:rPr>
      </w:pPr>
    </w:p>
    <w:p w14:paraId="300234E5" w14:textId="6380D788" w:rsidR="008C49A3" w:rsidRPr="00BD4958" w:rsidRDefault="00452BE0" w:rsidP="00A016B5">
      <w:pPr>
        <w:shd w:val="clear" w:color="auto" w:fill="FFFFFF"/>
        <w:spacing w:before="150" w:after="150" w:line="276" w:lineRule="auto"/>
        <w:ind w:left="375"/>
        <w:jc w:val="center"/>
        <w:rPr>
          <w:rFonts w:ascii="Times New Roman" w:hAnsi="Times New Roman" w:cs="Times New Roman"/>
          <w:b/>
          <w:sz w:val="32"/>
          <w:shd w:val="clear" w:color="auto" w:fill="FFFFFF"/>
        </w:rPr>
      </w:pPr>
      <w:r w:rsidRPr="00BD4958">
        <w:rPr>
          <w:rFonts w:ascii="Times New Roman" w:hAnsi="Times New Roman" w:cs="Times New Roman"/>
          <w:b/>
          <w:sz w:val="32"/>
          <w:shd w:val="clear" w:color="auto" w:fill="FFFFFF"/>
        </w:rPr>
        <w:t>Health Care Plan Types</w:t>
      </w:r>
    </w:p>
    <w:p w14:paraId="60D958B7" w14:textId="4596A699" w:rsidR="00452BE0" w:rsidRPr="00BD4958" w:rsidRDefault="00452BE0" w:rsidP="00A016B5">
      <w:pPr>
        <w:shd w:val="clear" w:color="auto" w:fill="FFFFFF"/>
        <w:spacing w:before="150" w:after="150" w:line="276" w:lineRule="auto"/>
        <w:ind w:left="375"/>
        <w:rPr>
          <w:rFonts w:ascii="Times New Roman" w:hAnsi="Times New Roman" w:cs="Times New Roman"/>
          <w:sz w:val="24"/>
          <w:shd w:val="clear" w:color="auto" w:fill="FFFFFF"/>
        </w:rPr>
      </w:pPr>
      <w:r w:rsidRPr="00BD4958">
        <w:rPr>
          <w:rFonts w:ascii="Times New Roman" w:hAnsi="Times New Roman" w:cs="Times New Roman"/>
          <w:sz w:val="24"/>
          <w:shd w:val="clear" w:color="auto" w:fill="FFFFFF"/>
        </w:rPr>
        <w:t>Following are the different types of healthcare plans</w:t>
      </w:r>
    </w:p>
    <w:p w14:paraId="7582DE98" w14:textId="77777777" w:rsidR="00452BE0" w:rsidRPr="00BD4958" w:rsidRDefault="00452BE0" w:rsidP="00A016B5">
      <w:pPr>
        <w:pStyle w:val="ListParagraph"/>
        <w:numPr>
          <w:ilvl w:val="0"/>
          <w:numId w:val="4"/>
        </w:numPr>
        <w:shd w:val="clear" w:color="auto" w:fill="FFFFFF"/>
        <w:spacing w:before="150" w:after="150" w:line="276" w:lineRule="auto"/>
        <w:rPr>
          <w:rFonts w:ascii="Times New Roman" w:hAnsi="Times New Roman" w:cs="Times New Roman"/>
          <w:b/>
          <w:sz w:val="28"/>
          <w:shd w:val="clear" w:color="auto" w:fill="FFFFFF"/>
        </w:rPr>
      </w:pPr>
      <w:r w:rsidRPr="00BD4958">
        <w:rPr>
          <w:rFonts w:ascii="Times New Roman" w:hAnsi="Times New Roman" w:cs="Times New Roman"/>
          <w:b/>
          <w:sz w:val="28"/>
          <w:shd w:val="clear" w:color="auto" w:fill="FFFFFF"/>
        </w:rPr>
        <w:t>Health Maintenance Organization (HMO)</w:t>
      </w:r>
    </w:p>
    <w:p w14:paraId="7EBAC730" w14:textId="48D6DA56" w:rsidR="00452BE0" w:rsidRPr="00BD4958" w:rsidRDefault="00452BE0" w:rsidP="00A016B5">
      <w:pPr>
        <w:shd w:val="clear" w:color="auto" w:fill="FFFFFF"/>
        <w:spacing w:before="150" w:after="150" w:line="276" w:lineRule="auto"/>
        <w:ind w:left="360"/>
        <w:rPr>
          <w:rFonts w:ascii="Times New Roman" w:hAnsi="Times New Roman" w:cs="Times New Roman"/>
          <w:b/>
          <w:sz w:val="28"/>
          <w:shd w:val="clear" w:color="auto" w:fill="FFFFFF"/>
        </w:rPr>
      </w:pPr>
      <w:r w:rsidRPr="00BD4958">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BD4958" w:rsidRDefault="00452BE0" w:rsidP="00A016B5">
      <w:pPr>
        <w:numPr>
          <w:ilvl w:val="0"/>
          <w:numId w:val="5"/>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The least freedom to choose your health care providers</w:t>
      </w:r>
    </w:p>
    <w:p w14:paraId="4E249EFA" w14:textId="77777777" w:rsidR="00452BE0" w:rsidRPr="00BD4958" w:rsidRDefault="00452BE0" w:rsidP="00A016B5">
      <w:pPr>
        <w:numPr>
          <w:ilvl w:val="0"/>
          <w:numId w:val="5"/>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The least amount of paperwork compared to other plans</w:t>
      </w:r>
    </w:p>
    <w:p w14:paraId="6DF3CEDC" w14:textId="1A64D476" w:rsidR="00452BE0" w:rsidRPr="00BD4958" w:rsidRDefault="00452BE0" w:rsidP="00A016B5">
      <w:pPr>
        <w:numPr>
          <w:ilvl w:val="0"/>
          <w:numId w:val="5"/>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24"/>
        </w:rPr>
        <w:t>What doctors you can see. </w:t>
      </w:r>
      <w:r w:rsidRPr="00BD4958">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32"/>
        </w:rPr>
      </w:pPr>
      <w:r w:rsidRPr="00BD4958">
        <w:rPr>
          <w:rStyle w:val="Strong"/>
          <w:rFonts w:ascii="Times New Roman" w:hAnsi="Times New Roman" w:cs="Times New Roman"/>
          <w:spacing w:val="-4"/>
          <w:sz w:val="24"/>
          <w:szCs w:val="32"/>
        </w:rPr>
        <w:t>Paperwork involved.</w:t>
      </w:r>
      <w:r w:rsidRPr="00BD4958">
        <w:rPr>
          <w:rFonts w:ascii="Times New Roman" w:hAnsi="Times New Roman" w:cs="Times New Roman"/>
          <w:spacing w:val="-4"/>
          <w:sz w:val="24"/>
          <w:szCs w:val="32"/>
        </w:rPr>
        <w:t> There are no claim forms to fill out.</w:t>
      </w:r>
    </w:p>
    <w:p w14:paraId="34B38664" w14:textId="4FF8BB94" w:rsidR="00452BE0" w:rsidRPr="00BD4958" w:rsidRDefault="00452BE0" w:rsidP="00A016B5">
      <w:pPr>
        <w:pStyle w:val="ListParagraph"/>
        <w:numPr>
          <w:ilvl w:val="0"/>
          <w:numId w:val="4"/>
        </w:numPr>
        <w:spacing w:before="100" w:beforeAutospacing="1" w:after="100" w:afterAutospacing="1" w:line="276"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Preferred Provider Organization (PPO)</w:t>
      </w:r>
    </w:p>
    <w:p w14:paraId="441E9B79" w14:textId="77777777" w:rsidR="00452BE0" w:rsidRPr="00BD4958" w:rsidRDefault="00452BE0" w:rsidP="00A016B5">
      <w:pPr>
        <w:spacing w:after="172" w:line="276" w:lineRule="auto"/>
        <w:ind w:firstLine="360"/>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With a PPO, you may have:</w:t>
      </w:r>
    </w:p>
    <w:p w14:paraId="653F43D3" w14:textId="77777777" w:rsidR="00452BE0" w:rsidRPr="00BD4958" w:rsidRDefault="00452BE0" w:rsidP="00A016B5">
      <w:pPr>
        <w:numPr>
          <w:ilvl w:val="0"/>
          <w:numId w:val="6"/>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BD4958" w:rsidRDefault="00452BE0" w:rsidP="00A016B5">
      <w:pPr>
        <w:numPr>
          <w:ilvl w:val="0"/>
          <w:numId w:val="6"/>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BD4958" w:rsidRDefault="00452BE0" w:rsidP="00A016B5">
      <w:pPr>
        <w:numPr>
          <w:ilvl w:val="0"/>
          <w:numId w:val="6"/>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24"/>
        </w:rPr>
        <w:t>What doctors you can see. </w:t>
      </w:r>
      <w:r w:rsidRPr="00BD4958">
        <w:rPr>
          <w:rFonts w:ascii="Times New Roman" w:hAnsi="Times New Roman" w:cs="Times New Roman"/>
          <w:spacing w:val="-4"/>
          <w:sz w:val="24"/>
          <w:szCs w:val="24"/>
        </w:rPr>
        <w:t>Any in the PPO's network; you can see out-of-network doctors, but you'll pay more.</w:t>
      </w:r>
    </w:p>
    <w:p w14:paraId="771706AD" w14:textId="58AE348C"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32"/>
        </w:rPr>
        <w:lastRenderedPageBreak/>
        <w:t>Paperwork involved. </w:t>
      </w:r>
      <w:r w:rsidRPr="00BD4958">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BD4958" w:rsidRDefault="00452BE0" w:rsidP="00A016B5">
      <w:pPr>
        <w:pStyle w:val="ListParagraph"/>
        <w:numPr>
          <w:ilvl w:val="0"/>
          <w:numId w:val="4"/>
        </w:numPr>
        <w:spacing w:before="100" w:beforeAutospacing="1" w:after="100" w:afterAutospacing="1" w:line="276"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Exclusive Provider Organization (EPO)</w:t>
      </w:r>
    </w:p>
    <w:p w14:paraId="42C238D2" w14:textId="77777777" w:rsidR="00452BE0" w:rsidRPr="00BD4958" w:rsidRDefault="00452BE0" w:rsidP="00A016B5">
      <w:pPr>
        <w:spacing w:after="172" w:line="276" w:lineRule="auto"/>
        <w:ind w:firstLine="360"/>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With an EPO, you may have:</w:t>
      </w:r>
    </w:p>
    <w:p w14:paraId="300AB179" w14:textId="77777777" w:rsidR="00452BE0" w:rsidRPr="00BD4958" w:rsidRDefault="00452BE0" w:rsidP="00A016B5">
      <w:pPr>
        <w:numPr>
          <w:ilvl w:val="0"/>
          <w:numId w:val="7"/>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BD4958" w:rsidRDefault="00452BE0" w:rsidP="00A016B5">
      <w:pPr>
        <w:numPr>
          <w:ilvl w:val="0"/>
          <w:numId w:val="7"/>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BD4958" w:rsidRDefault="00452BE0" w:rsidP="00A016B5">
      <w:pPr>
        <w:numPr>
          <w:ilvl w:val="0"/>
          <w:numId w:val="7"/>
        </w:numPr>
        <w:spacing w:before="100" w:beforeAutospacing="1" w:after="100" w:afterAutospacing="1" w:line="276"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Lower premium than a PPO offered by the same insurer</w:t>
      </w:r>
    </w:p>
    <w:p w14:paraId="2FFA6C88" w14:textId="73A64560"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24"/>
          <w:szCs w:val="24"/>
        </w:rPr>
      </w:pPr>
      <w:r w:rsidRPr="00BD4958">
        <w:rPr>
          <w:rStyle w:val="Strong"/>
          <w:rFonts w:ascii="Times New Roman" w:hAnsi="Times New Roman" w:cs="Times New Roman"/>
          <w:spacing w:val="-4"/>
          <w:sz w:val="24"/>
          <w:szCs w:val="24"/>
        </w:rPr>
        <w:t>What doctors you can see. </w:t>
      </w:r>
      <w:r w:rsidRPr="00BD4958">
        <w:rPr>
          <w:rFonts w:ascii="Times New Roman" w:hAnsi="Times New Roman" w:cs="Times New Roman"/>
          <w:spacing w:val="-4"/>
          <w:sz w:val="24"/>
          <w:szCs w:val="24"/>
        </w:rPr>
        <w:t>Any in the EPO's network; there is no coverage for out-of-network providers.</w:t>
      </w:r>
    </w:p>
    <w:p w14:paraId="4CC077F9" w14:textId="76B1D69B" w:rsidR="00452BE0" w:rsidRPr="00BD4958" w:rsidRDefault="00452BE0" w:rsidP="00A016B5">
      <w:pPr>
        <w:spacing w:before="100" w:beforeAutospacing="1" w:after="100" w:afterAutospacing="1" w:line="276" w:lineRule="auto"/>
        <w:ind w:left="360"/>
        <w:rPr>
          <w:rFonts w:ascii="Times New Roman" w:hAnsi="Times New Roman" w:cs="Times New Roman"/>
          <w:spacing w:val="-4"/>
          <w:sz w:val="32"/>
          <w:szCs w:val="32"/>
        </w:rPr>
      </w:pPr>
      <w:r w:rsidRPr="00BD4958">
        <w:rPr>
          <w:rStyle w:val="Strong"/>
          <w:rFonts w:ascii="Times New Roman" w:hAnsi="Times New Roman" w:cs="Times New Roman"/>
          <w:spacing w:val="-4"/>
          <w:sz w:val="24"/>
          <w:szCs w:val="24"/>
        </w:rPr>
        <w:t>Paperwork involved. </w:t>
      </w:r>
      <w:r w:rsidRPr="00BD4958">
        <w:rPr>
          <w:rFonts w:ascii="Times New Roman" w:hAnsi="Times New Roman" w:cs="Times New Roman"/>
          <w:spacing w:val="-4"/>
          <w:sz w:val="24"/>
          <w:szCs w:val="24"/>
        </w:rPr>
        <w:t>There's little to no paperwork with an EPO</w:t>
      </w:r>
      <w:r w:rsidRPr="00BD4958">
        <w:rPr>
          <w:rFonts w:ascii="Times New Roman" w:hAnsi="Times New Roman" w:cs="Times New Roman"/>
          <w:spacing w:val="-4"/>
          <w:sz w:val="32"/>
          <w:szCs w:val="32"/>
        </w:rPr>
        <w:t>.</w:t>
      </w:r>
    </w:p>
    <w:p w14:paraId="1F82F7D7" w14:textId="2311D015" w:rsidR="00A016B5" w:rsidRPr="00BD4958" w:rsidRDefault="00A016B5" w:rsidP="00A016B5">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BD4958">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BD4958"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BD4958" w:rsidRDefault="00A016B5">
            <w:pPr>
              <w:jc w:val="center"/>
              <w:rPr>
                <w:rFonts w:ascii="Times New Roman" w:hAnsi="Times New Roman" w:cs="Times New Roman"/>
                <w:b/>
                <w:bCs/>
                <w:sz w:val="24"/>
              </w:rPr>
            </w:pPr>
            <w:r w:rsidRPr="00BD4958">
              <w:rPr>
                <w:rFonts w:ascii="Times New Roman" w:hAnsi="Times New Roman" w:cs="Times New Roman"/>
                <w:b/>
                <w:bCs/>
                <w:sz w:val="24"/>
              </w:rPr>
              <w:t>EPO</w:t>
            </w:r>
          </w:p>
        </w:tc>
      </w:tr>
      <w:tr w:rsidR="00A016B5" w:rsidRPr="00BD4958"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BD4958" w:rsidRDefault="00FE5223" w:rsidP="00A016B5">
            <w:pPr>
              <w:rPr>
                <w:rFonts w:ascii="Times New Roman" w:hAnsi="Times New Roman" w:cs="Times New Roman"/>
              </w:rPr>
            </w:pPr>
            <w:hyperlink r:id="rId9" w:anchor="network" w:history="1">
              <w:r w:rsidR="00A016B5" w:rsidRPr="00BD4958">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BD4958" w:rsidRDefault="00A016B5" w:rsidP="00A016B5">
            <w:pPr>
              <w:rPr>
                <w:rFonts w:ascii="Times New Roman" w:hAnsi="Times New Roman" w:cs="Times New Roman"/>
              </w:rPr>
            </w:pPr>
            <w:r w:rsidRPr="00BD4958">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BD4958" w:rsidRDefault="00A016B5" w:rsidP="00A016B5">
            <w:pPr>
              <w:rPr>
                <w:rFonts w:ascii="Times New Roman" w:hAnsi="Times New Roman" w:cs="Times New Roman"/>
              </w:rPr>
            </w:pPr>
            <w:r w:rsidRPr="00BD4958">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BD4958" w:rsidRDefault="00A016B5" w:rsidP="00A016B5">
            <w:pPr>
              <w:rPr>
                <w:rFonts w:ascii="Times New Roman" w:hAnsi="Times New Roman" w:cs="Times New Roman"/>
              </w:rPr>
            </w:pPr>
            <w:r w:rsidRPr="00BD4958">
              <w:rPr>
                <w:rFonts w:ascii="Times New Roman" w:hAnsi="Times New Roman" w:cs="Times New Roman"/>
              </w:rPr>
              <w:t>You get covered care from the doctors, hospitals, and other providers in your plan's network.</w:t>
            </w:r>
          </w:p>
        </w:tc>
      </w:tr>
      <w:tr w:rsidR="00A016B5" w:rsidRPr="00BD4958"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BD4958" w:rsidRDefault="00A016B5" w:rsidP="00A016B5">
            <w:pPr>
              <w:rPr>
                <w:rFonts w:ascii="Times New Roman" w:hAnsi="Times New Roman" w:cs="Times New Roman"/>
              </w:rPr>
            </w:pPr>
            <w:r w:rsidRPr="00BD4958">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BD4958" w:rsidRDefault="00A016B5" w:rsidP="00A016B5">
            <w:pPr>
              <w:rPr>
                <w:rFonts w:ascii="Times New Roman" w:hAnsi="Times New Roman" w:cs="Times New Roman"/>
              </w:rPr>
            </w:pPr>
            <w:r w:rsidRPr="00BD4958">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BD4958" w:rsidRDefault="00A016B5" w:rsidP="00A016B5">
            <w:pPr>
              <w:rPr>
                <w:rFonts w:ascii="Times New Roman" w:hAnsi="Times New Roman" w:cs="Times New Roman"/>
              </w:rPr>
            </w:pPr>
            <w:r w:rsidRPr="00BD4958">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BD4958" w:rsidRDefault="00A016B5" w:rsidP="00A016B5">
            <w:pPr>
              <w:rPr>
                <w:rFonts w:ascii="Times New Roman" w:hAnsi="Times New Roman" w:cs="Times New Roman"/>
              </w:rPr>
            </w:pPr>
            <w:r w:rsidRPr="00BD4958">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BD4958"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BD4958" w:rsidRDefault="00FE5223" w:rsidP="00A016B5">
            <w:pPr>
              <w:rPr>
                <w:rFonts w:ascii="Times New Roman" w:hAnsi="Times New Roman" w:cs="Times New Roman"/>
              </w:rPr>
            </w:pPr>
            <w:hyperlink r:id="rId10" w:anchor="primecarephy" w:history="1">
              <w:r w:rsidR="00A016B5" w:rsidRPr="00BD4958">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BD4958" w:rsidRDefault="00A016B5" w:rsidP="00A016B5">
            <w:pPr>
              <w:rPr>
                <w:rFonts w:ascii="Times New Roman" w:hAnsi="Times New Roman" w:cs="Times New Roman"/>
              </w:rPr>
            </w:pPr>
            <w:r w:rsidRPr="00BD4958">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BD4958" w:rsidRDefault="00A016B5" w:rsidP="00A016B5">
            <w:pPr>
              <w:rPr>
                <w:rFonts w:ascii="Times New Roman" w:hAnsi="Times New Roman" w:cs="Times New Roman"/>
              </w:rPr>
            </w:pPr>
            <w:r w:rsidRPr="00BD4958">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BD4958" w:rsidRDefault="00A016B5" w:rsidP="00A016B5">
            <w:pPr>
              <w:rPr>
                <w:rFonts w:ascii="Times New Roman" w:hAnsi="Times New Roman" w:cs="Times New Roman"/>
              </w:rPr>
            </w:pPr>
            <w:r w:rsidRPr="00BD4958">
              <w:rPr>
                <w:rFonts w:ascii="Times New Roman" w:hAnsi="Times New Roman" w:cs="Times New Roman"/>
              </w:rPr>
              <w:t>You may not have to use a primary care doctor.</w:t>
            </w:r>
          </w:p>
        </w:tc>
      </w:tr>
      <w:tr w:rsidR="00A016B5" w:rsidRPr="00BD4958"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BD4958" w:rsidRDefault="00A016B5" w:rsidP="00A016B5">
            <w:pPr>
              <w:rPr>
                <w:rFonts w:ascii="Times New Roman" w:hAnsi="Times New Roman" w:cs="Times New Roman"/>
              </w:rPr>
            </w:pPr>
            <w:r w:rsidRPr="00BD4958">
              <w:rPr>
                <w:rFonts w:ascii="Times New Roman" w:hAnsi="Times New Roman" w:cs="Times New Roman"/>
              </w:rPr>
              <w:lastRenderedPageBreak/>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BD4958" w:rsidRDefault="00A016B5" w:rsidP="00A016B5">
            <w:pPr>
              <w:rPr>
                <w:rFonts w:ascii="Times New Roman" w:hAnsi="Times New Roman" w:cs="Times New Roman"/>
              </w:rPr>
            </w:pPr>
            <w:r w:rsidRPr="00BD4958">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BD4958" w:rsidRDefault="00A016B5" w:rsidP="00A016B5">
            <w:pPr>
              <w:rPr>
                <w:rFonts w:ascii="Times New Roman" w:hAnsi="Times New Roman" w:cs="Times New Roman"/>
              </w:rPr>
            </w:pPr>
            <w:r w:rsidRPr="00BD4958">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BD4958" w:rsidRDefault="00A016B5" w:rsidP="00A016B5">
            <w:pPr>
              <w:rPr>
                <w:rFonts w:ascii="Times New Roman" w:hAnsi="Times New Roman" w:cs="Times New Roman"/>
              </w:rPr>
            </w:pPr>
            <w:r w:rsidRPr="00BD4958">
              <w:rPr>
                <w:rFonts w:ascii="Times New Roman" w:hAnsi="Times New Roman" w:cs="Times New Roman"/>
              </w:rPr>
              <w:t>You do not need to get referrals to see specialists if they are in the EPO's network.</w:t>
            </w:r>
          </w:p>
        </w:tc>
      </w:tr>
      <w:tr w:rsidR="00A016B5" w:rsidRPr="00BD4958"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BD4958" w:rsidRDefault="00FE5223" w:rsidP="00A016B5">
            <w:pPr>
              <w:rPr>
                <w:rFonts w:ascii="Times New Roman" w:hAnsi="Times New Roman" w:cs="Times New Roman"/>
              </w:rPr>
            </w:pPr>
            <w:hyperlink r:id="rId11" w:anchor="preauth" w:history="1">
              <w:r w:rsidR="00A016B5" w:rsidRPr="00BD4958">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BD4958" w:rsidRDefault="00A016B5" w:rsidP="00A016B5">
            <w:pPr>
              <w:rPr>
                <w:rFonts w:ascii="Times New Roman" w:hAnsi="Times New Roman" w:cs="Times New Roman"/>
              </w:rPr>
            </w:pPr>
            <w:r w:rsidRPr="00BD4958">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BD4958" w:rsidRDefault="00A016B5" w:rsidP="00A016B5">
            <w:pPr>
              <w:rPr>
                <w:rFonts w:ascii="Times New Roman" w:hAnsi="Times New Roman" w:cs="Times New Roman"/>
              </w:rPr>
            </w:pPr>
            <w:r w:rsidRPr="00BD4958">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BD4958" w:rsidRDefault="00A016B5" w:rsidP="00A016B5">
            <w:pPr>
              <w:rPr>
                <w:rFonts w:ascii="Times New Roman" w:hAnsi="Times New Roman" w:cs="Times New Roman"/>
              </w:rPr>
            </w:pPr>
            <w:r w:rsidRPr="00BD4958">
              <w:rPr>
                <w:rFonts w:ascii="Times New Roman" w:hAnsi="Times New Roman" w:cs="Times New Roman"/>
              </w:rPr>
              <w:t>You will need pre-approval from your health plan before you can get any services.</w:t>
            </w:r>
          </w:p>
        </w:tc>
      </w:tr>
      <w:tr w:rsidR="00A016B5" w:rsidRPr="00BD4958"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BD4958" w:rsidRDefault="00FE5223" w:rsidP="00A016B5">
            <w:pPr>
              <w:rPr>
                <w:rFonts w:ascii="Times New Roman" w:hAnsi="Times New Roman" w:cs="Times New Roman"/>
              </w:rPr>
            </w:pPr>
            <w:hyperlink r:id="rId12" w:history="1">
              <w:r w:rsidR="00A016B5" w:rsidRPr="00BD4958">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BD4958" w:rsidRDefault="00A016B5" w:rsidP="00A016B5">
            <w:pPr>
              <w:pStyle w:val="NormalWeb"/>
              <w:spacing w:before="0" w:beforeAutospacing="0" w:after="0" w:afterAutospacing="0"/>
              <w:rPr>
                <w:sz w:val="22"/>
                <w:szCs w:val="22"/>
              </w:rPr>
            </w:pPr>
            <w:r w:rsidRPr="00BD4958">
              <w:rPr>
                <w:sz w:val="22"/>
                <w:szCs w:val="22"/>
              </w:rPr>
              <w:t>You are less likely to have a yearly deductible.</w:t>
            </w:r>
          </w:p>
          <w:p w14:paraId="638C5114" w14:textId="79753F65" w:rsidR="00A016B5" w:rsidRPr="00BD4958" w:rsidRDefault="00A016B5" w:rsidP="00A016B5">
            <w:pPr>
              <w:pStyle w:val="NormalWeb"/>
              <w:spacing w:before="0" w:beforeAutospacing="0" w:after="0" w:afterAutospacing="0"/>
              <w:rPr>
                <w:sz w:val="22"/>
                <w:szCs w:val="22"/>
              </w:rPr>
            </w:pPr>
            <w:r w:rsidRPr="00BD4958">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BD4958" w:rsidRDefault="00A016B5" w:rsidP="00A016B5">
            <w:pPr>
              <w:pStyle w:val="NormalWeb"/>
              <w:spacing w:before="0" w:beforeAutospacing="0" w:after="0" w:afterAutospacing="0"/>
              <w:rPr>
                <w:sz w:val="22"/>
                <w:szCs w:val="22"/>
              </w:rPr>
            </w:pPr>
            <w:r w:rsidRPr="00BD4958">
              <w:rPr>
                <w:sz w:val="22"/>
                <w:szCs w:val="22"/>
              </w:rPr>
              <w:t>You may have a yearly </w:t>
            </w:r>
            <w:hyperlink r:id="rId13" w:anchor="deduct" w:history="1">
              <w:r w:rsidRPr="00BD4958">
                <w:rPr>
                  <w:rStyle w:val="Hyperlink"/>
                  <w:color w:val="auto"/>
                  <w:sz w:val="22"/>
                  <w:szCs w:val="22"/>
                  <w:u w:val="none"/>
                </w:rPr>
                <w:t>deductible</w:t>
              </w:r>
            </w:hyperlink>
            <w:r w:rsidRPr="00BD4958">
              <w:rPr>
                <w:sz w:val="22"/>
                <w:szCs w:val="22"/>
              </w:rPr>
              <w:t>.</w:t>
            </w:r>
          </w:p>
          <w:p w14:paraId="47534999" w14:textId="77777777" w:rsidR="00A016B5" w:rsidRPr="00BD4958" w:rsidRDefault="00A016B5" w:rsidP="00A016B5">
            <w:pPr>
              <w:pStyle w:val="NormalWeb"/>
              <w:spacing w:before="0" w:beforeAutospacing="0" w:after="0" w:afterAutospacing="0"/>
              <w:rPr>
                <w:sz w:val="22"/>
                <w:szCs w:val="22"/>
              </w:rPr>
            </w:pPr>
            <w:r w:rsidRPr="00BD4958">
              <w:rPr>
                <w:sz w:val="22"/>
                <w:szCs w:val="22"/>
              </w:rPr>
              <w:t>You may also have deductibles for hospital care and prescription drugs.</w:t>
            </w:r>
          </w:p>
          <w:p w14:paraId="6B356E98" w14:textId="613B4DB1" w:rsidR="00A016B5" w:rsidRPr="00BD4958" w:rsidRDefault="00A016B5" w:rsidP="00A016B5">
            <w:pPr>
              <w:pStyle w:val="NormalWeb"/>
              <w:spacing w:before="0" w:beforeAutospacing="0" w:after="0" w:afterAutospacing="0"/>
              <w:rPr>
                <w:sz w:val="22"/>
                <w:szCs w:val="22"/>
              </w:rPr>
            </w:pPr>
            <w:r w:rsidRPr="00BD4958">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BD4958" w:rsidRDefault="00A016B5" w:rsidP="00A016B5">
            <w:pPr>
              <w:pStyle w:val="NormalWeb"/>
              <w:spacing w:before="0" w:beforeAutospacing="0" w:after="0" w:afterAutospacing="0"/>
              <w:rPr>
                <w:sz w:val="22"/>
                <w:szCs w:val="22"/>
              </w:rPr>
            </w:pPr>
            <w:r w:rsidRPr="00BD4958">
              <w:rPr>
                <w:sz w:val="22"/>
                <w:szCs w:val="22"/>
              </w:rPr>
              <w:t>You are likely to have higher </w:t>
            </w:r>
            <w:hyperlink r:id="rId14" w:anchor="ooplimit" w:history="1">
              <w:r w:rsidRPr="00BD4958">
                <w:rPr>
                  <w:rStyle w:val="Hyperlink"/>
                  <w:color w:val="auto"/>
                  <w:sz w:val="22"/>
                  <w:szCs w:val="22"/>
                  <w:u w:val="none"/>
                </w:rPr>
                <w:t>out-of-pocket</w:t>
              </w:r>
            </w:hyperlink>
            <w:r w:rsidRPr="00BD4958">
              <w:rPr>
                <w:sz w:val="22"/>
                <w:szCs w:val="22"/>
              </w:rPr>
              <w:t> expenses.</w:t>
            </w:r>
          </w:p>
          <w:p w14:paraId="5A21EAB8" w14:textId="77777777" w:rsidR="00A016B5" w:rsidRPr="00BD4958" w:rsidRDefault="00A016B5" w:rsidP="00A016B5">
            <w:pPr>
              <w:pStyle w:val="NormalWeb"/>
              <w:spacing w:before="0" w:beforeAutospacing="0" w:after="0" w:afterAutospacing="0"/>
              <w:rPr>
                <w:sz w:val="22"/>
                <w:szCs w:val="22"/>
              </w:rPr>
            </w:pPr>
            <w:r w:rsidRPr="00BD4958">
              <w:rPr>
                <w:sz w:val="22"/>
                <w:szCs w:val="22"/>
              </w:rPr>
              <w:t>You are less likely to have a yearly deductible.</w:t>
            </w:r>
          </w:p>
          <w:p w14:paraId="741554EA" w14:textId="623673DA" w:rsidR="00A016B5" w:rsidRPr="00BD4958" w:rsidRDefault="00A016B5" w:rsidP="00A016B5">
            <w:pPr>
              <w:pStyle w:val="NormalWeb"/>
              <w:spacing w:before="0" w:beforeAutospacing="0" w:after="0" w:afterAutospacing="0"/>
              <w:rPr>
                <w:sz w:val="22"/>
                <w:szCs w:val="22"/>
              </w:rPr>
            </w:pPr>
            <w:r w:rsidRPr="00BD4958">
              <w:rPr>
                <w:sz w:val="22"/>
                <w:szCs w:val="22"/>
              </w:rPr>
              <w:t>You usually pay a </w:t>
            </w:r>
            <w:hyperlink r:id="rId15" w:anchor="copay" w:history="1">
              <w:r w:rsidRPr="00BD4958">
                <w:rPr>
                  <w:rStyle w:val="Hyperlink"/>
                  <w:color w:val="auto"/>
                  <w:sz w:val="22"/>
                  <w:szCs w:val="22"/>
                  <w:u w:val="none"/>
                </w:rPr>
                <w:t>co-pay</w:t>
              </w:r>
            </w:hyperlink>
            <w:r w:rsidRPr="00BD4958">
              <w:rPr>
                <w:sz w:val="22"/>
                <w:szCs w:val="22"/>
              </w:rPr>
              <w:t> or flat fee for most services.</w:t>
            </w:r>
          </w:p>
        </w:tc>
      </w:tr>
    </w:tbl>
    <w:p w14:paraId="7CFF0349" w14:textId="6FB94971" w:rsidR="00452BE0" w:rsidRPr="00BD4958" w:rsidRDefault="00452BE0" w:rsidP="00A016B5">
      <w:pPr>
        <w:shd w:val="clear" w:color="auto" w:fill="FFFFFF"/>
        <w:spacing w:before="150" w:after="150" w:line="276" w:lineRule="auto"/>
        <w:rPr>
          <w:rFonts w:ascii="Times New Roman" w:hAnsi="Times New Roman" w:cs="Times New Roman"/>
          <w:b/>
          <w:sz w:val="28"/>
          <w:shd w:val="clear" w:color="auto" w:fill="FFFFFF"/>
        </w:rPr>
      </w:pPr>
    </w:p>
    <w:p w14:paraId="32437561" w14:textId="0BE0C2BC" w:rsidR="00A016B5" w:rsidRPr="00BD4958" w:rsidRDefault="00E877D0" w:rsidP="00E877D0">
      <w:pPr>
        <w:shd w:val="clear" w:color="auto" w:fill="FFFFFF"/>
        <w:spacing w:before="150" w:after="150" w:line="276" w:lineRule="auto"/>
        <w:jc w:val="center"/>
        <w:rPr>
          <w:rFonts w:ascii="Times New Roman" w:hAnsi="Times New Roman" w:cs="Times New Roman"/>
          <w:b/>
          <w:sz w:val="32"/>
          <w:shd w:val="clear" w:color="auto" w:fill="FFFFFF"/>
        </w:rPr>
      </w:pPr>
      <w:r w:rsidRPr="00BD4958">
        <w:rPr>
          <w:rFonts w:ascii="Times New Roman" w:hAnsi="Times New Roman" w:cs="Times New Roman"/>
          <w:b/>
          <w:sz w:val="32"/>
          <w:shd w:val="clear" w:color="auto" w:fill="FFFFFF"/>
        </w:rPr>
        <w:t>Plan Categories</w:t>
      </w:r>
    </w:p>
    <w:p w14:paraId="489B5248" w14:textId="5B5D76D9" w:rsidR="00E877D0" w:rsidRPr="00BD4958" w:rsidRDefault="00E877D0" w:rsidP="00E877D0">
      <w:pPr>
        <w:shd w:val="clear" w:color="auto" w:fill="FFFFFF"/>
        <w:spacing w:before="150" w:after="150" w:line="276"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 xml:space="preserve">Following are the plan categories </w:t>
      </w:r>
    </w:p>
    <w:p w14:paraId="58966453" w14:textId="77777777"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Gold: covers 80% on average of your medical costs; you pay 20%</w:t>
      </w:r>
    </w:p>
    <w:p w14:paraId="683A72C2" w14:textId="77777777"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BD4958" w:rsidRDefault="00E877D0" w:rsidP="00E877D0">
      <w:pPr>
        <w:numPr>
          <w:ilvl w:val="0"/>
          <w:numId w:val="8"/>
        </w:num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BD4958" w:rsidRDefault="00E877D0" w:rsidP="00E877D0">
      <w:pPr>
        <w:spacing w:before="100" w:beforeAutospacing="1" w:after="100" w:afterAutospacing="1" w:line="240" w:lineRule="auto"/>
        <w:jc w:val="center"/>
        <w:rPr>
          <w:rFonts w:ascii="Times New Roman" w:eastAsia="Times New Roman" w:hAnsi="Times New Roman" w:cs="Times New Roman"/>
          <w:b/>
          <w:spacing w:val="-4"/>
          <w:sz w:val="32"/>
          <w:szCs w:val="24"/>
        </w:rPr>
      </w:pPr>
      <w:r w:rsidRPr="00BD4958">
        <w:rPr>
          <w:rFonts w:ascii="Times New Roman" w:eastAsia="Times New Roman" w:hAnsi="Times New Roman" w:cs="Times New Roman"/>
          <w:b/>
          <w:spacing w:val="-4"/>
          <w:sz w:val="32"/>
          <w:szCs w:val="24"/>
        </w:rPr>
        <w:t>Copay</w:t>
      </w:r>
    </w:p>
    <w:p w14:paraId="0DE93108" w14:textId="25CD6F20" w:rsidR="00E877D0" w:rsidRPr="00BD4958" w:rsidRDefault="001B277D"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BD4958">
          <w:rPr>
            <w:rStyle w:val="Hyperlink"/>
            <w:rFonts w:ascii="Times New Roman" w:hAnsi="Times New Roman" w:cs="Times New Roman"/>
            <w:color w:val="auto"/>
            <w:spacing w:val="1"/>
            <w:sz w:val="24"/>
            <w:szCs w:val="24"/>
            <w:u w:val="none"/>
            <w:shd w:val="clear" w:color="auto" w:fill="FFFFFF"/>
          </w:rPr>
          <w:t>health insurance plans</w:t>
        </w:r>
      </w:hyperlink>
      <w:r w:rsidRPr="00BD4958">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BD4958" w:rsidRDefault="001B277D" w:rsidP="00E877D0">
      <w:pPr>
        <w:spacing w:before="100" w:beforeAutospacing="1" w:after="100" w:afterAutospacing="1" w:line="240"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How Co-Pay works</w:t>
      </w:r>
    </w:p>
    <w:p w14:paraId="7461A0B9" w14:textId="5F630D2A" w:rsidR="001B277D" w:rsidRPr="00BD4958" w:rsidRDefault="001B277D" w:rsidP="00E877D0">
      <w:pPr>
        <w:spacing w:before="100" w:beforeAutospacing="1" w:after="100" w:afterAutospacing="1" w:line="240" w:lineRule="auto"/>
        <w:rPr>
          <w:rFonts w:ascii="Times New Roman" w:hAnsi="Times New Roman" w:cs="Times New Roman"/>
          <w:spacing w:val="1"/>
          <w:sz w:val="27"/>
          <w:szCs w:val="27"/>
          <w:shd w:val="clear" w:color="auto" w:fill="FFFFFF"/>
        </w:rPr>
      </w:pPr>
      <w:r w:rsidRPr="00BD4958">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BD4958">
        <w:rPr>
          <w:rFonts w:ascii="Times New Roman" w:hAnsi="Times New Roman" w:cs="Times New Roman"/>
          <w:spacing w:val="1"/>
          <w:sz w:val="27"/>
          <w:szCs w:val="27"/>
          <w:shd w:val="clear" w:color="auto" w:fill="FFFFFF"/>
        </w:rPr>
        <w:t>.</w:t>
      </w:r>
    </w:p>
    <w:p w14:paraId="08674B95" w14:textId="77777777"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p>
    <w:p w14:paraId="77EAF64D" w14:textId="77777777"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p>
    <w:p w14:paraId="75FCF300" w14:textId="7DCB3631"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r w:rsidRPr="00BD4958">
        <w:rPr>
          <w:rFonts w:ascii="Times New Roman" w:eastAsia="Times New Roman" w:hAnsi="Times New Roman" w:cs="Times New Roman"/>
          <w:b/>
          <w:spacing w:val="-4"/>
          <w:sz w:val="24"/>
          <w:szCs w:val="24"/>
        </w:rPr>
        <w:lastRenderedPageBreak/>
        <w:t>How do Copays Affect Insurance Premiums?</w:t>
      </w:r>
    </w:p>
    <w:p w14:paraId="0292DE1C" w14:textId="0BF7D599" w:rsidR="00E82151" w:rsidRPr="00BD4958" w:rsidRDefault="00E82151"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A premium is an amount paid for an insurance policy. In most cases, plans with relatively high premiums are likely to have low co-pays, while plans with low premiums are more likely to have high co-pays.</w:t>
      </w:r>
    </w:p>
    <w:p w14:paraId="3DC9F82B" w14:textId="1D2C0B51" w:rsidR="00E82151" w:rsidRPr="00BD4958" w:rsidRDefault="00E82151" w:rsidP="00E877D0">
      <w:pPr>
        <w:spacing w:before="100" w:beforeAutospacing="1" w:after="100" w:afterAutospacing="1" w:line="240" w:lineRule="auto"/>
        <w:rPr>
          <w:rFonts w:ascii="Times New Roman" w:eastAsia="Times New Roman" w:hAnsi="Times New Roman" w:cs="Times New Roman"/>
          <w:b/>
          <w:spacing w:val="-4"/>
          <w:sz w:val="24"/>
          <w:szCs w:val="24"/>
        </w:rPr>
      </w:pPr>
      <w:r w:rsidRPr="00BD4958">
        <w:rPr>
          <w:rFonts w:ascii="Times New Roman" w:eastAsia="Times New Roman" w:hAnsi="Times New Roman" w:cs="Times New Roman"/>
          <w:b/>
          <w:spacing w:val="-4"/>
          <w:sz w:val="24"/>
          <w:szCs w:val="24"/>
        </w:rPr>
        <w:t>How do Copays and Deductibles Affect each other?</w:t>
      </w:r>
    </w:p>
    <w:p w14:paraId="1B08A5CF" w14:textId="77777777" w:rsidR="00E82151" w:rsidRPr="00BD4958" w:rsidRDefault="00E82151"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A deductible is an amount an insured party </w:t>
      </w:r>
      <w:hyperlink r:id="rId17" w:history="1">
        <w:r w:rsidRPr="00BD4958">
          <w:rPr>
            <w:rStyle w:val="Hyperlink"/>
            <w:rFonts w:ascii="Times New Roman" w:hAnsi="Times New Roman" w:cs="Times New Roman"/>
            <w:color w:val="auto"/>
            <w:spacing w:val="1"/>
            <w:sz w:val="24"/>
            <w:szCs w:val="24"/>
            <w:u w:val="none"/>
            <w:shd w:val="clear" w:color="auto" w:fill="FFFFFF"/>
          </w:rPr>
          <w:t>pays out-of-pocket</w:t>
        </w:r>
      </w:hyperlink>
      <w:r w:rsidRPr="00BD4958">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BD4958" w:rsidRDefault="00E82151" w:rsidP="00E877D0">
      <w:pPr>
        <w:spacing w:before="100" w:beforeAutospacing="1" w:after="100" w:afterAutospacing="1" w:line="240" w:lineRule="auto"/>
        <w:rPr>
          <w:rFonts w:ascii="Times New Roman" w:hAnsi="Times New Roman" w:cs="Times New Roman"/>
          <w:b/>
          <w:spacing w:val="1"/>
          <w:sz w:val="24"/>
          <w:szCs w:val="24"/>
          <w:shd w:val="clear" w:color="auto" w:fill="FFFFFF"/>
        </w:rPr>
      </w:pPr>
      <w:r w:rsidRPr="00BD4958">
        <w:rPr>
          <w:rFonts w:ascii="Times New Roman" w:hAnsi="Times New Roman" w:cs="Times New Roman"/>
          <w:b/>
          <w:spacing w:val="1"/>
          <w:sz w:val="24"/>
          <w:szCs w:val="24"/>
          <w:shd w:val="clear" w:color="auto" w:fill="FFFFFF"/>
        </w:rPr>
        <w:t>For Example:</w:t>
      </w:r>
    </w:p>
    <w:p w14:paraId="3F8645AE" w14:textId="0A74BF24" w:rsidR="00E82151" w:rsidRPr="00BD4958" w:rsidRDefault="00E82151" w:rsidP="00E877D0">
      <w:pPr>
        <w:spacing w:before="100" w:beforeAutospacing="1" w:after="100" w:afterAutospacing="1" w:line="240" w:lineRule="auto"/>
        <w:rPr>
          <w:rFonts w:ascii="Times New Roman" w:hAnsi="Times New Roman" w:cs="Times New Roman"/>
          <w:spacing w:val="1"/>
          <w:sz w:val="24"/>
          <w:szCs w:val="24"/>
          <w:shd w:val="clear" w:color="auto" w:fill="FFFFFF"/>
        </w:rPr>
      </w:pPr>
      <w:r w:rsidRPr="00BD4958">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BD4958">
          <w:rPr>
            <w:rStyle w:val="Hyperlink"/>
            <w:rFonts w:ascii="Times New Roman" w:hAnsi="Times New Roman" w:cs="Times New Roman"/>
            <w:color w:val="auto"/>
            <w:spacing w:val="1"/>
            <w:sz w:val="24"/>
            <w:szCs w:val="24"/>
            <w:u w:val="none"/>
            <w:shd w:val="clear" w:color="auto" w:fill="FFFFFF"/>
          </w:rPr>
          <w:t>will pay only the copay</w:t>
        </w:r>
      </w:hyperlink>
      <w:r w:rsidRPr="00BD4958">
        <w:rPr>
          <w:rFonts w:ascii="Times New Roman" w:hAnsi="Times New Roman" w:cs="Times New Roman"/>
          <w:spacing w:val="1"/>
          <w:sz w:val="24"/>
          <w:szCs w:val="24"/>
          <w:shd w:val="clear" w:color="auto" w:fill="FFFFFF"/>
        </w:rPr>
        <w:t> of $20. </w:t>
      </w:r>
    </w:p>
    <w:p w14:paraId="3BD58DB0" w14:textId="7650AABB" w:rsidR="003D31AE" w:rsidRPr="00BD4958" w:rsidRDefault="000C2B1F" w:rsidP="006E4EA6">
      <w:pPr>
        <w:spacing w:before="100" w:beforeAutospacing="1" w:after="100" w:afterAutospacing="1" w:line="240" w:lineRule="auto"/>
        <w:jc w:val="center"/>
        <w:rPr>
          <w:rFonts w:ascii="Times New Roman" w:eastAsia="Times New Roman" w:hAnsi="Times New Roman" w:cs="Times New Roman"/>
          <w:b/>
          <w:spacing w:val="-4"/>
          <w:sz w:val="32"/>
          <w:szCs w:val="24"/>
        </w:rPr>
      </w:pPr>
      <w:r w:rsidRPr="00BD4958">
        <w:rPr>
          <w:rFonts w:ascii="Times New Roman" w:eastAsia="Times New Roman" w:hAnsi="Times New Roman" w:cs="Times New Roman"/>
          <w:b/>
          <w:spacing w:val="-4"/>
          <w:sz w:val="32"/>
          <w:szCs w:val="24"/>
        </w:rPr>
        <w:t>Differen</w:t>
      </w:r>
      <w:r w:rsidR="006E4EA6" w:rsidRPr="00BD4958">
        <w:rPr>
          <w:rFonts w:ascii="Times New Roman" w:eastAsia="Times New Roman" w:hAnsi="Times New Roman" w:cs="Times New Roman"/>
          <w:b/>
          <w:spacing w:val="-4"/>
          <w:sz w:val="32"/>
          <w:szCs w:val="24"/>
        </w:rPr>
        <w:t>ces between the Rendering Provider and Billing Provider</w:t>
      </w:r>
    </w:p>
    <w:p w14:paraId="4DBD220E" w14:textId="6A0FAC44" w:rsidR="006E4EA6" w:rsidRPr="00BD4958" w:rsidRDefault="006E4EA6" w:rsidP="006E4EA6">
      <w:pPr>
        <w:pStyle w:val="NormalWeb"/>
        <w:spacing w:after="240" w:afterAutospacing="0"/>
      </w:pPr>
      <w:r w:rsidRPr="00BD4958">
        <w:t>In the context of medical billing, the "billing provider" and "rendering provider" refer to two different roles in the process of seeking reimbursement for medical services.</w:t>
      </w:r>
      <w:r w:rsidRPr="00BD4958">
        <w:br/>
      </w:r>
      <w:r w:rsidRPr="00BD4958">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BD4958">
        <w:br/>
      </w:r>
      <w:r w:rsidRPr="00BD4958">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BD4958">
        <w:br/>
      </w:r>
      <w:r w:rsidRPr="00BD4958">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BD4958" w:rsidRDefault="006E4EA6" w:rsidP="006E4EA6">
      <w:pPr>
        <w:pStyle w:val="NormalWeb"/>
        <w:spacing w:after="240" w:afterAutospacing="0"/>
      </w:pPr>
      <w:r w:rsidRPr="00BD4958">
        <w:rPr>
          <w:rStyle w:val="Strong"/>
        </w:rPr>
        <w:t>Note:</w:t>
      </w:r>
    </w:p>
    <w:p w14:paraId="322C65DF" w14:textId="77777777" w:rsidR="006E4EA6" w:rsidRPr="00BD4958" w:rsidRDefault="006E4EA6" w:rsidP="006E4EA6">
      <w:pPr>
        <w:pStyle w:val="NormalWeb"/>
        <w:spacing w:after="240" w:afterAutospacing="0"/>
      </w:pPr>
      <w:r w:rsidRPr="00BD4958">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BD4958" w:rsidRDefault="006B2CD0" w:rsidP="006B2CD0">
      <w:pPr>
        <w:spacing w:before="100" w:beforeAutospacing="1" w:after="100" w:afterAutospacing="1" w:line="240" w:lineRule="auto"/>
        <w:jc w:val="center"/>
        <w:rPr>
          <w:rFonts w:ascii="Times New Roman" w:eastAsia="Times New Roman" w:hAnsi="Times New Roman" w:cs="Times New Roman"/>
          <w:b/>
          <w:spacing w:val="-4"/>
          <w:sz w:val="32"/>
          <w:szCs w:val="24"/>
        </w:rPr>
      </w:pPr>
      <w:r w:rsidRPr="00BD4958">
        <w:rPr>
          <w:rFonts w:ascii="Times New Roman" w:eastAsia="Times New Roman" w:hAnsi="Times New Roman" w:cs="Times New Roman"/>
          <w:b/>
          <w:spacing w:val="-4"/>
          <w:sz w:val="32"/>
          <w:szCs w:val="24"/>
        </w:rPr>
        <w:lastRenderedPageBreak/>
        <w:t>Providers Types</w:t>
      </w:r>
    </w:p>
    <w:p w14:paraId="578DB5CD" w14:textId="77777777" w:rsidR="0034606C" w:rsidRPr="00BD4958" w:rsidRDefault="006B2CD0" w:rsidP="0034606C">
      <w:pPr>
        <w:spacing w:before="100" w:beforeAutospacing="1" w:after="100" w:afterAutospacing="1" w:line="240" w:lineRule="auto"/>
        <w:rPr>
          <w:rFonts w:ascii="Times New Roman" w:eastAsia="Times New Roman" w:hAnsi="Times New Roman" w:cs="Times New Roman"/>
          <w:spacing w:val="-4"/>
          <w:sz w:val="24"/>
          <w:szCs w:val="24"/>
        </w:rPr>
      </w:pPr>
      <w:r w:rsidRPr="00BD4958">
        <w:rPr>
          <w:rFonts w:ascii="Times New Roman" w:eastAsia="Times New Roman" w:hAnsi="Times New Roman" w:cs="Times New Roman"/>
          <w:spacing w:val="-4"/>
          <w:sz w:val="24"/>
          <w:szCs w:val="24"/>
        </w:rPr>
        <w:t>Following are the different types of providers</w:t>
      </w:r>
    </w:p>
    <w:p w14:paraId="194A3C68" w14:textId="1A146D35" w:rsidR="006B2CD0" w:rsidRPr="00BD4958" w:rsidRDefault="006B2CD0" w:rsidP="0034606C">
      <w:pPr>
        <w:spacing w:before="100" w:beforeAutospacing="1" w:after="100" w:afterAutospacing="1" w:line="240" w:lineRule="auto"/>
        <w:rPr>
          <w:rFonts w:ascii="Times New Roman" w:eastAsia="Times New Roman" w:hAnsi="Times New Roman" w:cs="Times New Roman"/>
          <w:b/>
          <w:spacing w:val="-4"/>
          <w:sz w:val="28"/>
          <w:szCs w:val="24"/>
        </w:rPr>
      </w:pPr>
      <w:r w:rsidRPr="00BD4958">
        <w:rPr>
          <w:rFonts w:ascii="Times New Roman" w:eastAsia="Times New Roman" w:hAnsi="Times New Roman" w:cs="Times New Roman"/>
          <w:b/>
          <w:spacing w:val="-4"/>
          <w:sz w:val="28"/>
          <w:szCs w:val="24"/>
        </w:rPr>
        <w:t xml:space="preserve">Family </w:t>
      </w:r>
      <w:r w:rsidR="0034606C" w:rsidRPr="00BD4958">
        <w:rPr>
          <w:rFonts w:ascii="Times New Roman" w:eastAsia="Times New Roman" w:hAnsi="Times New Roman" w:cs="Times New Roman"/>
          <w:b/>
          <w:spacing w:val="-4"/>
          <w:sz w:val="28"/>
          <w:szCs w:val="24"/>
        </w:rPr>
        <w:t>Practice &amp;</w:t>
      </w:r>
      <w:r w:rsidRPr="00BD4958">
        <w:rPr>
          <w:rFonts w:ascii="Times New Roman" w:eastAsia="Times New Roman" w:hAnsi="Times New Roman" w:cs="Times New Roman"/>
          <w:b/>
          <w:spacing w:val="-4"/>
          <w:sz w:val="28"/>
          <w:szCs w:val="24"/>
        </w:rPr>
        <w:t xml:space="preserve"> Internal Medicine Physicians</w:t>
      </w:r>
    </w:p>
    <w:p w14:paraId="5014AE2F" w14:textId="77777777" w:rsidR="006B2CD0" w:rsidRPr="00BD4958" w:rsidRDefault="006B2CD0" w:rsidP="006B2CD0">
      <w:pPr>
        <w:pStyle w:val="NormalWeb"/>
        <w:numPr>
          <w:ilvl w:val="0"/>
          <w:numId w:val="1"/>
        </w:numPr>
        <w:shd w:val="clear" w:color="auto" w:fill="FFFFFF"/>
      </w:pPr>
      <w:r w:rsidRPr="00BD4958">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BD4958" w:rsidRDefault="006B2CD0" w:rsidP="0034606C">
      <w:pPr>
        <w:pStyle w:val="NormalWeb"/>
        <w:numPr>
          <w:ilvl w:val="0"/>
          <w:numId w:val="1"/>
        </w:numPr>
        <w:shd w:val="clear" w:color="auto" w:fill="FFFFFF"/>
      </w:pPr>
      <w:r w:rsidRPr="00BD4958">
        <w:t>Internal medicine training focuses only on adults and the conditions they face. Both types of physicians must take ongoing medical education courses throughout their careers.</w:t>
      </w:r>
    </w:p>
    <w:p w14:paraId="559C7F62" w14:textId="58222E81" w:rsidR="0034606C" w:rsidRPr="00BD4958" w:rsidRDefault="0034606C" w:rsidP="0034606C">
      <w:pPr>
        <w:pStyle w:val="NormalWeb"/>
        <w:shd w:val="clear" w:color="auto" w:fill="FFFFFF"/>
        <w:rPr>
          <w:b/>
          <w:sz w:val="28"/>
        </w:rPr>
      </w:pPr>
      <w:r w:rsidRPr="00BD4958">
        <w:rPr>
          <w:b/>
          <w:sz w:val="28"/>
        </w:rPr>
        <w:t xml:space="preserve">Obstetricians and Gynecologists </w:t>
      </w:r>
    </w:p>
    <w:p w14:paraId="325F0047" w14:textId="1315B711" w:rsidR="0034606C" w:rsidRPr="00BD4958" w:rsidRDefault="0034606C" w:rsidP="0034606C">
      <w:pPr>
        <w:pStyle w:val="NormalWeb"/>
        <w:shd w:val="clear" w:color="auto" w:fill="FFFFFF"/>
        <w:rPr>
          <w:shd w:val="clear" w:color="auto" w:fill="FFFFFF"/>
        </w:rPr>
      </w:pPr>
      <w:r w:rsidRPr="00BD4958">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BD4958" w:rsidRDefault="0034606C" w:rsidP="0034606C">
      <w:pPr>
        <w:pStyle w:val="NormalWeb"/>
        <w:shd w:val="clear" w:color="auto" w:fill="FFFFFF"/>
        <w:rPr>
          <w:b/>
          <w:sz w:val="28"/>
        </w:rPr>
      </w:pPr>
      <w:r w:rsidRPr="00BD4958">
        <w:rPr>
          <w:b/>
          <w:sz w:val="28"/>
        </w:rPr>
        <w:t xml:space="preserve">Pediatricians </w:t>
      </w:r>
    </w:p>
    <w:p w14:paraId="3A59764E" w14:textId="21FEBBB7" w:rsidR="0034606C" w:rsidRPr="00BD4958" w:rsidRDefault="0034606C" w:rsidP="0034606C">
      <w:pPr>
        <w:pStyle w:val="NormalWeb"/>
        <w:shd w:val="clear" w:color="auto" w:fill="FFFFFF"/>
        <w:rPr>
          <w:shd w:val="clear" w:color="auto" w:fill="FFFFFF"/>
        </w:rPr>
      </w:pPr>
      <w:r w:rsidRPr="00BD4958">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BD4958" w:rsidRDefault="0034606C" w:rsidP="0034606C">
      <w:pPr>
        <w:pStyle w:val="NormalWeb"/>
        <w:shd w:val="clear" w:color="auto" w:fill="FFFFFF"/>
        <w:rPr>
          <w:b/>
          <w:sz w:val="28"/>
        </w:rPr>
      </w:pPr>
      <w:r w:rsidRPr="00BD4958">
        <w:rPr>
          <w:b/>
          <w:sz w:val="28"/>
        </w:rPr>
        <w:t>M.D.s and D.O.s</w:t>
      </w:r>
    </w:p>
    <w:p w14:paraId="020EDB9A" w14:textId="272D631C" w:rsidR="0034606C" w:rsidRPr="00BD4958" w:rsidRDefault="0034606C" w:rsidP="0034606C">
      <w:pPr>
        <w:pStyle w:val="NormalWeb"/>
        <w:shd w:val="clear" w:color="auto" w:fill="FFFFFF"/>
        <w:rPr>
          <w:shd w:val="clear" w:color="auto" w:fill="FFFFFF"/>
        </w:rPr>
      </w:pPr>
      <w:r w:rsidRPr="00BD4958">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BD4958" w:rsidRDefault="0034606C" w:rsidP="0034606C">
      <w:pPr>
        <w:pStyle w:val="NormalWeb"/>
        <w:shd w:val="clear" w:color="auto" w:fill="FFFFFF"/>
        <w:rPr>
          <w:b/>
          <w:sz w:val="28"/>
        </w:rPr>
      </w:pPr>
      <w:r w:rsidRPr="00BD4958">
        <w:rPr>
          <w:b/>
          <w:sz w:val="28"/>
        </w:rPr>
        <w:t xml:space="preserve">Nurse Practitioners </w:t>
      </w:r>
    </w:p>
    <w:p w14:paraId="597483C1" w14:textId="0C8694A2" w:rsidR="0034606C" w:rsidRPr="00BD4958" w:rsidRDefault="0034606C" w:rsidP="0034606C">
      <w:pPr>
        <w:pStyle w:val="NormalWeb"/>
        <w:shd w:val="clear" w:color="auto" w:fill="FFFFFF"/>
        <w:rPr>
          <w:shd w:val="clear" w:color="auto" w:fill="FFFFFF"/>
        </w:rPr>
      </w:pPr>
      <w:r w:rsidRPr="00BD4958">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BD4958" w:rsidRDefault="009C0D15" w:rsidP="0034606C">
      <w:pPr>
        <w:pStyle w:val="NormalWeb"/>
        <w:shd w:val="clear" w:color="auto" w:fill="FFFFFF"/>
      </w:pPr>
    </w:p>
    <w:p w14:paraId="081BE986" w14:textId="5979173F" w:rsidR="009C0D15" w:rsidRPr="006E4EBA" w:rsidRDefault="009C0D15" w:rsidP="00B9315D">
      <w:pPr>
        <w:pStyle w:val="NormalWeb"/>
        <w:shd w:val="clear" w:color="auto" w:fill="FFFFFF"/>
        <w:jc w:val="center"/>
        <w:rPr>
          <w:b/>
          <w:sz w:val="32"/>
        </w:rPr>
      </w:pPr>
      <w:r w:rsidRPr="006E4EBA">
        <w:rPr>
          <w:b/>
          <w:sz w:val="32"/>
        </w:rPr>
        <w:lastRenderedPageBreak/>
        <w:t>NPI</w:t>
      </w:r>
    </w:p>
    <w:p w14:paraId="157DA248" w14:textId="142AB99C" w:rsidR="00B9315D" w:rsidRPr="00BD4958" w:rsidRDefault="00B9315D" w:rsidP="00B9315D">
      <w:pPr>
        <w:pStyle w:val="NormalWeb"/>
        <w:shd w:val="clear" w:color="auto" w:fill="FFFFFF"/>
        <w:rPr>
          <w:shd w:val="clear" w:color="auto" w:fill="FFFFFF"/>
        </w:rPr>
      </w:pPr>
      <w:r w:rsidRPr="00BD4958">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BD4958" w:rsidRDefault="00B9315D" w:rsidP="00B9315D">
      <w:pPr>
        <w:pStyle w:val="NormalWeb"/>
        <w:shd w:val="clear" w:color="auto" w:fill="FFFFFF"/>
        <w:rPr>
          <w:rStyle w:val="Strong"/>
          <w:sz w:val="28"/>
          <w:bdr w:val="none" w:sz="0" w:space="0" w:color="auto" w:frame="1"/>
          <w:shd w:val="clear" w:color="auto" w:fill="FFFFFF"/>
        </w:rPr>
      </w:pPr>
      <w:r w:rsidRPr="00BD4958">
        <w:rPr>
          <w:rStyle w:val="Strong"/>
          <w:sz w:val="28"/>
          <w:bdr w:val="none" w:sz="0" w:space="0" w:color="auto" w:frame="1"/>
          <w:shd w:val="clear" w:color="auto" w:fill="FFFFFF"/>
        </w:rPr>
        <w:t>Why Are NPI Numbers Necessary?</w:t>
      </w:r>
    </w:p>
    <w:p w14:paraId="5B054796" w14:textId="7A873B38" w:rsidR="00B9315D" w:rsidRPr="00BD4958" w:rsidRDefault="00B9315D" w:rsidP="00B9315D">
      <w:pPr>
        <w:pStyle w:val="NormalWeb"/>
        <w:shd w:val="clear" w:color="auto" w:fill="FFFFFF"/>
        <w:rPr>
          <w:shd w:val="clear" w:color="auto" w:fill="FFFFFF"/>
        </w:rPr>
      </w:pPr>
      <w:r w:rsidRPr="00BD4958">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BD4958" w:rsidRDefault="000D050A" w:rsidP="00B9315D">
      <w:pPr>
        <w:pStyle w:val="NormalWeb"/>
        <w:shd w:val="clear" w:color="auto" w:fill="FFFFFF"/>
        <w:rPr>
          <w:rStyle w:val="Strong"/>
          <w:sz w:val="28"/>
          <w:bdr w:val="none" w:sz="0" w:space="0" w:color="auto" w:frame="1"/>
          <w:shd w:val="clear" w:color="auto" w:fill="FFFFFF"/>
        </w:rPr>
      </w:pPr>
      <w:r w:rsidRPr="00BD4958">
        <w:rPr>
          <w:rStyle w:val="Strong"/>
          <w:sz w:val="28"/>
          <w:bdr w:val="none" w:sz="0" w:space="0" w:color="auto" w:frame="1"/>
          <w:shd w:val="clear" w:color="auto" w:fill="FFFFFF"/>
        </w:rPr>
        <w:t>Types of NPI Providers?</w:t>
      </w:r>
    </w:p>
    <w:p w14:paraId="5677CA04" w14:textId="13A4F89D" w:rsidR="000D050A" w:rsidRPr="00BD4958" w:rsidRDefault="004E0BA0" w:rsidP="00B9315D">
      <w:pPr>
        <w:pStyle w:val="NormalWeb"/>
        <w:shd w:val="clear" w:color="auto" w:fill="FFFFFF"/>
        <w:rPr>
          <w:shd w:val="clear" w:color="auto" w:fill="FFFFFF"/>
        </w:rPr>
      </w:pPr>
      <w:r w:rsidRPr="00BD4958">
        <w:rPr>
          <w:shd w:val="clear" w:color="auto" w:fill="FFFFFF"/>
        </w:rPr>
        <w:t>There are two types of NPI number assignments</w:t>
      </w:r>
    </w:p>
    <w:p w14:paraId="3AE252E3" w14:textId="46D7AB2D" w:rsidR="004E0BA0" w:rsidRPr="00BD4958" w:rsidRDefault="004E0BA0" w:rsidP="004E0BA0">
      <w:pPr>
        <w:pStyle w:val="NormalWeb"/>
        <w:numPr>
          <w:ilvl w:val="0"/>
          <w:numId w:val="11"/>
        </w:numPr>
        <w:shd w:val="clear" w:color="auto" w:fill="FFFFFF"/>
      </w:pPr>
      <w:r w:rsidRPr="00BD4958">
        <w:rPr>
          <w:shd w:val="clear" w:color="auto" w:fill="FFFFFF"/>
        </w:rPr>
        <w:t>Type 1 NPI includes </w:t>
      </w:r>
      <w:r w:rsidRPr="00BD4958">
        <w:rPr>
          <w:rStyle w:val="Emphasis"/>
          <w:bdr w:val="none" w:sz="0" w:space="0" w:color="auto" w:frame="1"/>
          <w:shd w:val="clear" w:color="auto" w:fill="FFFFFF"/>
        </w:rPr>
        <w:t>individuals</w:t>
      </w:r>
      <w:r w:rsidRPr="00BD4958">
        <w:rPr>
          <w:shd w:val="clear" w:color="auto" w:fill="FFFFFF"/>
        </w:rPr>
        <w:t>, such as sole proprietors, dentists, physicians, and surgeons. A provider is eligible for a single NPI.</w:t>
      </w:r>
      <w:r w:rsidRPr="00BD4958">
        <w:rPr>
          <w:shd w:val="clear" w:color="auto" w:fill="FFFFFF"/>
        </w:rPr>
        <w:br/>
      </w:r>
    </w:p>
    <w:p w14:paraId="32E37B12" w14:textId="77777777" w:rsidR="00BD4958" w:rsidRPr="00BD4958" w:rsidRDefault="004E0BA0" w:rsidP="00BD4958">
      <w:pPr>
        <w:pStyle w:val="NormalWeb"/>
        <w:numPr>
          <w:ilvl w:val="0"/>
          <w:numId w:val="11"/>
        </w:numPr>
        <w:shd w:val="clear" w:color="auto" w:fill="FFFFFF"/>
      </w:pPr>
      <w:r w:rsidRPr="00BD4958">
        <w:rPr>
          <w:shd w:val="clear" w:color="auto" w:fill="FFFFFF"/>
        </w:rPr>
        <w:t>Type 2 NPI are </w:t>
      </w:r>
      <w:r w:rsidRPr="00BD4958">
        <w:rPr>
          <w:rStyle w:val="Emphasis"/>
          <w:bdr w:val="none" w:sz="0" w:space="0" w:color="auto" w:frame="1"/>
          <w:shd w:val="clear" w:color="auto" w:fill="FFFFFF"/>
        </w:rPr>
        <w:t>organizations</w:t>
      </w:r>
      <w:r w:rsidRPr="00BD4958">
        <w:rPr>
          <w:shd w:val="clear" w:color="auto" w:fill="FFFFFF"/>
        </w:rPr>
        <w:t> and may include acute care facilities, health systems, hospitals, physician groups, assisted living facilities, and healthcare providers who are incorporated.</w:t>
      </w:r>
    </w:p>
    <w:p w14:paraId="75C4832D" w14:textId="5E7468C0" w:rsidR="004E0BA0" w:rsidRPr="00BD4958" w:rsidRDefault="004E0BA0" w:rsidP="00BD4958">
      <w:pPr>
        <w:pStyle w:val="NormalWeb"/>
        <w:shd w:val="clear" w:color="auto" w:fill="FFFFFF"/>
      </w:pPr>
      <w:r w:rsidRPr="00BD4958">
        <w:rPr>
          <w:b/>
          <w:bCs/>
          <w:sz w:val="28"/>
          <w:bdr w:val="none" w:sz="0" w:space="0" w:color="auto" w:frame="1"/>
        </w:rPr>
        <w:t>Understanding NPI Lookup Results </w:t>
      </w:r>
    </w:p>
    <w:p w14:paraId="0EE950E8"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NPI:</w:t>
      </w:r>
      <w:r w:rsidRPr="00BD4958">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Enumeration Date:</w:t>
      </w:r>
      <w:r w:rsidRPr="00BD4958">
        <w:rPr>
          <w:rFonts w:ascii="Times New Roman" w:eastAsia="Times New Roman" w:hAnsi="Times New Roman" w:cs="Times New Roman"/>
          <w:sz w:val="24"/>
          <w:szCs w:val="24"/>
        </w:rPr>
        <w:t> The enumeration date refers to the date the NPI was assigned.</w:t>
      </w:r>
    </w:p>
    <w:p w14:paraId="2F5A0C3B"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NPI Type:</w:t>
      </w:r>
      <w:r w:rsidRPr="00BD4958">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Status:</w:t>
      </w:r>
      <w:r w:rsidRPr="00BD4958">
        <w:rPr>
          <w:rFonts w:ascii="Times New Roman" w:eastAsia="Times New Roman" w:hAnsi="Times New Roman" w:cs="Times New Roman"/>
          <w:sz w:val="24"/>
          <w:szCs w:val="24"/>
        </w:rPr>
        <w:t> This shows whether the NPI is active or deactivated.</w:t>
      </w:r>
    </w:p>
    <w:p w14:paraId="46B70923" w14:textId="77777777" w:rsidR="004E0BA0" w:rsidRPr="00BD4958" w:rsidRDefault="004E0BA0" w:rsidP="00BD4958">
      <w:pPr>
        <w:pStyle w:val="ListParagraph"/>
        <w:numPr>
          <w:ilvl w:val="0"/>
          <w:numId w:val="22"/>
        </w:numPr>
        <w:spacing w:after="0" w:line="390" w:lineRule="atLeast"/>
        <w:textAlignment w:val="baseline"/>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bdr w:val="none" w:sz="0" w:space="0" w:color="auto" w:frame="1"/>
        </w:rPr>
        <w:t>Address:</w:t>
      </w:r>
      <w:r w:rsidRPr="00BD4958">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Default="00615649" w:rsidP="008C25CB">
      <w:pPr>
        <w:pStyle w:val="NormalWeb"/>
        <w:shd w:val="clear" w:color="auto" w:fill="FFFFFF"/>
        <w:jc w:val="center"/>
        <w:rPr>
          <w:b/>
          <w:sz w:val="32"/>
        </w:rPr>
      </w:pPr>
    </w:p>
    <w:p w14:paraId="19498513" w14:textId="77777777" w:rsidR="00615649" w:rsidRDefault="00615649" w:rsidP="008C25CB">
      <w:pPr>
        <w:pStyle w:val="NormalWeb"/>
        <w:shd w:val="clear" w:color="auto" w:fill="FFFFFF"/>
        <w:jc w:val="center"/>
        <w:rPr>
          <w:b/>
          <w:sz w:val="32"/>
        </w:rPr>
      </w:pPr>
    </w:p>
    <w:p w14:paraId="45A75182" w14:textId="592270AD" w:rsidR="004E0BA0" w:rsidRPr="00BD4958" w:rsidRDefault="008C25CB" w:rsidP="008C25CB">
      <w:pPr>
        <w:pStyle w:val="NormalWeb"/>
        <w:shd w:val="clear" w:color="auto" w:fill="FFFFFF"/>
        <w:jc w:val="center"/>
        <w:rPr>
          <w:b/>
          <w:sz w:val="32"/>
        </w:rPr>
      </w:pPr>
      <w:r w:rsidRPr="00BD4958">
        <w:rPr>
          <w:b/>
          <w:sz w:val="32"/>
        </w:rPr>
        <w:lastRenderedPageBreak/>
        <w:t>International Classification of Diseases (ICD)</w:t>
      </w:r>
    </w:p>
    <w:p w14:paraId="0BED6F64" w14:textId="762C873A" w:rsidR="008C25CB" w:rsidRPr="00BD4958" w:rsidRDefault="008C25CB" w:rsidP="008C25CB">
      <w:pPr>
        <w:pStyle w:val="NormalWeb"/>
        <w:shd w:val="clear" w:color="auto" w:fill="FFFFFF"/>
        <w:rPr>
          <w:shd w:val="clear" w:color="auto" w:fill="FFFFFF"/>
        </w:rPr>
      </w:pPr>
      <w:r w:rsidRPr="00BD4958">
        <w:rPr>
          <w:shd w:val="clear" w:color="auto" w:fill="FFFFFF"/>
        </w:rPr>
        <w:t>ICD stands for the </w:t>
      </w:r>
      <w:r w:rsidRPr="00BD4958">
        <w:rPr>
          <w:rStyle w:val="Emphasis"/>
          <w:shd w:val="clear" w:color="auto" w:fill="FFFFFF"/>
        </w:rPr>
        <w:t>International Classification of Disease</w:t>
      </w:r>
      <w:r w:rsidRPr="00BD4958">
        <w:rPr>
          <w:shd w:val="clear" w:color="auto" w:fill="FFFFFF"/>
        </w:rPr>
        <w:t>. The ICD provides a method of classifying diseases, injuries, and causes of death. The </w:t>
      </w:r>
      <w:r w:rsidRPr="00BD4958">
        <w:rPr>
          <w:rStyle w:val="Emphasis"/>
          <w:shd w:val="clear" w:color="auto" w:fill="FFFFFF"/>
        </w:rPr>
        <w:t>World Health Organization </w:t>
      </w:r>
      <w:r w:rsidRPr="00BD4958">
        <w:rPr>
          <w:shd w:val="clear" w:color="auto" w:fill="FFFFFF"/>
        </w:rPr>
        <w:t>(</w:t>
      </w:r>
      <w:r w:rsidRPr="00BD4958">
        <w:rPr>
          <w:rStyle w:val="Emphasis"/>
          <w:shd w:val="clear" w:color="auto" w:fill="FFFFFF"/>
        </w:rPr>
        <w:t>WHO</w:t>
      </w:r>
      <w:r w:rsidRPr="00BD4958">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BD4958" w:rsidRDefault="008C25CB" w:rsidP="008C25CB">
      <w:pPr>
        <w:pStyle w:val="NormalWeb"/>
        <w:shd w:val="clear" w:color="auto" w:fill="FFFFFF"/>
        <w:rPr>
          <w:b/>
          <w:sz w:val="28"/>
        </w:rPr>
      </w:pPr>
      <w:r w:rsidRPr="00BD4958">
        <w:rPr>
          <w:b/>
          <w:sz w:val="28"/>
        </w:rPr>
        <w:t>ICD Medical code Sets:</w:t>
      </w:r>
    </w:p>
    <w:p w14:paraId="28A3BBD2" w14:textId="0B8D2CE8" w:rsidR="008C25CB" w:rsidRPr="00BD4958" w:rsidRDefault="008C25CB" w:rsidP="008C25CB">
      <w:pPr>
        <w:pStyle w:val="NormalWeb"/>
        <w:shd w:val="clear" w:color="auto" w:fill="FFFFFF"/>
      </w:pPr>
      <w:r w:rsidRPr="00BD4958">
        <w:t>ICD consists of two medical code sets</w:t>
      </w:r>
    </w:p>
    <w:p w14:paraId="42007D59" w14:textId="2FBF0809" w:rsidR="008C25CB" w:rsidRPr="00BD4958" w:rsidRDefault="008C25CB" w:rsidP="008C25CB">
      <w:pPr>
        <w:pStyle w:val="NormalWeb"/>
        <w:numPr>
          <w:ilvl w:val="0"/>
          <w:numId w:val="13"/>
        </w:numPr>
        <w:shd w:val="clear" w:color="auto" w:fill="FFFFFF"/>
      </w:pPr>
      <w:r w:rsidRPr="00BD4958">
        <w:t>ICD-10-PCS</w:t>
      </w:r>
    </w:p>
    <w:p w14:paraId="3E5B4261" w14:textId="16D89B25" w:rsidR="008C25CB" w:rsidRPr="00BD4958" w:rsidRDefault="008C25CB" w:rsidP="008C25CB">
      <w:pPr>
        <w:pStyle w:val="NormalWeb"/>
        <w:numPr>
          <w:ilvl w:val="0"/>
          <w:numId w:val="13"/>
        </w:numPr>
        <w:shd w:val="clear" w:color="auto" w:fill="FFFFFF"/>
      </w:pPr>
      <w:r w:rsidRPr="00BD4958">
        <w:t>ICD-10-CM</w:t>
      </w:r>
    </w:p>
    <w:p w14:paraId="5B9552EC" w14:textId="135A33B4" w:rsidR="008C25CB" w:rsidRPr="00BD4958" w:rsidRDefault="008C25CB" w:rsidP="008C25CB">
      <w:pPr>
        <w:pStyle w:val="NormalWeb"/>
        <w:shd w:val="clear" w:color="auto" w:fill="FFFFFF"/>
        <w:rPr>
          <w:b/>
          <w:sz w:val="28"/>
        </w:rPr>
      </w:pPr>
      <w:r w:rsidRPr="00BD4958">
        <w:rPr>
          <w:b/>
          <w:sz w:val="28"/>
        </w:rPr>
        <w:t>ICD-10-PCS</w:t>
      </w:r>
    </w:p>
    <w:p w14:paraId="067E36A4" w14:textId="2A8FEEC6" w:rsidR="008C25CB" w:rsidRPr="00BD4958" w:rsidRDefault="008C25CB" w:rsidP="008C25CB">
      <w:pPr>
        <w:pStyle w:val="NormalWeb"/>
        <w:shd w:val="clear" w:color="auto" w:fill="FFFFFF"/>
        <w:rPr>
          <w:shd w:val="clear" w:color="auto" w:fill="FFFFFF"/>
        </w:rPr>
      </w:pPr>
      <w:r w:rsidRPr="00BD4958">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BD4958" w:rsidRDefault="008C25CB" w:rsidP="008C25CB">
      <w:pPr>
        <w:pStyle w:val="NormalWeb"/>
        <w:shd w:val="clear" w:color="auto" w:fill="FFFFFF"/>
        <w:rPr>
          <w:b/>
          <w:sz w:val="28"/>
        </w:rPr>
      </w:pPr>
      <w:r w:rsidRPr="00BD4958">
        <w:rPr>
          <w:b/>
          <w:sz w:val="28"/>
        </w:rPr>
        <w:t>ICD-10-CM</w:t>
      </w:r>
    </w:p>
    <w:p w14:paraId="7D9F7705" w14:textId="2FDAD2B5" w:rsidR="008C25CB" w:rsidRPr="00BD4958" w:rsidRDefault="008C25CB" w:rsidP="008C25CB">
      <w:pPr>
        <w:pStyle w:val="NormalWeb"/>
        <w:shd w:val="clear" w:color="auto" w:fill="FFFFFF"/>
      </w:pPr>
      <w:r w:rsidRPr="00BD4958">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DE07EF">
        <w:t xml:space="preserve"> </w:t>
      </w:r>
      <w:r w:rsidR="00DE07EF">
        <w:t>Use ICD-10-CM diagnosis codes on all inpatient and outpatient health care claims.</w:t>
      </w:r>
    </w:p>
    <w:p w14:paraId="0A189723" w14:textId="42A0FD2E" w:rsidR="00C13D88" w:rsidRPr="00BD4958" w:rsidRDefault="00C13D88" w:rsidP="00BD4958">
      <w:pPr>
        <w:pStyle w:val="NormalWeb"/>
        <w:shd w:val="clear" w:color="auto" w:fill="FFFFFF"/>
        <w:jc w:val="center"/>
        <w:rPr>
          <w:b/>
          <w:sz w:val="28"/>
        </w:rPr>
      </w:pPr>
      <w:r w:rsidRPr="00BD4958">
        <w:rPr>
          <w:b/>
          <w:sz w:val="28"/>
        </w:rPr>
        <w:t>Difference Between ICD-10-CM &amp; ICD-10-PCS</w:t>
      </w:r>
    </w:p>
    <w:p w14:paraId="4114B012" w14:textId="351D9DA9" w:rsidR="008C25CB" w:rsidRPr="00BD4958" w:rsidRDefault="008C25CB" w:rsidP="008C25CB">
      <w:pPr>
        <w:pStyle w:val="NormalWeb"/>
        <w:shd w:val="clear" w:color="auto" w:fill="FFFFFF"/>
      </w:pPr>
      <w:r w:rsidRPr="00BD4958">
        <w:t>Both ICD-10-CM and ICD-10-PCS came into effect for medical claims reporting on Oct.1, 2015. But the two code sets differ vastly. The primary distinctions are:</w:t>
      </w:r>
    </w:p>
    <w:p w14:paraId="4C362EF7" w14:textId="77777777" w:rsidR="00C13D88" w:rsidRPr="00BD4958" w:rsidRDefault="00C13D88" w:rsidP="008C25CB">
      <w:pPr>
        <w:pStyle w:val="NormalWeb"/>
        <w:shd w:val="clear" w:color="auto" w:fill="FFFFFF"/>
      </w:pPr>
    </w:p>
    <w:p w14:paraId="51B38465" w14:textId="77777777" w:rsidR="008C25CB" w:rsidRPr="00BD4958" w:rsidRDefault="008C25CB" w:rsidP="008C25CB">
      <w:pPr>
        <w:numPr>
          <w:ilvl w:val="0"/>
          <w:numId w:val="14"/>
        </w:numPr>
        <w:shd w:val="clear" w:color="auto" w:fill="FFFFFF"/>
        <w:spacing w:before="75" w:after="120" w:line="240" w:lineRule="auto"/>
        <w:ind w:left="150"/>
        <w:rPr>
          <w:rFonts w:ascii="Times New Roman" w:hAnsi="Times New Roman" w:cs="Times New Roman"/>
          <w:sz w:val="24"/>
          <w:szCs w:val="24"/>
        </w:rPr>
      </w:pPr>
      <w:r w:rsidRPr="00BD4958">
        <w:rPr>
          <w:rStyle w:val="Strong"/>
          <w:rFonts w:ascii="Times New Roman" w:hAnsi="Times New Roman" w:cs="Times New Roman"/>
          <w:sz w:val="24"/>
          <w:szCs w:val="24"/>
        </w:rPr>
        <w:t>ICD-10-CM</w:t>
      </w:r>
      <w:r w:rsidRPr="00BD4958">
        <w:rPr>
          <w:rFonts w:ascii="Times New Roman" w:hAnsi="Times New Roman" w:cs="Times New Roman"/>
          <w:sz w:val="24"/>
          <w:szCs w:val="24"/>
        </w:rPr>
        <w:t>—</w:t>
      </w:r>
      <w:r w:rsidRPr="00BD4958">
        <w:rPr>
          <w:rStyle w:val="Emphasis"/>
          <w:rFonts w:ascii="Times New Roman" w:hAnsi="Times New Roman" w:cs="Times New Roman"/>
          <w:sz w:val="24"/>
          <w:szCs w:val="24"/>
        </w:rPr>
        <w:t>diagnosis</w:t>
      </w:r>
      <w:r w:rsidRPr="00BD4958">
        <w:rPr>
          <w:rFonts w:ascii="Times New Roman" w:hAnsi="Times New Roman" w:cs="Times New Roman"/>
          <w:sz w:val="24"/>
          <w:szCs w:val="24"/>
        </w:rPr>
        <w:t> code set used for </w:t>
      </w:r>
      <w:r w:rsidRPr="00BD4958">
        <w:rPr>
          <w:rStyle w:val="Emphasis"/>
          <w:rFonts w:ascii="Times New Roman" w:hAnsi="Times New Roman" w:cs="Times New Roman"/>
          <w:sz w:val="24"/>
          <w:szCs w:val="24"/>
        </w:rPr>
        <w:t>all</w:t>
      </w:r>
      <w:r w:rsidRPr="00BD4958">
        <w:rPr>
          <w:rFonts w:ascii="Times New Roman" w:hAnsi="Times New Roman" w:cs="Times New Roman"/>
          <w:sz w:val="24"/>
          <w:szCs w:val="24"/>
        </w:rPr>
        <w:t> healthcare settings</w:t>
      </w:r>
    </w:p>
    <w:p w14:paraId="1341BDED" w14:textId="244BFBC6" w:rsidR="00C13D88" w:rsidRPr="00E8684F" w:rsidRDefault="008C25CB" w:rsidP="00E8684F">
      <w:pPr>
        <w:numPr>
          <w:ilvl w:val="0"/>
          <w:numId w:val="14"/>
        </w:numPr>
        <w:shd w:val="clear" w:color="auto" w:fill="FFFFFF"/>
        <w:spacing w:before="75" w:after="120" w:line="240" w:lineRule="auto"/>
        <w:ind w:left="150"/>
        <w:rPr>
          <w:rStyle w:val="Strong"/>
          <w:rFonts w:ascii="Times New Roman" w:hAnsi="Times New Roman" w:cs="Times New Roman"/>
          <w:b w:val="0"/>
          <w:bCs w:val="0"/>
          <w:sz w:val="24"/>
          <w:szCs w:val="24"/>
        </w:rPr>
      </w:pPr>
      <w:r w:rsidRPr="00BD4958">
        <w:rPr>
          <w:rStyle w:val="Strong"/>
          <w:rFonts w:ascii="Times New Roman" w:hAnsi="Times New Roman" w:cs="Times New Roman"/>
          <w:sz w:val="24"/>
          <w:szCs w:val="24"/>
        </w:rPr>
        <w:t>ICD-10-PCS</w:t>
      </w:r>
      <w:r w:rsidRPr="00BD4958">
        <w:rPr>
          <w:rFonts w:ascii="Times New Roman" w:hAnsi="Times New Roman" w:cs="Times New Roman"/>
          <w:sz w:val="24"/>
          <w:szCs w:val="24"/>
        </w:rPr>
        <w:t>—</w:t>
      </w:r>
      <w:r w:rsidRPr="00BD4958">
        <w:rPr>
          <w:rStyle w:val="Emphasis"/>
          <w:rFonts w:ascii="Times New Roman" w:hAnsi="Times New Roman" w:cs="Times New Roman"/>
          <w:sz w:val="24"/>
          <w:szCs w:val="24"/>
        </w:rPr>
        <w:t>procedure</w:t>
      </w:r>
      <w:r w:rsidRPr="00BD4958">
        <w:rPr>
          <w:rFonts w:ascii="Times New Roman" w:hAnsi="Times New Roman" w:cs="Times New Roman"/>
          <w:sz w:val="24"/>
          <w:szCs w:val="24"/>
        </w:rPr>
        <w:t> code set used </w:t>
      </w:r>
      <w:r w:rsidRPr="00BD4958">
        <w:rPr>
          <w:rStyle w:val="Emphasis"/>
          <w:rFonts w:ascii="Times New Roman" w:hAnsi="Times New Roman" w:cs="Times New Roman"/>
          <w:sz w:val="24"/>
          <w:szCs w:val="24"/>
        </w:rPr>
        <w:t>only</w:t>
      </w:r>
      <w:r w:rsidRPr="00BD4958">
        <w:rPr>
          <w:rFonts w:ascii="Times New Roman" w:hAnsi="Times New Roman" w:cs="Times New Roman"/>
          <w:sz w:val="24"/>
          <w:szCs w:val="24"/>
        </w:rPr>
        <w:t> in hospital inpatient settings</w:t>
      </w:r>
    </w:p>
    <w:p w14:paraId="7398EEA0" w14:textId="77777777" w:rsidR="00BD4958" w:rsidRDefault="00BD4958" w:rsidP="00C13D88">
      <w:pPr>
        <w:rPr>
          <w:rFonts w:ascii="Times New Roman" w:hAnsi="Times New Roman" w:cs="Times New Roman"/>
          <w:sz w:val="24"/>
          <w:szCs w:val="24"/>
        </w:rPr>
      </w:pPr>
    </w:p>
    <w:p w14:paraId="1F421812" w14:textId="77777777" w:rsidR="00615649" w:rsidRDefault="006E4EBA" w:rsidP="006E4EBA">
      <w:pPr>
        <w:ind w:left="720" w:firstLine="720"/>
        <w:rPr>
          <w:rFonts w:ascii="Times New Roman" w:hAnsi="Times New Roman" w:cs="Times New Roman"/>
          <w:b/>
          <w:sz w:val="28"/>
          <w:szCs w:val="24"/>
        </w:rPr>
      </w:pPr>
      <w:r>
        <w:rPr>
          <w:rFonts w:ascii="Times New Roman" w:hAnsi="Times New Roman" w:cs="Times New Roman"/>
          <w:b/>
          <w:sz w:val="28"/>
          <w:szCs w:val="24"/>
        </w:rPr>
        <w:t xml:space="preserve">               </w:t>
      </w:r>
    </w:p>
    <w:p w14:paraId="7AB08B3B" w14:textId="77777777" w:rsidR="00615649" w:rsidRDefault="00615649" w:rsidP="006E4EBA">
      <w:pPr>
        <w:ind w:left="720" w:firstLine="720"/>
        <w:rPr>
          <w:rFonts w:ascii="Times New Roman" w:hAnsi="Times New Roman" w:cs="Times New Roman"/>
          <w:b/>
          <w:sz w:val="28"/>
          <w:szCs w:val="24"/>
        </w:rPr>
      </w:pPr>
    </w:p>
    <w:p w14:paraId="2D283C55" w14:textId="7784767D" w:rsidR="00C13D88" w:rsidRPr="00BD4958" w:rsidRDefault="00615649" w:rsidP="00615649">
      <w:pPr>
        <w:ind w:left="2160"/>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00C13D88" w:rsidRPr="00BD4958">
        <w:rPr>
          <w:rFonts w:ascii="Times New Roman" w:hAnsi="Times New Roman" w:cs="Times New Roman"/>
          <w:b/>
          <w:sz w:val="28"/>
          <w:szCs w:val="24"/>
        </w:rPr>
        <w:t>Structure of ICD-10 Codes</w:t>
      </w:r>
    </w:p>
    <w:p w14:paraId="5C1FE01F" w14:textId="77777777" w:rsidR="00C13D88" w:rsidRPr="00BD4958" w:rsidRDefault="00C13D88" w:rsidP="00C13D88">
      <w:pPr>
        <w:pStyle w:val="NormalWeb"/>
        <w:shd w:val="clear" w:color="auto" w:fill="FFFFFF"/>
      </w:pPr>
      <w:r w:rsidRPr="00BD4958">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BD4958" w:rsidRDefault="00C13D88" w:rsidP="00C13D88">
      <w:pPr>
        <w:pStyle w:val="NormalWeb"/>
        <w:shd w:val="clear" w:color="auto" w:fill="FFFFFF"/>
        <w:rPr>
          <w:sz w:val="28"/>
        </w:rPr>
      </w:pPr>
      <w:r w:rsidRPr="00BD4958">
        <w:rPr>
          <w:rStyle w:val="Strong"/>
          <w:sz w:val="28"/>
        </w:rPr>
        <w:t>Tabular List</w:t>
      </w:r>
    </w:p>
    <w:p w14:paraId="12FB090C" w14:textId="77777777" w:rsidR="00C13D88" w:rsidRPr="00BD4958" w:rsidRDefault="00C13D88" w:rsidP="00C13D88">
      <w:pPr>
        <w:pStyle w:val="NormalWeb"/>
        <w:numPr>
          <w:ilvl w:val="0"/>
          <w:numId w:val="15"/>
        </w:numPr>
        <w:shd w:val="clear" w:color="auto" w:fill="FFFFFF"/>
      </w:pPr>
      <w:r w:rsidRPr="00BD4958">
        <w:t>The Tabular List is organized into 21 chapters according to body system or condition, with diagnosis codes listed alphanumerically in each chapter.</w:t>
      </w:r>
    </w:p>
    <w:p w14:paraId="4396C61C" w14:textId="77777777" w:rsidR="00C13D88" w:rsidRPr="00BD4958" w:rsidRDefault="00C13D88" w:rsidP="00C13D88">
      <w:pPr>
        <w:pStyle w:val="NormalWeb"/>
        <w:shd w:val="clear" w:color="auto" w:fill="FFFFFF"/>
        <w:rPr>
          <w:sz w:val="28"/>
        </w:rPr>
      </w:pPr>
      <w:r w:rsidRPr="00BD4958">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BD4958"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Description</w:t>
            </w:r>
          </w:p>
        </w:tc>
      </w:tr>
      <w:tr w:rsidR="00BD4958" w:rsidRPr="00BD4958"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BD4958" w:rsidRDefault="00FE5223">
            <w:pPr>
              <w:spacing w:after="330"/>
              <w:rPr>
                <w:rFonts w:ascii="Times New Roman" w:hAnsi="Times New Roman" w:cs="Times New Roman"/>
                <w:sz w:val="24"/>
                <w:szCs w:val="24"/>
              </w:rPr>
            </w:pPr>
            <w:hyperlink r:id="rId19" w:history="1">
              <w:r w:rsidR="00C13D88" w:rsidRPr="00BD4958">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Certain Infectious and Parasitic Diseases</w:t>
            </w:r>
          </w:p>
        </w:tc>
      </w:tr>
      <w:tr w:rsidR="00BD4958" w:rsidRPr="00BD4958"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BD4958" w:rsidRDefault="00FE5223">
            <w:pPr>
              <w:spacing w:after="330"/>
              <w:rPr>
                <w:rFonts w:ascii="Times New Roman" w:hAnsi="Times New Roman" w:cs="Times New Roman"/>
                <w:sz w:val="24"/>
                <w:szCs w:val="24"/>
              </w:rPr>
            </w:pPr>
            <w:hyperlink r:id="rId20" w:history="1">
              <w:r w:rsidR="00C13D88" w:rsidRPr="00BD4958">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Neoplasms</w:t>
            </w:r>
          </w:p>
        </w:tc>
      </w:tr>
      <w:tr w:rsidR="00BD4958" w:rsidRPr="00BD4958"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BD4958" w:rsidRDefault="00FE5223">
            <w:pPr>
              <w:spacing w:after="330"/>
              <w:rPr>
                <w:rFonts w:ascii="Times New Roman" w:hAnsi="Times New Roman" w:cs="Times New Roman"/>
                <w:sz w:val="24"/>
                <w:szCs w:val="24"/>
              </w:rPr>
            </w:pPr>
            <w:hyperlink r:id="rId21" w:history="1">
              <w:r w:rsidR="00C13D88" w:rsidRPr="00BD4958">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 xml:space="preserve">Diseases of the Blood and Blood-Forming Organs and Certain Disorders </w:t>
            </w:r>
          </w:p>
          <w:p w14:paraId="1B36163E" w14:textId="3F1410CC"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Involving the Immune Mechanism</w:t>
            </w:r>
          </w:p>
        </w:tc>
      </w:tr>
      <w:tr w:rsidR="00BD4958" w:rsidRPr="00BD4958"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BD4958" w:rsidRDefault="00FE5223">
            <w:pPr>
              <w:spacing w:after="330"/>
              <w:rPr>
                <w:rFonts w:ascii="Times New Roman" w:hAnsi="Times New Roman" w:cs="Times New Roman"/>
                <w:sz w:val="24"/>
                <w:szCs w:val="24"/>
              </w:rPr>
            </w:pPr>
            <w:hyperlink r:id="rId22" w:history="1">
              <w:r w:rsidR="00C13D88" w:rsidRPr="00BD4958">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Endocrine, Nutritional and Metabolic Diseases</w:t>
            </w:r>
          </w:p>
        </w:tc>
      </w:tr>
      <w:tr w:rsidR="00BD4958" w:rsidRPr="00BD4958"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BD4958" w:rsidRDefault="00FE5223">
            <w:pPr>
              <w:spacing w:after="330"/>
              <w:rPr>
                <w:rFonts w:ascii="Times New Roman" w:hAnsi="Times New Roman" w:cs="Times New Roman"/>
                <w:sz w:val="24"/>
                <w:szCs w:val="24"/>
              </w:rPr>
            </w:pPr>
            <w:hyperlink r:id="rId23" w:history="1">
              <w:r w:rsidR="00C13D88" w:rsidRPr="00BD4958">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Mental, Behavioral and Neurodevelopmental Disorders</w:t>
            </w:r>
          </w:p>
        </w:tc>
      </w:tr>
      <w:tr w:rsidR="00BD4958" w:rsidRPr="00BD4958"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BD4958" w:rsidRDefault="00FE5223">
            <w:pPr>
              <w:spacing w:after="330"/>
              <w:rPr>
                <w:rFonts w:ascii="Times New Roman" w:hAnsi="Times New Roman" w:cs="Times New Roman"/>
                <w:sz w:val="24"/>
                <w:szCs w:val="24"/>
              </w:rPr>
            </w:pPr>
            <w:hyperlink r:id="rId24" w:history="1">
              <w:r w:rsidR="00C13D88" w:rsidRPr="00BD4958">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Nervous System</w:t>
            </w:r>
          </w:p>
        </w:tc>
      </w:tr>
      <w:tr w:rsidR="00BD4958" w:rsidRPr="00BD4958"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BD4958" w:rsidRDefault="00FE5223">
            <w:pPr>
              <w:spacing w:after="330"/>
              <w:rPr>
                <w:rFonts w:ascii="Times New Roman" w:hAnsi="Times New Roman" w:cs="Times New Roman"/>
                <w:sz w:val="24"/>
                <w:szCs w:val="24"/>
              </w:rPr>
            </w:pPr>
            <w:hyperlink r:id="rId25" w:history="1">
              <w:r w:rsidR="00C13D88" w:rsidRPr="00BD4958">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Eye and Adnexa</w:t>
            </w:r>
          </w:p>
        </w:tc>
      </w:tr>
      <w:tr w:rsidR="00BD4958" w:rsidRPr="00BD4958"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BD4958" w:rsidRDefault="00FE5223">
            <w:pPr>
              <w:spacing w:after="330"/>
              <w:rPr>
                <w:rFonts w:ascii="Times New Roman" w:hAnsi="Times New Roman" w:cs="Times New Roman"/>
                <w:sz w:val="24"/>
                <w:szCs w:val="24"/>
              </w:rPr>
            </w:pPr>
            <w:hyperlink r:id="rId26" w:history="1">
              <w:r w:rsidR="00C13D88" w:rsidRPr="00BD4958">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Ear and Mastoid Process</w:t>
            </w:r>
          </w:p>
        </w:tc>
      </w:tr>
      <w:tr w:rsidR="00BD4958" w:rsidRPr="00BD4958"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lastRenderedPageBreak/>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BD4958" w:rsidRDefault="00FE5223">
            <w:pPr>
              <w:spacing w:after="330"/>
              <w:rPr>
                <w:rFonts w:ascii="Times New Roman" w:hAnsi="Times New Roman" w:cs="Times New Roman"/>
                <w:sz w:val="24"/>
                <w:szCs w:val="24"/>
              </w:rPr>
            </w:pPr>
            <w:hyperlink r:id="rId27" w:history="1">
              <w:r w:rsidR="00C13D88" w:rsidRPr="00BD4958">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Circulatory System</w:t>
            </w:r>
          </w:p>
        </w:tc>
      </w:tr>
      <w:tr w:rsidR="00BD4958" w:rsidRPr="00BD4958"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BD4958" w:rsidRDefault="00FE5223">
            <w:pPr>
              <w:spacing w:after="330"/>
              <w:rPr>
                <w:rFonts w:ascii="Times New Roman" w:hAnsi="Times New Roman" w:cs="Times New Roman"/>
                <w:sz w:val="24"/>
                <w:szCs w:val="24"/>
              </w:rPr>
            </w:pPr>
            <w:hyperlink r:id="rId28" w:history="1">
              <w:r w:rsidR="00C13D88" w:rsidRPr="00BD4958">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Respiratory System</w:t>
            </w:r>
          </w:p>
        </w:tc>
      </w:tr>
      <w:tr w:rsidR="00BD4958" w:rsidRPr="00BD4958"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BD4958" w:rsidRDefault="00FE5223">
            <w:pPr>
              <w:spacing w:after="330"/>
              <w:rPr>
                <w:rFonts w:ascii="Times New Roman" w:hAnsi="Times New Roman" w:cs="Times New Roman"/>
                <w:sz w:val="24"/>
                <w:szCs w:val="24"/>
              </w:rPr>
            </w:pPr>
            <w:hyperlink r:id="rId29" w:history="1">
              <w:r w:rsidR="00C13D88" w:rsidRPr="00BD4958">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Digestive System</w:t>
            </w:r>
          </w:p>
        </w:tc>
      </w:tr>
      <w:tr w:rsidR="00BD4958" w:rsidRPr="00BD4958"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BD4958" w:rsidRDefault="00FE5223">
            <w:pPr>
              <w:spacing w:after="330"/>
              <w:rPr>
                <w:rFonts w:ascii="Times New Roman" w:hAnsi="Times New Roman" w:cs="Times New Roman"/>
                <w:sz w:val="24"/>
                <w:szCs w:val="24"/>
              </w:rPr>
            </w:pPr>
            <w:hyperlink r:id="rId30" w:history="1">
              <w:r w:rsidR="00C13D88" w:rsidRPr="00BD4958">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Skin and Subcutaneous Tissue</w:t>
            </w:r>
          </w:p>
        </w:tc>
      </w:tr>
      <w:tr w:rsidR="00BD4958" w:rsidRPr="00BD4958"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BD4958" w:rsidRDefault="00FE5223">
            <w:pPr>
              <w:spacing w:after="330"/>
              <w:rPr>
                <w:rFonts w:ascii="Times New Roman" w:hAnsi="Times New Roman" w:cs="Times New Roman"/>
                <w:sz w:val="24"/>
                <w:szCs w:val="24"/>
              </w:rPr>
            </w:pPr>
            <w:hyperlink r:id="rId31" w:history="1">
              <w:r w:rsidR="00C13D88" w:rsidRPr="00BD4958">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Musculoskeletal System and Connective Tissue</w:t>
            </w:r>
          </w:p>
        </w:tc>
      </w:tr>
      <w:tr w:rsidR="00BD4958" w:rsidRPr="00BD4958"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BD4958" w:rsidRDefault="00FE5223">
            <w:pPr>
              <w:spacing w:after="330"/>
              <w:rPr>
                <w:rFonts w:ascii="Times New Roman" w:hAnsi="Times New Roman" w:cs="Times New Roman"/>
                <w:sz w:val="24"/>
                <w:szCs w:val="24"/>
              </w:rPr>
            </w:pPr>
            <w:hyperlink r:id="rId32" w:history="1">
              <w:r w:rsidR="00C13D88" w:rsidRPr="00BD4958">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Diseases of the Genitourinary System</w:t>
            </w:r>
          </w:p>
        </w:tc>
      </w:tr>
      <w:tr w:rsidR="00BD4958" w:rsidRPr="00BD4958"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BD4958" w:rsidRDefault="00FE5223">
            <w:pPr>
              <w:spacing w:after="330"/>
              <w:rPr>
                <w:rFonts w:ascii="Times New Roman" w:hAnsi="Times New Roman" w:cs="Times New Roman"/>
                <w:sz w:val="24"/>
                <w:szCs w:val="24"/>
              </w:rPr>
            </w:pPr>
            <w:hyperlink r:id="rId33" w:history="1">
              <w:r w:rsidR="00C13D88" w:rsidRPr="00BD4958">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Pregnancy, Childbirth and the Puerperium</w:t>
            </w:r>
          </w:p>
        </w:tc>
      </w:tr>
      <w:tr w:rsidR="00BD4958" w:rsidRPr="00BD4958"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BD4958" w:rsidRDefault="00FE5223">
            <w:pPr>
              <w:spacing w:after="330"/>
              <w:rPr>
                <w:rFonts w:ascii="Times New Roman" w:hAnsi="Times New Roman" w:cs="Times New Roman"/>
                <w:sz w:val="24"/>
                <w:szCs w:val="24"/>
              </w:rPr>
            </w:pPr>
            <w:hyperlink r:id="rId34" w:history="1">
              <w:r w:rsidR="00C13D88" w:rsidRPr="00BD4958">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Certain Conditions Originating in the Perinatal Period</w:t>
            </w:r>
          </w:p>
        </w:tc>
      </w:tr>
      <w:tr w:rsidR="00BD4958" w:rsidRPr="00BD4958"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BD4958" w:rsidRDefault="00FE5223">
            <w:pPr>
              <w:spacing w:after="330"/>
              <w:rPr>
                <w:rFonts w:ascii="Times New Roman" w:hAnsi="Times New Roman" w:cs="Times New Roman"/>
                <w:sz w:val="24"/>
                <w:szCs w:val="24"/>
              </w:rPr>
            </w:pPr>
            <w:hyperlink r:id="rId35" w:history="1">
              <w:r w:rsidR="00C13D88" w:rsidRPr="00BD4958">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Congenital Malformations, Deformations, and Chromosomal</w:t>
            </w:r>
          </w:p>
          <w:p w14:paraId="3AA78F0C" w14:textId="4D0754A4"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 xml:space="preserve"> Abnormalities</w:t>
            </w:r>
          </w:p>
        </w:tc>
      </w:tr>
      <w:tr w:rsidR="00BD4958" w:rsidRPr="00BD4958"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BD4958" w:rsidRDefault="00FE5223">
            <w:pPr>
              <w:spacing w:after="330"/>
              <w:rPr>
                <w:rFonts w:ascii="Times New Roman" w:hAnsi="Times New Roman" w:cs="Times New Roman"/>
                <w:sz w:val="24"/>
                <w:szCs w:val="24"/>
              </w:rPr>
            </w:pPr>
            <w:hyperlink r:id="rId36" w:history="1">
              <w:r w:rsidR="00C13D88" w:rsidRPr="00BD4958">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 xml:space="preserve">Symptoms, Signs, and Abnormal Clinical and Laboratory Findings, Not </w:t>
            </w:r>
          </w:p>
          <w:p w14:paraId="0F906D1F" w14:textId="32BA2754"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Elsewhere Classified</w:t>
            </w:r>
          </w:p>
        </w:tc>
      </w:tr>
      <w:tr w:rsidR="00BD4958" w:rsidRPr="00BD4958"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BD4958" w:rsidRDefault="00FE5223">
            <w:pPr>
              <w:spacing w:after="330"/>
              <w:rPr>
                <w:rFonts w:ascii="Times New Roman" w:hAnsi="Times New Roman" w:cs="Times New Roman"/>
                <w:sz w:val="24"/>
                <w:szCs w:val="24"/>
              </w:rPr>
            </w:pPr>
            <w:hyperlink r:id="rId37" w:history="1">
              <w:r w:rsidR="00C13D88" w:rsidRPr="00BD4958">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Injury, Poisoning, and Certain Other Consequences of External Causes</w:t>
            </w:r>
          </w:p>
        </w:tc>
      </w:tr>
      <w:tr w:rsidR="00BD4958" w:rsidRPr="00BD4958"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BD4958" w:rsidRDefault="00FE5223">
            <w:pPr>
              <w:spacing w:after="330"/>
              <w:rPr>
                <w:rFonts w:ascii="Times New Roman" w:hAnsi="Times New Roman" w:cs="Times New Roman"/>
                <w:sz w:val="24"/>
                <w:szCs w:val="24"/>
              </w:rPr>
            </w:pPr>
            <w:hyperlink r:id="rId38" w:history="1">
              <w:r w:rsidR="00C13D88" w:rsidRPr="00BD4958">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External Causes of Morbidity</w:t>
            </w:r>
          </w:p>
        </w:tc>
      </w:tr>
      <w:tr w:rsidR="00BD4958" w:rsidRPr="00BD4958"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BD4958" w:rsidRDefault="00C13D88">
            <w:pPr>
              <w:spacing w:after="330"/>
              <w:rPr>
                <w:rFonts w:ascii="Times New Roman" w:hAnsi="Times New Roman" w:cs="Times New Roman"/>
                <w:sz w:val="24"/>
                <w:szCs w:val="24"/>
              </w:rPr>
            </w:pPr>
            <w:r w:rsidRPr="00BD4958">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BD4958" w:rsidRDefault="00FE5223">
            <w:pPr>
              <w:spacing w:after="330"/>
              <w:rPr>
                <w:rFonts w:ascii="Times New Roman" w:hAnsi="Times New Roman" w:cs="Times New Roman"/>
                <w:sz w:val="24"/>
                <w:szCs w:val="24"/>
              </w:rPr>
            </w:pPr>
            <w:hyperlink r:id="rId39" w:history="1">
              <w:r w:rsidR="00C13D88" w:rsidRPr="00BD4958">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BD4958" w:rsidRDefault="00C13D88">
            <w:pPr>
              <w:spacing w:after="330"/>
              <w:rPr>
                <w:rFonts w:ascii="Times New Roman" w:hAnsi="Times New Roman" w:cs="Times New Roman"/>
                <w:sz w:val="24"/>
                <w:szCs w:val="24"/>
              </w:rPr>
            </w:pPr>
            <w:r w:rsidRPr="00BD4958">
              <w:rPr>
                <w:rFonts w:ascii="Times New Roman" w:hAnsi="Times New Roman" w:cs="Times New Roman"/>
                <w:sz w:val="24"/>
                <w:szCs w:val="24"/>
              </w:rPr>
              <w:t>Factors Influencing Health Status and Contact with Health Services</w:t>
            </w:r>
          </w:p>
        </w:tc>
      </w:tr>
    </w:tbl>
    <w:p w14:paraId="22F67646" w14:textId="099F376D" w:rsidR="005E3A9B" w:rsidRDefault="005E3A9B" w:rsidP="00C13D88">
      <w:pPr>
        <w:shd w:val="clear" w:color="auto" w:fill="FFFFFF"/>
        <w:spacing w:before="75" w:after="120" w:line="240" w:lineRule="auto"/>
        <w:ind w:left="-210"/>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14:paraId="0C001F8F" w14:textId="77777777" w:rsidTr="005E3A9B">
        <w:tc>
          <w:tcPr>
            <w:tcW w:w="4675" w:type="dxa"/>
          </w:tcPr>
          <w:p w14:paraId="3A26154F" w14:textId="015D749B" w:rsidR="005E3A9B" w:rsidRDefault="005E3A9B" w:rsidP="00C13D88">
            <w:pPr>
              <w:spacing w:before="75" w:after="120"/>
              <w:jc w:val="center"/>
              <w:rPr>
                <w:rFonts w:ascii="Times New Roman" w:hAnsi="Times New Roman" w:cs="Times New Roman"/>
                <w:b/>
                <w:sz w:val="32"/>
                <w:szCs w:val="24"/>
              </w:rPr>
            </w:pPr>
            <w:r>
              <w:rPr>
                <w:rFonts w:ascii="Times New Roman" w:hAnsi="Times New Roman" w:cs="Times New Roman"/>
                <w:b/>
                <w:sz w:val="32"/>
                <w:szCs w:val="24"/>
              </w:rPr>
              <w:t>ICD-9-CM</w:t>
            </w:r>
          </w:p>
        </w:tc>
        <w:tc>
          <w:tcPr>
            <w:tcW w:w="4675" w:type="dxa"/>
          </w:tcPr>
          <w:p w14:paraId="620C46AC" w14:textId="6F1A9EA3" w:rsidR="005E3A9B" w:rsidRDefault="005E3A9B" w:rsidP="00C13D88">
            <w:pPr>
              <w:spacing w:before="75" w:after="120"/>
              <w:jc w:val="center"/>
              <w:rPr>
                <w:rFonts w:ascii="Times New Roman" w:hAnsi="Times New Roman" w:cs="Times New Roman"/>
                <w:b/>
                <w:sz w:val="32"/>
                <w:szCs w:val="24"/>
              </w:rPr>
            </w:pPr>
            <w:r>
              <w:rPr>
                <w:rFonts w:ascii="Times New Roman" w:hAnsi="Times New Roman" w:cs="Times New Roman"/>
                <w:b/>
                <w:sz w:val="32"/>
                <w:szCs w:val="24"/>
              </w:rPr>
              <w:t>ICD-10-CM</w:t>
            </w:r>
          </w:p>
        </w:tc>
      </w:tr>
      <w:tr w:rsidR="005E3A9B" w14:paraId="465769EF" w14:textId="77777777" w:rsidTr="005E3A9B">
        <w:tc>
          <w:tcPr>
            <w:tcW w:w="4675" w:type="dxa"/>
          </w:tcPr>
          <w:p w14:paraId="7BC77A13" w14:textId="02D61083" w:rsidR="005E3A9B" w:rsidRPr="00920D41" w:rsidRDefault="005E3A9B" w:rsidP="00C13D88">
            <w:pPr>
              <w:spacing w:before="75" w:after="120"/>
              <w:jc w:val="center"/>
              <w:rPr>
                <w:rFonts w:ascii="Times New Roman" w:hAnsi="Times New Roman" w:cs="Times New Roman"/>
                <w:b/>
                <w:sz w:val="24"/>
                <w:szCs w:val="24"/>
              </w:rPr>
            </w:pPr>
            <w:r w:rsidRPr="00920D41">
              <w:rPr>
                <w:rFonts w:ascii="Times New Roman" w:hAnsi="Times New Roman" w:cs="Times New Roman"/>
                <w:color w:val="212121"/>
                <w:sz w:val="24"/>
                <w:szCs w:val="24"/>
                <w:shd w:val="clear" w:color="auto" w:fill="FFFFFF"/>
              </w:rPr>
              <w:t>13,000 codes</w:t>
            </w:r>
          </w:p>
        </w:tc>
        <w:tc>
          <w:tcPr>
            <w:tcW w:w="4675" w:type="dxa"/>
          </w:tcPr>
          <w:p w14:paraId="2EA335E5" w14:textId="1DFE2223" w:rsidR="005E3A9B" w:rsidRPr="00920D41" w:rsidRDefault="005E3A9B" w:rsidP="00C13D88">
            <w:pPr>
              <w:spacing w:before="75" w:after="120"/>
              <w:jc w:val="center"/>
              <w:rPr>
                <w:rFonts w:ascii="Times New Roman" w:hAnsi="Times New Roman" w:cs="Times New Roman"/>
                <w:b/>
                <w:sz w:val="24"/>
                <w:szCs w:val="24"/>
              </w:rPr>
            </w:pPr>
            <w:r w:rsidRPr="00920D41">
              <w:rPr>
                <w:rFonts w:ascii="Times New Roman" w:hAnsi="Times New Roman" w:cs="Times New Roman"/>
                <w:color w:val="212121"/>
                <w:sz w:val="24"/>
                <w:szCs w:val="24"/>
                <w:shd w:val="clear" w:color="auto" w:fill="FFFFFF"/>
              </w:rPr>
              <w:t>68,000 codes</w:t>
            </w:r>
          </w:p>
        </w:tc>
      </w:tr>
      <w:tr w:rsidR="005E3A9B" w14:paraId="1087D215" w14:textId="77777777" w:rsidTr="005E3A9B">
        <w:tc>
          <w:tcPr>
            <w:tcW w:w="4675" w:type="dxa"/>
          </w:tcPr>
          <w:p w14:paraId="2287C434" w14:textId="693DF335"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3-5 characters in length</w:t>
            </w:r>
          </w:p>
        </w:tc>
        <w:tc>
          <w:tcPr>
            <w:tcW w:w="4675" w:type="dxa"/>
          </w:tcPr>
          <w:p w14:paraId="4D7EB237" w14:textId="4DE26C77"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3-7 characters in length</w:t>
            </w:r>
          </w:p>
        </w:tc>
      </w:tr>
      <w:tr w:rsidR="005E3A9B" w14:paraId="1C0610B4" w14:textId="77777777" w:rsidTr="005E3A9B">
        <w:tc>
          <w:tcPr>
            <w:tcW w:w="4675" w:type="dxa"/>
          </w:tcPr>
          <w:p w14:paraId="45932AE6" w14:textId="75856F16"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14:paraId="75407745" w14:textId="77777777" w:rsidTr="005E3A9B">
        <w:tc>
          <w:tcPr>
            <w:tcW w:w="4675" w:type="dxa"/>
          </w:tcPr>
          <w:p w14:paraId="2FBB9837" w14:textId="2B51F705"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Limited space for adding new codes</w:t>
            </w:r>
          </w:p>
        </w:tc>
        <w:tc>
          <w:tcPr>
            <w:tcW w:w="4675" w:type="dxa"/>
          </w:tcPr>
          <w:p w14:paraId="4ACB531E" w14:textId="70BAD00C" w:rsidR="005E3A9B" w:rsidRPr="00920D41" w:rsidRDefault="00920D41" w:rsidP="00920D41">
            <w:pPr>
              <w:spacing w:before="75" w:after="120"/>
              <w:jc w:val="center"/>
              <w:rPr>
                <w:rFonts w:ascii="Times New Roman" w:hAnsi="Times New Roman" w:cs="Times New Roman"/>
                <w:color w:val="212121"/>
                <w:sz w:val="24"/>
                <w:szCs w:val="24"/>
                <w:shd w:val="clear" w:color="auto" w:fill="FFFFFF"/>
              </w:rPr>
            </w:pPr>
            <w:r w:rsidRPr="00920D41">
              <w:rPr>
                <w:rFonts w:ascii="Times New Roman" w:hAnsi="Times New Roman" w:cs="Times New Roman"/>
                <w:sz w:val="24"/>
                <w:szCs w:val="24"/>
              </w:rPr>
              <w:t>Flexible for adding new codes</w:t>
            </w:r>
          </w:p>
        </w:tc>
      </w:tr>
      <w:tr w:rsidR="005E3A9B" w14:paraId="3455DB40" w14:textId="77777777" w:rsidTr="005E3A9B">
        <w:tc>
          <w:tcPr>
            <w:tcW w:w="4675" w:type="dxa"/>
          </w:tcPr>
          <w:p w14:paraId="452C75F2" w14:textId="4F923C5E"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Lacks detail</w:t>
            </w:r>
          </w:p>
        </w:tc>
        <w:tc>
          <w:tcPr>
            <w:tcW w:w="4675" w:type="dxa"/>
          </w:tcPr>
          <w:p w14:paraId="55B5A3B3" w14:textId="722E1D50"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Very specific</w:t>
            </w:r>
          </w:p>
        </w:tc>
      </w:tr>
      <w:tr w:rsidR="005E3A9B" w14:paraId="3292179E" w14:textId="77777777" w:rsidTr="005E3A9B">
        <w:tc>
          <w:tcPr>
            <w:tcW w:w="4675" w:type="dxa"/>
          </w:tcPr>
          <w:p w14:paraId="5CC8FC31" w14:textId="550CB9DB"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Lacks laterality</w:t>
            </w:r>
          </w:p>
        </w:tc>
        <w:tc>
          <w:tcPr>
            <w:tcW w:w="4675" w:type="dxa"/>
          </w:tcPr>
          <w:p w14:paraId="257FCAC1" w14:textId="5C6C40FD" w:rsidR="005E3A9B" w:rsidRPr="00920D41" w:rsidRDefault="00920D41" w:rsidP="00C13D88">
            <w:pPr>
              <w:spacing w:before="75" w:after="120"/>
              <w:jc w:val="center"/>
              <w:rPr>
                <w:rFonts w:ascii="Times New Roman" w:hAnsi="Times New Roman" w:cs="Times New Roman"/>
                <w:b/>
                <w:sz w:val="24"/>
                <w:szCs w:val="24"/>
              </w:rPr>
            </w:pPr>
            <w:r w:rsidRPr="00920D41">
              <w:rPr>
                <w:rFonts w:ascii="Times New Roman" w:hAnsi="Times New Roman" w:cs="Times New Roman"/>
                <w:sz w:val="24"/>
                <w:szCs w:val="24"/>
              </w:rPr>
              <w:t>Includes laterality (i.e., codes identifying right vs. left)</w:t>
            </w:r>
          </w:p>
        </w:tc>
      </w:tr>
    </w:tbl>
    <w:p w14:paraId="6E176EBE" w14:textId="140058D3" w:rsidR="00E67412" w:rsidRDefault="00E67412" w:rsidP="00E67412">
      <w:pPr>
        <w:shd w:val="clear" w:color="auto" w:fill="FFFFFF"/>
        <w:spacing w:before="75" w:after="120" w:line="240" w:lineRule="auto"/>
        <w:rPr>
          <w:rFonts w:ascii="Times New Roman" w:hAnsi="Times New Roman" w:cs="Times New Roman"/>
          <w:b/>
          <w:sz w:val="32"/>
          <w:szCs w:val="24"/>
        </w:rPr>
      </w:pPr>
    </w:p>
    <w:p w14:paraId="6C5C5C69" w14:textId="09BFD7D9" w:rsidR="00E67412" w:rsidRDefault="00E67412" w:rsidP="00E67412">
      <w:pPr>
        <w:shd w:val="clear" w:color="auto" w:fill="FFFFFF"/>
        <w:spacing w:before="75" w:after="120" w:line="240" w:lineRule="auto"/>
        <w:rPr>
          <w:rFonts w:ascii="Times New Roman" w:hAnsi="Times New Roman" w:cs="Times New Roman"/>
          <w:b/>
          <w:sz w:val="32"/>
          <w:szCs w:val="24"/>
        </w:rPr>
      </w:pPr>
      <w:r>
        <w:rPr>
          <w:rFonts w:ascii="Times New Roman" w:hAnsi="Times New Roman" w:cs="Times New Roman"/>
          <w:b/>
          <w:sz w:val="32"/>
          <w:szCs w:val="24"/>
        </w:rPr>
        <w:t xml:space="preserve">Reasons of using </w:t>
      </w:r>
      <w:r w:rsidR="006F46A3">
        <w:rPr>
          <w:rFonts w:ascii="Times New Roman" w:hAnsi="Times New Roman" w:cs="Times New Roman"/>
          <w:b/>
          <w:sz w:val="32"/>
          <w:szCs w:val="24"/>
        </w:rPr>
        <w:t>ICD-10-CM instead of ICD-9-CM</w:t>
      </w:r>
    </w:p>
    <w:p w14:paraId="1FC8618C" w14:textId="1E90E9F7" w:rsidR="006F46A3" w:rsidRPr="006F46A3" w:rsidRDefault="006F46A3" w:rsidP="00E67412">
      <w:pPr>
        <w:shd w:val="clear" w:color="auto" w:fill="FFFFFF"/>
        <w:spacing w:before="75" w:after="120" w:line="240" w:lineRule="auto"/>
        <w:rPr>
          <w:rFonts w:ascii="Times New Roman" w:hAnsi="Times New Roman" w:cs="Times New Roman"/>
          <w:sz w:val="24"/>
          <w:szCs w:val="24"/>
        </w:rPr>
      </w:pPr>
      <w:r w:rsidRPr="006F46A3">
        <w:rPr>
          <w:rFonts w:ascii="Times New Roman" w:hAnsi="Times New Roman" w:cs="Times New Roman"/>
          <w:sz w:val="24"/>
          <w:szCs w:val="24"/>
        </w:rPr>
        <w:t>Here are few reasons for changing from ICD-9-CM to ICD-10-CM</w:t>
      </w:r>
    </w:p>
    <w:p w14:paraId="386C7D40" w14:textId="41D5AD69" w:rsidR="006F46A3" w:rsidRPr="00D32C02" w:rsidRDefault="006F46A3" w:rsidP="006F46A3">
      <w:pPr>
        <w:pStyle w:val="ListParagraph"/>
        <w:numPr>
          <w:ilvl w:val="0"/>
          <w:numId w:val="23"/>
        </w:numPr>
        <w:shd w:val="clear" w:color="auto" w:fill="FFFFFF"/>
        <w:spacing w:before="75" w:after="120" w:line="240" w:lineRule="auto"/>
        <w:rPr>
          <w:rFonts w:ascii="Times New Roman" w:hAnsi="Times New Roman" w:cs="Times New Roman"/>
          <w:sz w:val="20"/>
          <w:szCs w:val="24"/>
        </w:rPr>
      </w:pPr>
      <w:r w:rsidRPr="00D32C02">
        <w:rPr>
          <w:rFonts w:ascii="Cambria" w:hAnsi="Cambria"/>
          <w:color w:val="212121"/>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D32C02" w:rsidRDefault="006F46A3" w:rsidP="006F46A3">
      <w:pPr>
        <w:pStyle w:val="ListParagraph"/>
        <w:numPr>
          <w:ilvl w:val="0"/>
          <w:numId w:val="23"/>
        </w:numPr>
        <w:shd w:val="clear" w:color="auto" w:fill="FFFFFF"/>
        <w:spacing w:before="75" w:after="120" w:line="240" w:lineRule="auto"/>
        <w:rPr>
          <w:rFonts w:ascii="Times New Roman" w:hAnsi="Times New Roman" w:cs="Times New Roman"/>
          <w:sz w:val="20"/>
          <w:szCs w:val="24"/>
        </w:rPr>
      </w:pPr>
      <w:r w:rsidRPr="00D32C02">
        <w:rPr>
          <w:rFonts w:ascii="Cambria" w:hAnsi="Cambria"/>
          <w:color w:val="212121"/>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D32C02" w:rsidRDefault="006F46A3" w:rsidP="006F46A3">
      <w:pPr>
        <w:pStyle w:val="ListParagraph"/>
        <w:numPr>
          <w:ilvl w:val="0"/>
          <w:numId w:val="23"/>
        </w:numPr>
        <w:shd w:val="clear" w:color="auto" w:fill="FFFFFF"/>
        <w:spacing w:before="75" w:after="120" w:line="240" w:lineRule="auto"/>
        <w:rPr>
          <w:rFonts w:ascii="Times New Roman" w:hAnsi="Times New Roman" w:cs="Times New Roman"/>
          <w:sz w:val="20"/>
          <w:szCs w:val="24"/>
        </w:rPr>
      </w:pPr>
      <w:r w:rsidRPr="00D32C02">
        <w:rPr>
          <w:rFonts w:ascii="Cambria" w:hAnsi="Cambria"/>
          <w:color w:val="212121"/>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D32C02" w:rsidRDefault="00D32C02" w:rsidP="006F46A3">
      <w:pPr>
        <w:pStyle w:val="ListParagraph"/>
        <w:numPr>
          <w:ilvl w:val="0"/>
          <w:numId w:val="23"/>
        </w:numPr>
        <w:shd w:val="clear" w:color="auto" w:fill="FFFFFF"/>
        <w:spacing w:before="75" w:after="120" w:line="240" w:lineRule="auto"/>
        <w:rPr>
          <w:rFonts w:ascii="Times New Roman" w:hAnsi="Times New Roman" w:cs="Times New Roman"/>
          <w:sz w:val="20"/>
          <w:szCs w:val="24"/>
        </w:rPr>
      </w:pPr>
      <w:r w:rsidRPr="00D32C02">
        <w:rPr>
          <w:rFonts w:ascii="Cambria" w:hAnsi="Cambria"/>
          <w:color w:val="212121"/>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D32C02" w:rsidRDefault="00D32C02" w:rsidP="006F46A3">
      <w:pPr>
        <w:pStyle w:val="ListParagraph"/>
        <w:numPr>
          <w:ilvl w:val="0"/>
          <w:numId w:val="23"/>
        </w:numPr>
        <w:shd w:val="clear" w:color="auto" w:fill="FFFFFF"/>
        <w:spacing w:before="75" w:after="120" w:line="240" w:lineRule="auto"/>
        <w:rPr>
          <w:rFonts w:ascii="Times New Roman" w:hAnsi="Times New Roman" w:cs="Times New Roman"/>
          <w:sz w:val="20"/>
          <w:szCs w:val="24"/>
        </w:rPr>
      </w:pPr>
      <w:r w:rsidRPr="00D32C02">
        <w:rPr>
          <w:rFonts w:ascii="Cambria" w:hAnsi="Cambria"/>
          <w:color w:val="212121"/>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D32C02" w:rsidRDefault="00D32C02" w:rsidP="006F46A3">
      <w:pPr>
        <w:pStyle w:val="ListParagraph"/>
        <w:numPr>
          <w:ilvl w:val="0"/>
          <w:numId w:val="23"/>
        </w:numPr>
        <w:shd w:val="clear" w:color="auto" w:fill="FFFFFF"/>
        <w:spacing w:before="75" w:after="120" w:line="240" w:lineRule="auto"/>
        <w:rPr>
          <w:rFonts w:ascii="Times New Roman" w:hAnsi="Times New Roman" w:cs="Times New Roman"/>
          <w:sz w:val="20"/>
          <w:szCs w:val="24"/>
        </w:rPr>
      </w:pPr>
      <w:r w:rsidRPr="00D32C02">
        <w:rPr>
          <w:rFonts w:ascii="Cambria" w:hAnsi="Cambria"/>
          <w:color w:val="212121"/>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Default="00BE7D19" w:rsidP="00BE7D19">
      <w:pPr>
        <w:shd w:val="clear" w:color="auto" w:fill="FFFFFF"/>
        <w:spacing w:before="75" w:after="120" w:line="240" w:lineRule="auto"/>
        <w:ind w:left="-210"/>
        <w:rPr>
          <w:rFonts w:ascii="Times New Roman" w:hAnsi="Times New Roman" w:cs="Times New Roman"/>
          <w:b/>
          <w:sz w:val="32"/>
          <w:szCs w:val="24"/>
        </w:rPr>
      </w:pPr>
    </w:p>
    <w:p w14:paraId="0D0E8B49" w14:textId="020231D6" w:rsidR="00BE7D19" w:rsidRDefault="00BE7D19" w:rsidP="00BE7D19">
      <w:pPr>
        <w:shd w:val="clear" w:color="auto" w:fill="FFFFFF"/>
        <w:spacing w:before="75" w:after="120" w:line="240" w:lineRule="auto"/>
        <w:ind w:left="-210"/>
        <w:rPr>
          <w:rFonts w:ascii="Times New Roman" w:hAnsi="Times New Roman" w:cs="Times New Roman"/>
          <w:b/>
          <w:sz w:val="32"/>
          <w:szCs w:val="24"/>
        </w:rPr>
      </w:pPr>
    </w:p>
    <w:p w14:paraId="293E88B4" w14:textId="5F5D3873" w:rsidR="00BE7D19" w:rsidRDefault="006010E4" w:rsidP="00BE7D19">
      <w:pPr>
        <w:shd w:val="clear" w:color="auto" w:fill="FFFFFF"/>
        <w:spacing w:before="75" w:after="120" w:line="240" w:lineRule="auto"/>
        <w:ind w:left="-210"/>
        <w:rPr>
          <w:rFonts w:ascii="Times New Roman" w:hAnsi="Times New Roman" w:cs="Times New Roman"/>
          <w:b/>
          <w:sz w:val="32"/>
          <w:szCs w:val="24"/>
        </w:rPr>
      </w:pPr>
      <w:r>
        <w:rPr>
          <w:rFonts w:ascii="Times New Roman" w:hAnsi="Times New Roman" w:cs="Times New Roman"/>
          <w:b/>
          <w:sz w:val="32"/>
          <w:szCs w:val="24"/>
        </w:rPr>
        <w:lastRenderedPageBreak/>
        <w:t>What are Headers Codes?</w:t>
      </w:r>
    </w:p>
    <w:p w14:paraId="57C71E72" w14:textId="77777777" w:rsidR="006010E4" w:rsidRDefault="006010E4" w:rsidP="00BE7D19">
      <w:pPr>
        <w:shd w:val="clear" w:color="auto" w:fill="FFFFFF"/>
        <w:spacing w:before="75" w:after="120" w:line="240" w:lineRule="auto"/>
        <w:ind w:left="-210"/>
      </w:pPr>
      <w:r>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Default="006010E4" w:rsidP="00BE7D19">
      <w:pPr>
        <w:shd w:val="clear" w:color="auto" w:fill="FFFFFF"/>
        <w:spacing w:before="75" w:after="120" w:line="240" w:lineRule="auto"/>
        <w:ind w:left="-210"/>
      </w:pPr>
      <w:r w:rsidRPr="006010E4">
        <w:rPr>
          <w:b/>
        </w:rPr>
        <w:t>Claim Adjustment Reason Code (CARC) 16</w:t>
      </w:r>
      <w:r>
        <w:t xml:space="preserve">: Claim/service lacks information or has submission/billing error(s) which is needed for adjudication. </w:t>
      </w:r>
    </w:p>
    <w:p w14:paraId="4E917472" w14:textId="07425F87" w:rsidR="006010E4" w:rsidRDefault="006010E4" w:rsidP="006010E4">
      <w:pPr>
        <w:shd w:val="clear" w:color="auto" w:fill="FFFFFF"/>
        <w:spacing w:before="75" w:after="120" w:line="240" w:lineRule="auto"/>
        <w:ind w:left="-210"/>
      </w:pPr>
      <w:r w:rsidRPr="006010E4">
        <w:rPr>
          <w:b/>
        </w:rPr>
        <w:t>Remittance Advice Remark Code (RARC) M76</w:t>
      </w:r>
      <w:r>
        <w:t>: Missing/incomplete/invalid diagnosis or condition.</w:t>
      </w:r>
    </w:p>
    <w:p w14:paraId="185774AB" w14:textId="6E23878E" w:rsidR="006010E4" w:rsidRDefault="006010E4" w:rsidP="006010E4">
      <w:pPr>
        <w:shd w:val="clear" w:color="auto" w:fill="FFFFFF"/>
        <w:spacing w:before="75" w:after="120" w:line="240" w:lineRule="auto"/>
        <w:ind w:left="-210"/>
      </w:pPr>
    </w:p>
    <w:p w14:paraId="64143EB5" w14:textId="31298528" w:rsidR="006010E4" w:rsidRDefault="006010E4" w:rsidP="006010E4">
      <w:pPr>
        <w:shd w:val="clear" w:color="auto" w:fill="FFFFFF"/>
        <w:spacing w:before="75" w:after="120" w:line="240" w:lineRule="auto"/>
        <w:ind w:left="-210"/>
      </w:pPr>
      <w:r>
        <w:t>What are Billing Codes?</w:t>
      </w:r>
    </w:p>
    <w:p w14:paraId="20E61824" w14:textId="51437BAC" w:rsidR="006010E4" w:rsidRDefault="006010E4" w:rsidP="006010E4">
      <w:pPr>
        <w:shd w:val="clear" w:color="auto" w:fill="FFFFFF"/>
        <w:spacing w:before="75" w:after="120" w:line="240" w:lineRule="auto"/>
        <w:ind w:left="-210"/>
        <w:rPr>
          <w:rFonts w:ascii="urw-geometric" w:hAnsi="urw-geometric"/>
          <w:color w:val="6E6259"/>
          <w:shd w:val="clear" w:color="auto" w:fill="FFFFFF"/>
        </w:rPr>
      </w:pPr>
      <w:r>
        <w:rPr>
          <w:rFonts w:ascii="urw-geometric" w:hAnsi="urw-geometric"/>
          <w:color w:val="6E6259"/>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Default="006010E4" w:rsidP="006010E4">
      <w:pPr>
        <w:shd w:val="clear" w:color="auto" w:fill="FFFFFF"/>
        <w:spacing w:before="75" w:after="120" w:line="240" w:lineRule="auto"/>
        <w:ind w:left="-210"/>
      </w:pPr>
    </w:p>
    <w:p w14:paraId="416F6A64" w14:textId="3F5EE6FC" w:rsidR="006010E4" w:rsidRDefault="006010E4" w:rsidP="006010E4">
      <w:pPr>
        <w:shd w:val="clear" w:color="auto" w:fill="FFFFFF"/>
        <w:spacing w:before="75" w:after="120" w:line="240" w:lineRule="auto"/>
        <w:ind w:left="-210"/>
      </w:pPr>
      <w:r>
        <w:t>ICDs codes which are Billable</w:t>
      </w:r>
    </w:p>
    <w:p w14:paraId="0382BBA4" w14:textId="4AFFC6F2" w:rsidR="009A1287" w:rsidRDefault="009A1287" w:rsidP="009A1287">
      <w:pPr>
        <w:shd w:val="clear" w:color="auto" w:fill="FFFFFF"/>
        <w:spacing w:before="75" w:after="120" w:line="240" w:lineRule="auto"/>
        <w:ind w:left="-210"/>
        <w:rPr>
          <w:rFonts w:ascii="Verdana" w:hAnsi="Verdana"/>
          <w:color w:val="000000"/>
          <w:sz w:val="20"/>
          <w:szCs w:val="20"/>
          <w:shd w:val="clear" w:color="auto" w:fill="FFFFFF"/>
        </w:rPr>
      </w:pPr>
      <w:r>
        <w:t xml:space="preserve">There are more than 73,643 ICD-10-Cm codes are </w:t>
      </w:r>
      <w:r>
        <w:rPr>
          <w:rFonts w:ascii="Verdana" w:hAnsi="Verdana"/>
          <w:color w:val="000000"/>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Default="009A1287" w:rsidP="009A1287">
      <w:pPr>
        <w:shd w:val="clear" w:color="auto" w:fill="FFFFFF"/>
        <w:spacing w:before="75" w:after="120" w:line="240" w:lineRule="auto"/>
        <w:ind w:left="-210"/>
        <w:rPr>
          <w:rFonts w:ascii="Verdana" w:hAnsi="Verdana"/>
          <w:color w:val="000000"/>
          <w:sz w:val="20"/>
          <w:szCs w:val="20"/>
          <w:shd w:val="clear" w:color="auto" w:fill="FFFFFF"/>
        </w:rPr>
      </w:pPr>
      <w:r>
        <w:rPr>
          <w:rFonts w:ascii="Verdana" w:hAnsi="Verdana"/>
          <w:color w:val="000000"/>
          <w:sz w:val="20"/>
          <w:szCs w:val="20"/>
          <w:shd w:val="clear" w:color="auto" w:fill="FFFFFF"/>
        </w:rPr>
        <w:t>For Example:</w:t>
      </w:r>
    </w:p>
    <w:p w14:paraId="46FA0301" w14:textId="3007282C" w:rsidR="009A1287" w:rsidRDefault="009A1287" w:rsidP="009A1287">
      <w:pPr>
        <w:pStyle w:val="ListParagraph"/>
        <w:numPr>
          <w:ilvl w:val="0"/>
          <w:numId w:val="24"/>
        </w:numPr>
        <w:shd w:val="clear" w:color="auto" w:fill="FFFFFF"/>
        <w:spacing w:before="75" w:after="12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A00.0    Cholera due to Vibrio cholerae 01, biovar cholerae</w:t>
      </w:r>
    </w:p>
    <w:p w14:paraId="567D7728" w14:textId="1C403110" w:rsidR="009A1287" w:rsidRDefault="009A1287" w:rsidP="009A1287">
      <w:pPr>
        <w:pStyle w:val="ListParagraph"/>
        <w:numPr>
          <w:ilvl w:val="0"/>
          <w:numId w:val="24"/>
        </w:numPr>
        <w:shd w:val="clear" w:color="auto" w:fill="FFFFFF"/>
        <w:spacing w:before="75" w:after="12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A00.1</w:t>
      </w:r>
      <w:r>
        <w:rPr>
          <w:rFonts w:ascii="Verdana" w:hAnsi="Verdana"/>
          <w:color w:val="000000"/>
          <w:sz w:val="20"/>
          <w:szCs w:val="20"/>
          <w:shd w:val="clear" w:color="auto" w:fill="FFFFFF"/>
        </w:rPr>
        <w:tab/>
        <w:t xml:space="preserve">Cholera due to Vibrio cholerae 01, biovar </w:t>
      </w:r>
      <w:proofErr w:type="spellStart"/>
      <w:r>
        <w:rPr>
          <w:rFonts w:ascii="Verdana" w:hAnsi="Verdana"/>
          <w:color w:val="000000"/>
          <w:sz w:val="20"/>
          <w:szCs w:val="20"/>
          <w:shd w:val="clear" w:color="auto" w:fill="FFFFFF"/>
        </w:rPr>
        <w:t>eltor</w:t>
      </w:r>
      <w:proofErr w:type="spellEnd"/>
    </w:p>
    <w:p w14:paraId="0A0766A7" w14:textId="7FB718B4" w:rsidR="009A1287" w:rsidRDefault="009A1287" w:rsidP="009A1287">
      <w:pPr>
        <w:pStyle w:val="ListParagraph"/>
        <w:numPr>
          <w:ilvl w:val="0"/>
          <w:numId w:val="24"/>
        </w:numPr>
        <w:shd w:val="clear" w:color="auto" w:fill="FFFFFF"/>
        <w:spacing w:before="75" w:after="12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A01.00</w:t>
      </w:r>
      <w:r>
        <w:rPr>
          <w:rFonts w:ascii="Verdana" w:hAnsi="Verdana"/>
          <w:color w:val="000000"/>
          <w:sz w:val="20"/>
          <w:szCs w:val="20"/>
          <w:shd w:val="clear" w:color="auto" w:fill="FFFFFF"/>
        </w:rPr>
        <w:tab/>
        <w:t> Typhoid fever, unspecified</w:t>
      </w:r>
    </w:p>
    <w:p w14:paraId="0983D6F1" w14:textId="134FC4B8" w:rsidR="009A1287" w:rsidRDefault="009A1287" w:rsidP="009A1287">
      <w:pPr>
        <w:pStyle w:val="ListParagraph"/>
        <w:numPr>
          <w:ilvl w:val="0"/>
          <w:numId w:val="24"/>
        </w:numPr>
        <w:shd w:val="clear" w:color="auto" w:fill="FFFFFF"/>
        <w:spacing w:before="75" w:after="12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A01.01</w:t>
      </w:r>
      <w:r>
        <w:rPr>
          <w:rFonts w:ascii="Verdana" w:hAnsi="Verdana"/>
          <w:color w:val="000000"/>
          <w:sz w:val="20"/>
          <w:szCs w:val="20"/>
          <w:shd w:val="clear" w:color="auto" w:fill="FFFFFF"/>
        </w:rPr>
        <w:tab/>
        <w:t> Typhoid meningitis</w:t>
      </w:r>
    </w:p>
    <w:p w14:paraId="4A30EE0F" w14:textId="52B9889C" w:rsidR="009A1287" w:rsidRPr="009A1287" w:rsidRDefault="009A1287" w:rsidP="009A1287">
      <w:pPr>
        <w:pStyle w:val="ListParagraph"/>
        <w:numPr>
          <w:ilvl w:val="0"/>
          <w:numId w:val="24"/>
        </w:numPr>
        <w:shd w:val="clear" w:color="auto" w:fill="FFFFFF"/>
        <w:spacing w:before="75" w:after="12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A01.02</w:t>
      </w:r>
      <w:r>
        <w:rPr>
          <w:rFonts w:ascii="Verdana" w:hAnsi="Verdana"/>
          <w:color w:val="000000"/>
          <w:sz w:val="20"/>
          <w:szCs w:val="20"/>
          <w:shd w:val="clear" w:color="auto" w:fill="FFFFFF"/>
        </w:rPr>
        <w:tab/>
        <w:t xml:space="preserve"> Typhoid fever with heart involvement</w:t>
      </w:r>
    </w:p>
    <w:p w14:paraId="1D3F5806" w14:textId="5CD90917" w:rsidR="009A1287" w:rsidRDefault="009A1287" w:rsidP="009A1287">
      <w:pPr>
        <w:shd w:val="clear" w:color="auto" w:fill="FFFFFF"/>
        <w:spacing w:before="75" w:after="120" w:line="240" w:lineRule="auto"/>
        <w:ind w:left="150"/>
      </w:pPr>
      <w:r>
        <w:t>ICDs codes which are not Billable</w:t>
      </w:r>
    </w:p>
    <w:p w14:paraId="4398584A" w14:textId="3509BD25" w:rsidR="009A1287" w:rsidRDefault="009A1287" w:rsidP="009A1287">
      <w:pPr>
        <w:shd w:val="clear" w:color="auto" w:fill="FFFFFF"/>
        <w:spacing w:before="75" w:after="120" w:line="240" w:lineRule="auto"/>
        <w:ind w:left="150"/>
        <w:rPr>
          <w:rFonts w:ascii="Verdana" w:hAnsi="Verdana"/>
          <w:color w:val="000000"/>
          <w:sz w:val="20"/>
          <w:szCs w:val="20"/>
          <w:shd w:val="clear" w:color="auto" w:fill="FFFFFF"/>
        </w:rPr>
      </w:pPr>
      <w:r>
        <w:rPr>
          <w:rFonts w:ascii="Verdana" w:hAnsi="Verdana"/>
          <w:color w:val="000000"/>
          <w:sz w:val="20"/>
          <w:szCs w:val="20"/>
          <w:shd w:val="clear" w:color="auto" w:fill="FFFFFF"/>
        </w:rPr>
        <w:t>There are 23,106 ICD-10-CM codes are non-billable/non-specific and should generally not be used to indicate a diagnosis for reimbursement purposes.</w:t>
      </w:r>
    </w:p>
    <w:p w14:paraId="51AA1403" w14:textId="0EB09B53" w:rsidR="009A1287" w:rsidRDefault="009A1287" w:rsidP="009A1287">
      <w:pPr>
        <w:pStyle w:val="ListParagraph"/>
        <w:numPr>
          <w:ilvl w:val="0"/>
          <w:numId w:val="25"/>
        </w:numPr>
        <w:shd w:val="clear" w:color="auto" w:fill="FFFFFF"/>
        <w:spacing w:before="75" w:after="120" w:line="240" w:lineRule="auto"/>
      </w:pPr>
      <w:r>
        <w:t>A00</w:t>
      </w:r>
      <w:r>
        <w:tab/>
      </w:r>
      <w:r>
        <w:rPr>
          <w:rFonts w:ascii="Verdana" w:hAnsi="Verdana"/>
          <w:color w:val="000000"/>
          <w:sz w:val="20"/>
          <w:szCs w:val="20"/>
          <w:shd w:val="clear" w:color="auto" w:fill="FFFFFF"/>
        </w:rPr>
        <w:t>Cholera</w:t>
      </w:r>
      <w:r>
        <w:t xml:space="preserve"> </w:t>
      </w:r>
    </w:p>
    <w:p w14:paraId="72BF3774" w14:textId="041C7E47" w:rsidR="009A1287" w:rsidRDefault="009A1287" w:rsidP="009A1287">
      <w:pPr>
        <w:pStyle w:val="ListParagraph"/>
        <w:numPr>
          <w:ilvl w:val="0"/>
          <w:numId w:val="25"/>
        </w:numPr>
        <w:shd w:val="clear" w:color="auto" w:fill="FFFFFF"/>
        <w:spacing w:before="75" w:after="120" w:line="240" w:lineRule="auto"/>
      </w:pPr>
      <w:r>
        <w:t>A01</w:t>
      </w:r>
      <w:r>
        <w:tab/>
      </w:r>
      <w:r>
        <w:rPr>
          <w:rFonts w:ascii="Verdana" w:hAnsi="Verdana"/>
          <w:color w:val="000000"/>
          <w:sz w:val="20"/>
          <w:szCs w:val="20"/>
          <w:shd w:val="clear" w:color="auto" w:fill="FFFFFF"/>
        </w:rPr>
        <w:t>Typhoid and paratyphoid fevers</w:t>
      </w:r>
    </w:p>
    <w:p w14:paraId="21E53F7D" w14:textId="124FC060" w:rsidR="009A1287" w:rsidRDefault="009A1287" w:rsidP="009A1287">
      <w:pPr>
        <w:pStyle w:val="ListParagraph"/>
        <w:numPr>
          <w:ilvl w:val="0"/>
          <w:numId w:val="25"/>
        </w:numPr>
        <w:shd w:val="clear" w:color="auto" w:fill="FFFFFF"/>
        <w:spacing w:before="75" w:after="120" w:line="240" w:lineRule="auto"/>
      </w:pPr>
      <w:r>
        <w:t>A02</w:t>
      </w:r>
      <w:r>
        <w:tab/>
      </w:r>
      <w:r>
        <w:rPr>
          <w:rFonts w:ascii="Verdana" w:hAnsi="Verdana"/>
          <w:color w:val="000000"/>
          <w:sz w:val="20"/>
          <w:szCs w:val="20"/>
          <w:shd w:val="clear" w:color="auto" w:fill="FFFFFF"/>
        </w:rPr>
        <w:t>Other salmonella infections</w:t>
      </w:r>
    </w:p>
    <w:p w14:paraId="37383987" w14:textId="77777777" w:rsidR="006010E4" w:rsidRPr="006010E4" w:rsidRDefault="006010E4" w:rsidP="006010E4">
      <w:pPr>
        <w:shd w:val="clear" w:color="auto" w:fill="FFFFFF"/>
        <w:spacing w:before="75" w:after="120" w:line="240" w:lineRule="auto"/>
        <w:ind w:left="-210"/>
      </w:pPr>
    </w:p>
    <w:p w14:paraId="5F52446E" w14:textId="1893EC28" w:rsidR="005E3A9B" w:rsidRDefault="005E3A9B" w:rsidP="00C13D88">
      <w:pPr>
        <w:shd w:val="clear" w:color="auto" w:fill="FFFFFF"/>
        <w:spacing w:before="75" w:after="120" w:line="240" w:lineRule="auto"/>
        <w:ind w:left="-210"/>
        <w:jc w:val="center"/>
        <w:rPr>
          <w:rFonts w:ascii="Times New Roman" w:hAnsi="Times New Roman" w:cs="Times New Roman"/>
          <w:b/>
          <w:sz w:val="32"/>
          <w:szCs w:val="24"/>
        </w:rPr>
      </w:pPr>
    </w:p>
    <w:p w14:paraId="7DD786BB" w14:textId="5058A9B8" w:rsidR="009A1287" w:rsidRDefault="009A1287" w:rsidP="00C13D88">
      <w:pPr>
        <w:shd w:val="clear" w:color="auto" w:fill="FFFFFF"/>
        <w:spacing w:before="75" w:after="120" w:line="240" w:lineRule="auto"/>
        <w:ind w:left="-210"/>
        <w:jc w:val="center"/>
        <w:rPr>
          <w:rFonts w:ascii="Times New Roman" w:hAnsi="Times New Roman" w:cs="Times New Roman"/>
          <w:b/>
          <w:sz w:val="32"/>
          <w:szCs w:val="24"/>
        </w:rPr>
      </w:pPr>
    </w:p>
    <w:p w14:paraId="7473E65C" w14:textId="77777777" w:rsidR="009A1287" w:rsidRDefault="009A1287" w:rsidP="00C13D88">
      <w:pPr>
        <w:shd w:val="clear" w:color="auto" w:fill="FFFFFF"/>
        <w:spacing w:before="75" w:after="120" w:line="240" w:lineRule="auto"/>
        <w:ind w:left="-210"/>
        <w:jc w:val="center"/>
        <w:rPr>
          <w:rFonts w:ascii="Times New Roman" w:hAnsi="Times New Roman" w:cs="Times New Roman"/>
          <w:b/>
          <w:sz w:val="32"/>
          <w:szCs w:val="24"/>
        </w:rPr>
      </w:pPr>
    </w:p>
    <w:p w14:paraId="625249A9" w14:textId="0B97F302" w:rsidR="00C13D88" w:rsidRPr="00BD4958" w:rsidRDefault="00C13D88" w:rsidP="00C13D88">
      <w:pPr>
        <w:shd w:val="clear" w:color="auto" w:fill="FFFFFF"/>
        <w:spacing w:before="75" w:after="120" w:line="240" w:lineRule="auto"/>
        <w:ind w:left="-210"/>
        <w:jc w:val="center"/>
        <w:rPr>
          <w:rFonts w:ascii="Times New Roman" w:hAnsi="Times New Roman" w:cs="Times New Roman"/>
          <w:b/>
          <w:sz w:val="32"/>
          <w:szCs w:val="24"/>
        </w:rPr>
      </w:pPr>
      <w:r w:rsidRPr="00BD4958">
        <w:rPr>
          <w:rFonts w:ascii="Times New Roman" w:hAnsi="Times New Roman" w:cs="Times New Roman"/>
          <w:b/>
          <w:sz w:val="32"/>
          <w:szCs w:val="24"/>
        </w:rPr>
        <w:lastRenderedPageBreak/>
        <w:t>CPT Codes</w:t>
      </w:r>
    </w:p>
    <w:p w14:paraId="47235339" w14:textId="77777777" w:rsidR="005B7350" w:rsidRPr="00BD4958" w:rsidRDefault="005B7350" w:rsidP="005B7350">
      <w:pPr>
        <w:pStyle w:val="NormalWeb"/>
        <w:shd w:val="clear" w:color="auto" w:fill="FFFFFF"/>
      </w:pPr>
      <w:r w:rsidRPr="00BD4958">
        <w:t>Current Procedural Terminology, more commonly known as CPT</w:t>
      </w:r>
      <w:r w:rsidRPr="00BD4958">
        <w:rPr>
          <w:vertAlign w:val="superscript"/>
        </w:rPr>
        <w:t>®</w:t>
      </w:r>
      <w:r w:rsidRPr="00BD4958">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BD4958" w:rsidRDefault="005B7350" w:rsidP="005B7350">
      <w:pPr>
        <w:pStyle w:val="NormalWeb"/>
        <w:shd w:val="clear" w:color="auto" w:fill="FFFFFF"/>
      </w:pPr>
      <w:r w:rsidRPr="00BD4958">
        <w:t>Specifically, CPT</w:t>
      </w:r>
      <w:r w:rsidRPr="00BD4958">
        <w:rPr>
          <w:vertAlign w:val="superscript"/>
        </w:rPr>
        <w:t>®</w:t>
      </w:r>
      <w:r w:rsidRPr="00BD4958">
        <w:t> codes are used to report procedures and services to federal and private payers for reimbursement of rendered healthcare.</w:t>
      </w:r>
    </w:p>
    <w:p w14:paraId="79642161" w14:textId="05673221" w:rsidR="008C25CB" w:rsidRPr="00BD4958" w:rsidRDefault="00B51BEB" w:rsidP="008C25CB">
      <w:pPr>
        <w:pStyle w:val="NormalWeb"/>
        <w:shd w:val="clear" w:color="auto" w:fill="FFFFFF"/>
        <w:rPr>
          <w:b/>
          <w:sz w:val="28"/>
        </w:rPr>
      </w:pPr>
      <w:r w:rsidRPr="00BD4958">
        <w:rPr>
          <w:b/>
          <w:sz w:val="28"/>
        </w:rPr>
        <w:t>Types of CPT Codes:</w:t>
      </w:r>
    </w:p>
    <w:p w14:paraId="61B601A7" w14:textId="77777777" w:rsidR="00B51BEB" w:rsidRPr="00BD4958" w:rsidRDefault="00B51BEB" w:rsidP="00B51BEB">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Given the vast number of services and procedures, the AMA has organized CPT</w:t>
      </w:r>
      <w:r w:rsidRPr="00BD4958">
        <w:rPr>
          <w:rFonts w:ascii="Times New Roman" w:eastAsia="Times New Roman" w:hAnsi="Times New Roman" w:cs="Times New Roman"/>
          <w:sz w:val="24"/>
          <w:szCs w:val="24"/>
          <w:vertAlign w:val="superscript"/>
        </w:rPr>
        <w:t>®</w:t>
      </w:r>
      <w:r w:rsidRPr="00BD4958">
        <w:rPr>
          <w:rFonts w:ascii="Times New Roman" w:eastAsia="Times New Roman" w:hAnsi="Times New Roman" w:cs="Times New Roman"/>
          <w:sz w:val="24"/>
          <w:szCs w:val="24"/>
        </w:rPr>
        <w:t> codes logically, beginning with classifying them into three types:</w:t>
      </w:r>
    </w:p>
    <w:p w14:paraId="1E6A3EB5" w14:textId="77777777" w:rsidR="00B51BEB" w:rsidRPr="00BD4958" w:rsidRDefault="00B51BEB" w:rsidP="00B51BEB">
      <w:pPr>
        <w:numPr>
          <w:ilvl w:val="0"/>
          <w:numId w:val="16"/>
        </w:numPr>
        <w:shd w:val="clear" w:color="auto" w:fill="FFFFFF"/>
        <w:spacing w:before="75" w:after="120" w:line="240" w:lineRule="auto"/>
        <w:ind w:left="150"/>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rPr>
        <w:t>CPT</w:t>
      </w:r>
      <w:r w:rsidRPr="00BD4958">
        <w:rPr>
          <w:rFonts w:ascii="Times New Roman" w:eastAsia="Times New Roman" w:hAnsi="Times New Roman" w:cs="Times New Roman"/>
          <w:b/>
          <w:bCs/>
          <w:sz w:val="24"/>
          <w:szCs w:val="24"/>
          <w:vertAlign w:val="superscript"/>
        </w:rPr>
        <w:t>®</w:t>
      </w:r>
      <w:r w:rsidRPr="00BD4958">
        <w:rPr>
          <w:rFonts w:ascii="Times New Roman" w:eastAsia="Times New Roman" w:hAnsi="Times New Roman" w:cs="Times New Roman"/>
          <w:b/>
          <w:bCs/>
          <w:sz w:val="24"/>
          <w:szCs w:val="24"/>
        </w:rPr>
        <w:t> Category I:</w:t>
      </w:r>
      <w:r w:rsidRPr="00BD4958">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BD4958" w:rsidRDefault="00B51BEB" w:rsidP="00B51BEB">
      <w:pPr>
        <w:numPr>
          <w:ilvl w:val="0"/>
          <w:numId w:val="16"/>
        </w:numPr>
        <w:shd w:val="clear" w:color="auto" w:fill="FFFFFF"/>
        <w:spacing w:before="75" w:after="120" w:line="240" w:lineRule="auto"/>
        <w:ind w:left="150"/>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rPr>
        <w:t>CPT</w:t>
      </w:r>
      <w:r w:rsidRPr="00BD4958">
        <w:rPr>
          <w:rFonts w:ascii="Times New Roman" w:eastAsia="Times New Roman" w:hAnsi="Times New Roman" w:cs="Times New Roman"/>
          <w:b/>
          <w:bCs/>
          <w:sz w:val="24"/>
          <w:szCs w:val="24"/>
          <w:vertAlign w:val="superscript"/>
        </w:rPr>
        <w:t>®</w:t>
      </w:r>
      <w:r w:rsidRPr="00BD4958">
        <w:rPr>
          <w:rFonts w:ascii="Times New Roman" w:eastAsia="Times New Roman" w:hAnsi="Times New Roman" w:cs="Times New Roman"/>
          <w:b/>
          <w:bCs/>
          <w:sz w:val="24"/>
          <w:szCs w:val="24"/>
        </w:rPr>
        <w:t> Category II:</w:t>
      </w:r>
      <w:r w:rsidRPr="00BD4958">
        <w:rPr>
          <w:rFonts w:ascii="Times New Roman" w:eastAsia="Times New Roman" w:hAnsi="Times New Roman" w:cs="Times New Roman"/>
          <w:sz w:val="24"/>
          <w:szCs w:val="24"/>
        </w:rPr>
        <w:t> Supplemental tracking codes used for performance management</w:t>
      </w:r>
    </w:p>
    <w:p w14:paraId="15ECB96B" w14:textId="7F59D40C" w:rsidR="00B51BEB" w:rsidRPr="00BD4958" w:rsidRDefault="00B51BEB" w:rsidP="00B51BEB">
      <w:pPr>
        <w:numPr>
          <w:ilvl w:val="0"/>
          <w:numId w:val="16"/>
        </w:numPr>
        <w:shd w:val="clear" w:color="auto" w:fill="FFFFFF"/>
        <w:spacing w:before="75" w:after="120" w:line="240" w:lineRule="auto"/>
        <w:ind w:left="150"/>
        <w:rPr>
          <w:rFonts w:ascii="Times New Roman" w:eastAsia="Times New Roman" w:hAnsi="Times New Roman" w:cs="Times New Roman"/>
          <w:sz w:val="24"/>
          <w:szCs w:val="24"/>
        </w:rPr>
      </w:pPr>
      <w:r w:rsidRPr="00BD4958">
        <w:rPr>
          <w:rFonts w:ascii="Times New Roman" w:eastAsia="Times New Roman" w:hAnsi="Times New Roman" w:cs="Times New Roman"/>
          <w:b/>
          <w:bCs/>
          <w:sz w:val="24"/>
          <w:szCs w:val="24"/>
        </w:rPr>
        <w:t>CPT</w:t>
      </w:r>
      <w:r w:rsidRPr="00BD4958">
        <w:rPr>
          <w:rFonts w:ascii="Times New Roman" w:eastAsia="Times New Roman" w:hAnsi="Times New Roman" w:cs="Times New Roman"/>
          <w:b/>
          <w:bCs/>
          <w:sz w:val="24"/>
          <w:szCs w:val="24"/>
          <w:vertAlign w:val="superscript"/>
        </w:rPr>
        <w:t>®</w:t>
      </w:r>
      <w:r w:rsidRPr="00BD4958">
        <w:rPr>
          <w:rFonts w:ascii="Times New Roman" w:eastAsia="Times New Roman" w:hAnsi="Times New Roman" w:cs="Times New Roman"/>
          <w:b/>
          <w:bCs/>
          <w:sz w:val="24"/>
          <w:szCs w:val="24"/>
        </w:rPr>
        <w:t> Category III:</w:t>
      </w:r>
      <w:r w:rsidRPr="00BD4958">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BD4958" w:rsidRDefault="00B51BEB" w:rsidP="00B51BEB">
      <w:pPr>
        <w:shd w:val="clear" w:color="auto" w:fill="FFFFFF"/>
        <w:spacing w:before="75" w:after="120" w:line="240" w:lineRule="auto"/>
        <w:ind w:left="150"/>
        <w:rPr>
          <w:rFonts w:ascii="Times New Roman" w:eastAsia="Times New Roman" w:hAnsi="Times New Roman" w:cs="Times New Roman"/>
          <w:sz w:val="28"/>
          <w:szCs w:val="24"/>
        </w:rPr>
      </w:pPr>
      <w:r w:rsidRPr="00BD4958">
        <w:rPr>
          <w:rFonts w:ascii="Times New Roman" w:eastAsia="Times New Roman" w:hAnsi="Times New Roman" w:cs="Times New Roman"/>
          <w:b/>
          <w:bCs/>
          <w:sz w:val="28"/>
          <w:szCs w:val="24"/>
        </w:rPr>
        <w:t xml:space="preserve">CPT Category I codes are </w:t>
      </w:r>
    </w:p>
    <w:p w14:paraId="35920042"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Evaluation &amp; Management (99202–99499)</w:t>
      </w:r>
    </w:p>
    <w:p w14:paraId="3D20BB45"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Anesthesia (00100–01999)</w:t>
      </w:r>
    </w:p>
    <w:p w14:paraId="2BBD10FF"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Radiology Procedures (70010–79999)</w:t>
      </w:r>
    </w:p>
    <w:p w14:paraId="6B3C91C9"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Pathology and Laboratory Procedures (80047–89398)</w:t>
      </w:r>
    </w:p>
    <w:p w14:paraId="0DB1C2C9" w14:textId="77777777" w:rsidR="00B51BEB" w:rsidRPr="00BD4958" w:rsidRDefault="00B51BEB" w:rsidP="00B51BEB">
      <w:pPr>
        <w:numPr>
          <w:ilvl w:val="0"/>
          <w:numId w:val="17"/>
        </w:numPr>
        <w:shd w:val="clear" w:color="auto" w:fill="FFFFFF"/>
        <w:spacing w:after="0" w:line="240" w:lineRule="auto"/>
        <w:ind w:left="375"/>
        <w:rPr>
          <w:rFonts w:ascii="Times New Roman" w:hAnsi="Times New Roman" w:cs="Times New Roman"/>
          <w:sz w:val="24"/>
          <w:szCs w:val="24"/>
        </w:rPr>
      </w:pPr>
      <w:r w:rsidRPr="00BD4958">
        <w:rPr>
          <w:rFonts w:ascii="Times New Roman" w:hAnsi="Times New Roman" w:cs="Times New Roman"/>
          <w:sz w:val="24"/>
          <w:szCs w:val="24"/>
        </w:rPr>
        <w:t>Medicine Services and Procedures (90281–99607)</w:t>
      </w:r>
    </w:p>
    <w:p w14:paraId="2D32FD9B" w14:textId="77777777" w:rsidR="00B51BEB" w:rsidRPr="00BD4958" w:rsidRDefault="00B51BEB" w:rsidP="00B51BEB">
      <w:pPr>
        <w:shd w:val="clear" w:color="auto" w:fill="FFFFFF"/>
        <w:spacing w:before="75" w:after="120" w:line="240" w:lineRule="auto"/>
        <w:rPr>
          <w:rFonts w:ascii="Times New Roman" w:eastAsia="Times New Roman" w:hAnsi="Times New Roman" w:cs="Times New Roman"/>
          <w:b/>
          <w:bCs/>
          <w:sz w:val="24"/>
          <w:szCs w:val="24"/>
        </w:rPr>
      </w:pPr>
    </w:p>
    <w:p w14:paraId="2F4A8EBC" w14:textId="1837DB95" w:rsidR="00B51BEB" w:rsidRPr="00BD4958" w:rsidRDefault="00B51BEB" w:rsidP="00B51BEB">
      <w:pPr>
        <w:shd w:val="clear" w:color="auto" w:fill="FFFFFF"/>
        <w:spacing w:before="75" w:after="120" w:line="240" w:lineRule="auto"/>
        <w:rPr>
          <w:rFonts w:ascii="Times New Roman" w:eastAsia="Times New Roman" w:hAnsi="Times New Roman" w:cs="Times New Roman"/>
          <w:sz w:val="28"/>
          <w:szCs w:val="24"/>
        </w:rPr>
      </w:pPr>
      <w:r w:rsidRPr="00BD4958">
        <w:rPr>
          <w:rFonts w:ascii="Times New Roman" w:eastAsia="Times New Roman" w:hAnsi="Times New Roman" w:cs="Times New Roman"/>
          <w:b/>
          <w:bCs/>
          <w:sz w:val="28"/>
          <w:szCs w:val="24"/>
        </w:rPr>
        <w:t xml:space="preserve">CPT Category II codes are </w:t>
      </w:r>
    </w:p>
    <w:p w14:paraId="32F7F766"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Composite Measures (0001F–0015F)</w:t>
      </w:r>
    </w:p>
    <w:p w14:paraId="6DDAE010"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Patient Management (0500F–0584F)</w:t>
      </w:r>
    </w:p>
    <w:p w14:paraId="00D2C81E"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Patient History (1000F–1505F)</w:t>
      </w:r>
    </w:p>
    <w:p w14:paraId="3153D594"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Physical Examination (2000F–2060F)</w:t>
      </w:r>
    </w:p>
    <w:p w14:paraId="78356ED2"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Diagnostic/Screening Processes or Results (3006F–3776F)</w:t>
      </w:r>
    </w:p>
    <w:p w14:paraId="34E974C0"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Therapeutic, Preventive, or Other Interventions (4000F–4563F)</w:t>
      </w:r>
    </w:p>
    <w:p w14:paraId="7B30AEC1"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Follow-up or Other Outcomes (5005F–5250F)</w:t>
      </w:r>
    </w:p>
    <w:p w14:paraId="15AD2D7C"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Patient Safety (6005F–6150F)</w:t>
      </w:r>
    </w:p>
    <w:p w14:paraId="2FB69BD4" w14:textId="7777777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Structural Measures (7010F–7025F)</w:t>
      </w:r>
    </w:p>
    <w:p w14:paraId="0B84ED2F" w14:textId="605AA297" w:rsidR="00B51BEB" w:rsidRPr="00BD4958" w:rsidRDefault="00B51BEB" w:rsidP="00B51BEB">
      <w:pPr>
        <w:numPr>
          <w:ilvl w:val="0"/>
          <w:numId w:val="18"/>
        </w:numPr>
        <w:shd w:val="clear" w:color="auto" w:fill="FFFFFF"/>
        <w:spacing w:after="0" w:line="240" w:lineRule="auto"/>
        <w:ind w:left="375"/>
        <w:rPr>
          <w:rFonts w:ascii="Times New Roman" w:eastAsia="Times New Roman" w:hAnsi="Times New Roman" w:cs="Times New Roman"/>
          <w:sz w:val="24"/>
          <w:szCs w:val="24"/>
        </w:rPr>
      </w:pPr>
      <w:r w:rsidRPr="00BD4958">
        <w:rPr>
          <w:rFonts w:ascii="Times New Roman" w:eastAsia="Times New Roman" w:hAnsi="Times New Roman" w:cs="Times New Roman"/>
          <w:sz w:val="24"/>
          <w:szCs w:val="24"/>
        </w:rPr>
        <w:t>Non-measure Code Listing (9001F–9007F)</w:t>
      </w:r>
    </w:p>
    <w:p w14:paraId="19DC3A61" w14:textId="77777777" w:rsidR="00563791" w:rsidRDefault="00563791" w:rsidP="00B51BEB">
      <w:pPr>
        <w:shd w:val="clear" w:color="auto" w:fill="FFFFFF"/>
        <w:spacing w:before="75" w:after="120" w:line="240" w:lineRule="auto"/>
        <w:rPr>
          <w:rFonts w:ascii="Times New Roman" w:eastAsia="Times New Roman" w:hAnsi="Times New Roman" w:cs="Times New Roman"/>
          <w:b/>
          <w:bCs/>
          <w:sz w:val="28"/>
          <w:szCs w:val="24"/>
        </w:rPr>
      </w:pPr>
    </w:p>
    <w:p w14:paraId="2A2C2E98" w14:textId="77777777" w:rsidR="00563791" w:rsidRDefault="00563791" w:rsidP="00B51BEB">
      <w:pPr>
        <w:shd w:val="clear" w:color="auto" w:fill="FFFFFF"/>
        <w:spacing w:before="75" w:after="120" w:line="240" w:lineRule="auto"/>
        <w:rPr>
          <w:rFonts w:ascii="Times New Roman" w:eastAsia="Times New Roman" w:hAnsi="Times New Roman" w:cs="Times New Roman"/>
          <w:b/>
          <w:bCs/>
          <w:sz w:val="28"/>
          <w:szCs w:val="24"/>
        </w:rPr>
      </w:pPr>
    </w:p>
    <w:p w14:paraId="2E3410EF" w14:textId="30B851F0" w:rsidR="00B51BEB" w:rsidRPr="00BD4958" w:rsidRDefault="00B51BEB" w:rsidP="00B51BEB">
      <w:pPr>
        <w:shd w:val="clear" w:color="auto" w:fill="FFFFFF"/>
        <w:spacing w:before="75" w:after="120" w:line="240" w:lineRule="auto"/>
        <w:rPr>
          <w:rFonts w:ascii="Times New Roman" w:eastAsia="Times New Roman" w:hAnsi="Times New Roman" w:cs="Times New Roman"/>
          <w:sz w:val="28"/>
          <w:szCs w:val="24"/>
        </w:rPr>
      </w:pPr>
      <w:r w:rsidRPr="00BD4958">
        <w:rPr>
          <w:rFonts w:ascii="Times New Roman" w:eastAsia="Times New Roman" w:hAnsi="Times New Roman" w:cs="Times New Roman"/>
          <w:b/>
          <w:bCs/>
          <w:sz w:val="28"/>
          <w:szCs w:val="24"/>
        </w:rPr>
        <w:lastRenderedPageBreak/>
        <w:t>CPT Category III Codes</w:t>
      </w:r>
    </w:p>
    <w:p w14:paraId="7926490F" w14:textId="554A35DF" w:rsidR="00C25FCC" w:rsidRPr="00BD4958" w:rsidRDefault="00B51BEB" w:rsidP="00C25FCC">
      <w:pPr>
        <w:pStyle w:val="NormalWeb"/>
        <w:shd w:val="clear" w:color="auto" w:fill="FFFFFF"/>
        <w:rPr>
          <w:shd w:val="clear" w:color="auto" w:fill="FFFFFF"/>
        </w:rPr>
      </w:pPr>
      <w:r w:rsidRPr="00BD4958">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BD4958" w:rsidRDefault="00C25FCC" w:rsidP="00BD4958">
      <w:pPr>
        <w:pStyle w:val="NormalWeb"/>
        <w:shd w:val="clear" w:color="auto" w:fill="FFFFFF"/>
        <w:jc w:val="center"/>
        <w:rPr>
          <w:b/>
          <w:sz w:val="32"/>
        </w:rPr>
      </w:pPr>
      <w:r w:rsidRPr="00BD4958">
        <w:rPr>
          <w:b/>
          <w:sz w:val="32"/>
        </w:rPr>
        <w:t>Healthcare Common Procedure Coding System (HCPCS)</w:t>
      </w:r>
    </w:p>
    <w:p w14:paraId="46CEB048" w14:textId="77777777" w:rsidR="00C25FCC" w:rsidRPr="00BD4958" w:rsidRDefault="00C25FCC" w:rsidP="00C25FCC">
      <w:pPr>
        <w:pStyle w:val="NormalWeb"/>
        <w:shd w:val="clear" w:color="auto" w:fill="FFFFFF"/>
      </w:pPr>
      <w:r w:rsidRPr="00BD4958">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BD4958" w:rsidRDefault="00C25FCC" w:rsidP="00C25FCC">
      <w:pPr>
        <w:pStyle w:val="NormalWeb"/>
        <w:shd w:val="clear" w:color="auto" w:fill="FFFFFF"/>
        <w:rPr>
          <w:b/>
          <w:sz w:val="28"/>
        </w:rPr>
      </w:pPr>
      <w:r w:rsidRPr="00BD4958">
        <w:rPr>
          <w:b/>
          <w:sz w:val="28"/>
        </w:rPr>
        <w:t>Types of HCPCS Codes</w:t>
      </w:r>
    </w:p>
    <w:p w14:paraId="11670BAE" w14:textId="024D9293" w:rsidR="00C25FCC" w:rsidRPr="00BD4958" w:rsidRDefault="00C25FCC" w:rsidP="00C25FCC">
      <w:pPr>
        <w:pStyle w:val="NormalWeb"/>
        <w:shd w:val="clear" w:color="auto" w:fill="FFFFFF"/>
      </w:pPr>
      <w:r w:rsidRPr="00BD4958">
        <w:t>Adopted by CMS in 1983 and formed on the American Medical Association’s (AMA) CPT coding system, the HCPCS code is divided into three categories—Level I, Level II and Level III.</w:t>
      </w:r>
    </w:p>
    <w:p w14:paraId="1C0221A5" w14:textId="77777777" w:rsidR="00DE07EF" w:rsidRDefault="00C25FCC" w:rsidP="00FE5223">
      <w:pPr>
        <w:numPr>
          <w:ilvl w:val="0"/>
          <w:numId w:val="19"/>
        </w:numPr>
        <w:shd w:val="clear" w:color="auto" w:fill="FFFFFF"/>
        <w:spacing w:after="0" w:line="240" w:lineRule="auto"/>
        <w:ind w:left="0"/>
        <w:rPr>
          <w:rFonts w:ascii="Times New Roman" w:hAnsi="Times New Roman" w:cs="Times New Roman"/>
          <w:sz w:val="24"/>
          <w:szCs w:val="24"/>
        </w:rPr>
      </w:pPr>
      <w:r w:rsidRPr="00DE07EF">
        <w:rPr>
          <w:rFonts w:ascii="Times New Roman" w:hAnsi="Times New Roman" w:cs="Times New Roman"/>
          <w:b/>
          <w:bCs/>
          <w:sz w:val="24"/>
          <w:szCs w:val="24"/>
        </w:rPr>
        <w:t>LEVEL I:</w:t>
      </w:r>
      <w:r w:rsidRPr="00DE07EF">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DE07EF">
        <w:rPr>
          <w:rFonts w:ascii="Times New Roman" w:hAnsi="Times New Roman" w:cs="Times New Roman"/>
          <w:b/>
          <w:bCs/>
          <w:sz w:val="24"/>
          <w:szCs w:val="24"/>
        </w:rPr>
        <w:t>CPT code 31631</w:t>
      </w:r>
      <w:r w:rsidRPr="00DE07EF">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DE07EF" w:rsidRDefault="00DE07EF" w:rsidP="00DE07EF">
      <w:pPr>
        <w:shd w:val="clear" w:color="auto" w:fill="FFFFFF"/>
        <w:spacing w:after="0" w:line="240" w:lineRule="auto"/>
        <w:rPr>
          <w:rFonts w:ascii="Times New Roman" w:hAnsi="Times New Roman" w:cs="Times New Roman"/>
          <w:sz w:val="24"/>
          <w:szCs w:val="24"/>
        </w:rPr>
      </w:pPr>
    </w:p>
    <w:p w14:paraId="2B5FE5D8" w14:textId="18D17BCE" w:rsidR="00C25FCC" w:rsidRPr="00DE07EF" w:rsidRDefault="00C25FCC" w:rsidP="00FE5223">
      <w:pPr>
        <w:numPr>
          <w:ilvl w:val="0"/>
          <w:numId w:val="19"/>
        </w:numPr>
        <w:shd w:val="clear" w:color="auto" w:fill="FFFFFF"/>
        <w:spacing w:after="0" w:line="240" w:lineRule="auto"/>
        <w:ind w:left="0"/>
        <w:rPr>
          <w:rFonts w:ascii="Times New Roman" w:hAnsi="Times New Roman" w:cs="Times New Roman"/>
          <w:sz w:val="24"/>
          <w:szCs w:val="24"/>
        </w:rPr>
      </w:pPr>
      <w:r w:rsidRPr="00DE07EF">
        <w:rPr>
          <w:rFonts w:ascii="Times New Roman" w:hAnsi="Times New Roman" w:cs="Times New Roman"/>
          <w:b/>
          <w:bCs/>
          <w:sz w:val="24"/>
          <w:szCs w:val="24"/>
        </w:rPr>
        <w:t>LEVEL II:</w:t>
      </w:r>
      <w:r w:rsidRPr="00DE07EF">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DE07EF" w:rsidRDefault="00DE07EF" w:rsidP="00DE07EF">
      <w:pPr>
        <w:shd w:val="clear" w:color="auto" w:fill="FFFFFF"/>
        <w:spacing w:after="0" w:line="240" w:lineRule="auto"/>
        <w:rPr>
          <w:rFonts w:ascii="Times New Roman" w:hAnsi="Times New Roman" w:cs="Times New Roman"/>
          <w:sz w:val="24"/>
          <w:szCs w:val="24"/>
        </w:rPr>
      </w:pPr>
    </w:p>
    <w:p w14:paraId="4F252B91" w14:textId="5A771085" w:rsidR="00C25FCC" w:rsidRPr="00BD4958" w:rsidRDefault="00C25FCC" w:rsidP="00C25FCC">
      <w:pPr>
        <w:numPr>
          <w:ilvl w:val="0"/>
          <w:numId w:val="19"/>
        </w:numPr>
        <w:shd w:val="clear" w:color="auto" w:fill="FFFFFF"/>
        <w:spacing w:after="0" w:line="240" w:lineRule="auto"/>
        <w:ind w:left="0"/>
        <w:rPr>
          <w:rFonts w:ascii="Times New Roman" w:hAnsi="Times New Roman" w:cs="Times New Roman"/>
          <w:sz w:val="24"/>
          <w:szCs w:val="24"/>
        </w:rPr>
      </w:pPr>
      <w:r w:rsidRPr="00BD4958">
        <w:rPr>
          <w:rFonts w:ascii="Times New Roman" w:hAnsi="Times New Roman" w:cs="Times New Roman"/>
          <w:b/>
          <w:bCs/>
          <w:sz w:val="24"/>
          <w:szCs w:val="24"/>
        </w:rPr>
        <w:t>LEVEL III:</w:t>
      </w:r>
      <w:r w:rsidRPr="00BD4958">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BD4958" w:rsidRDefault="00C25FCC" w:rsidP="00C25FCC">
      <w:pPr>
        <w:shd w:val="clear" w:color="auto" w:fill="FFFFFF"/>
        <w:spacing w:after="0" w:line="240" w:lineRule="auto"/>
        <w:rPr>
          <w:rFonts w:ascii="Times New Roman" w:hAnsi="Times New Roman" w:cs="Times New Roman"/>
          <w:b/>
          <w:bCs/>
          <w:sz w:val="24"/>
          <w:szCs w:val="24"/>
        </w:rPr>
      </w:pPr>
    </w:p>
    <w:p w14:paraId="7A9F7650" w14:textId="262177F1" w:rsidR="00C25FCC" w:rsidRPr="00BD4958" w:rsidRDefault="00C25FCC" w:rsidP="00847AAD">
      <w:pPr>
        <w:shd w:val="clear" w:color="auto" w:fill="FFFFFF"/>
        <w:spacing w:after="0" w:line="240" w:lineRule="auto"/>
        <w:jc w:val="center"/>
        <w:rPr>
          <w:rFonts w:ascii="Times New Roman" w:hAnsi="Times New Roman" w:cs="Times New Roman"/>
          <w:b/>
          <w:sz w:val="32"/>
          <w:szCs w:val="24"/>
        </w:rPr>
      </w:pPr>
      <w:r w:rsidRPr="00BD4958">
        <w:rPr>
          <w:rFonts w:ascii="Times New Roman" w:hAnsi="Times New Roman" w:cs="Times New Roman"/>
          <w:b/>
          <w:sz w:val="32"/>
          <w:szCs w:val="24"/>
        </w:rPr>
        <w:t>Diagnosis Pointer</w:t>
      </w:r>
      <w:r w:rsidR="00847AAD" w:rsidRPr="00BD4958">
        <w:rPr>
          <w:rFonts w:ascii="Times New Roman" w:hAnsi="Times New Roman" w:cs="Times New Roman"/>
          <w:b/>
          <w:sz w:val="32"/>
          <w:szCs w:val="24"/>
        </w:rPr>
        <w:t>s</w:t>
      </w:r>
    </w:p>
    <w:p w14:paraId="6D0313BE" w14:textId="2A194CE5" w:rsidR="00847AAD" w:rsidRPr="00BD4958" w:rsidRDefault="00847AAD" w:rsidP="00847AAD">
      <w:pPr>
        <w:shd w:val="clear" w:color="auto" w:fill="FFFFFF"/>
        <w:spacing w:after="0" w:line="240" w:lineRule="auto"/>
        <w:rPr>
          <w:rFonts w:ascii="Times New Roman" w:hAnsi="Times New Roman" w:cs="Times New Roman"/>
          <w:sz w:val="24"/>
          <w:szCs w:val="24"/>
        </w:rPr>
      </w:pPr>
    </w:p>
    <w:p w14:paraId="686E97E8" w14:textId="77777777" w:rsidR="00847AAD" w:rsidRPr="00BD4958" w:rsidRDefault="00847A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BD4958" w:rsidRDefault="00847AAD" w:rsidP="00847AAD">
      <w:pPr>
        <w:shd w:val="clear" w:color="auto" w:fill="FFFFFF"/>
        <w:spacing w:after="0" w:line="240" w:lineRule="auto"/>
        <w:rPr>
          <w:rFonts w:ascii="Times New Roman" w:hAnsi="Times New Roman" w:cs="Times New Roman"/>
          <w:sz w:val="24"/>
          <w:szCs w:val="24"/>
        </w:rPr>
      </w:pPr>
    </w:p>
    <w:p w14:paraId="60CD7F43" w14:textId="77777777" w:rsidR="00BD4958" w:rsidRDefault="00BD4958" w:rsidP="00847AAD">
      <w:pPr>
        <w:shd w:val="clear" w:color="auto" w:fill="FFFFFF"/>
        <w:spacing w:after="0" w:line="240" w:lineRule="auto"/>
        <w:rPr>
          <w:rFonts w:ascii="Times New Roman" w:hAnsi="Times New Roman" w:cs="Times New Roman"/>
          <w:sz w:val="24"/>
          <w:szCs w:val="24"/>
        </w:rPr>
      </w:pPr>
    </w:p>
    <w:p w14:paraId="7B65D0DB" w14:textId="16A55C2A" w:rsidR="00847AAD" w:rsidRPr="00BD4958" w:rsidRDefault="00847AAD" w:rsidP="00847A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Who uses Diagnosis Pointer?</w:t>
      </w:r>
    </w:p>
    <w:p w14:paraId="4B194805" w14:textId="77777777" w:rsidR="00847AAD" w:rsidRPr="00BD4958" w:rsidRDefault="00847AAD" w:rsidP="00847AAD">
      <w:pPr>
        <w:shd w:val="clear" w:color="auto" w:fill="FFFFFF"/>
        <w:spacing w:after="0" w:line="240" w:lineRule="auto"/>
        <w:rPr>
          <w:rFonts w:ascii="Times New Roman" w:hAnsi="Times New Roman" w:cs="Times New Roman"/>
          <w:sz w:val="24"/>
          <w:szCs w:val="24"/>
        </w:rPr>
      </w:pPr>
    </w:p>
    <w:p w14:paraId="092AF5E5" w14:textId="3139CF20" w:rsidR="00847AAD" w:rsidRPr="00BD4958" w:rsidRDefault="00847A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BD4958" w:rsidRDefault="00847AAD" w:rsidP="00847AAD">
      <w:pPr>
        <w:pStyle w:val="NormalWeb"/>
        <w:shd w:val="clear" w:color="auto" w:fill="FFFFFF"/>
        <w:spacing w:after="240" w:afterAutospacing="0"/>
        <w:rPr>
          <w:b/>
          <w:sz w:val="28"/>
        </w:rPr>
      </w:pPr>
      <w:r w:rsidRPr="00BD4958">
        <w:rPr>
          <w:b/>
          <w:sz w:val="28"/>
        </w:rPr>
        <w:t>How many Diagnosis Pointer can be there?</w:t>
      </w:r>
    </w:p>
    <w:p w14:paraId="1A54C352" w14:textId="7647F233" w:rsidR="00847AAD" w:rsidRPr="00BD4958" w:rsidRDefault="00847AAD" w:rsidP="00847AAD">
      <w:pPr>
        <w:pStyle w:val="NormalWeb"/>
        <w:shd w:val="clear" w:color="auto" w:fill="FFFFFF"/>
        <w:spacing w:after="240" w:afterAutospacing="0"/>
      </w:pPr>
      <w:r w:rsidRPr="00BD4958">
        <w:t>On any given service line there are up to 4.  In current EDI (version 5010 of the 837P) the value must be between 1 and 12.</w:t>
      </w:r>
    </w:p>
    <w:p w14:paraId="41238810" w14:textId="3842511F" w:rsidR="00847AAD" w:rsidRPr="00BD4958" w:rsidRDefault="00430D35" w:rsidP="007C31AD">
      <w:pPr>
        <w:pStyle w:val="NormalWeb"/>
        <w:shd w:val="clear" w:color="auto" w:fill="FFFFFF"/>
        <w:spacing w:after="240" w:afterAutospacing="0"/>
        <w:jc w:val="center"/>
        <w:rPr>
          <w:b/>
          <w:sz w:val="32"/>
        </w:rPr>
      </w:pPr>
      <w:r>
        <w:rPr>
          <w:b/>
          <w:sz w:val="32"/>
        </w:rPr>
        <w:t>Accept</w:t>
      </w:r>
      <w:r w:rsidR="00847AAD" w:rsidRPr="00BD4958">
        <w:rPr>
          <w:b/>
          <w:sz w:val="32"/>
        </w:rPr>
        <w:t xml:space="preserve"> Assignment</w:t>
      </w:r>
    </w:p>
    <w:p w14:paraId="71EEE984" w14:textId="6E18247B" w:rsidR="00847AAD" w:rsidRPr="00BD4958" w:rsidRDefault="0041561B" w:rsidP="00847AAD">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Accept</w:t>
      </w:r>
      <w:r w:rsidR="007C31AD" w:rsidRPr="00BD4958">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BD4958" w:rsidRDefault="007C31AD" w:rsidP="00847AAD">
      <w:pPr>
        <w:shd w:val="clear" w:color="auto" w:fill="FFFFFF"/>
        <w:spacing w:after="0" w:line="240" w:lineRule="auto"/>
        <w:rPr>
          <w:rFonts w:ascii="Times New Roman" w:hAnsi="Times New Roman" w:cs="Times New Roman"/>
          <w:sz w:val="24"/>
          <w:szCs w:val="24"/>
        </w:rPr>
      </w:pPr>
    </w:p>
    <w:p w14:paraId="61B2C8CB" w14:textId="4F576DDF" w:rsidR="007C31AD" w:rsidRPr="00BD4958" w:rsidRDefault="007C31AD" w:rsidP="00847A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 xml:space="preserve">Provider who accepts Assignment </w:t>
      </w:r>
    </w:p>
    <w:p w14:paraId="681EDB00" w14:textId="77777777" w:rsidR="007C31AD" w:rsidRPr="00BD4958" w:rsidRDefault="007C31AD" w:rsidP="00847AAD">
      <w:pPr>
        <w:shd w:val="clear" w:color="auto" w:fill="FFFFFF"/>
        <w:spacing w:after="0" w:line="240" w:lineRule="auto"/>
        <w:rPr>
          <w:rFonts w:ascii="Times New Roman" w:hAnsi="Times New Roman" w:cs="Times New Roman"/>
          <w:sz w:val="24"/>
          <w:szCs w:val="24"/>
        </w:rPr>
      </w:pPr>
    </w:p>
    <w:p w14:paraId="4D6C724F" w14:textId="1173F929" w:rsidR="007C31AD" w:rsidRPr="00BD4958" w:rsidRDefault="007C31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BD4958" w:rsidRDefault="007C31AD" w:rsidP="00847AAD">
      <w:pPr>
        <w:shd w:val="clear" w:color="auto" w:fill="FFFFFF"/>
        <w:spacing w:after="0" w:line="240" w:lineRule="auto"/>
        <w:rPr>
          <w:rFonts w:ascii="Times New Roman" w:hAnsi="Times New Roman" w:cs="Times New Roman"/>
          <w:sz w:val="24"/>
          <w:szCs w:val="24"/>
        </w:rPr>
      </w:pPr>
    </w:p>
    <w:p w14:paraId="121F2977" w14:textId="59F44D46" w:rsidR="007C31AD" w:rsidRDefault="007C31AD" w:rsidP="007C31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 xml:space="preserve">Provider who </w:t>
      </w:r>
      <w:r w:rsidR="00BD4958" w:rsidRPr="00BD4958">
        <w:rPr>
          <w:rFonts w:ascii="Times New Roman" w:hAnsi="Times New Roman" w:cs="Times New Roman"/>
          <w:b/>
          <w:sz w:val="28"/>
          <w:szCs w:val="24"/>
        </w:rPr>
        <w:t>doesn’t accepts</w:t>
      </w:r>
      <w:r w:rsidRPr="00BD4958">
        <w:rPr>
          <w:rFonts w:ascii="Times New Roman" w:hAnsi="Times New Roman" w:cs="Times New Roman"/>
          <w:b/>
          <w:sz w:val="28"/>
          <w:szCs w:val="24"/>
        </w:rPr>
        <w:t xml:space="preserve"> Assignment </w:t>
      </w:r>
    </w:p>
    <w:p w14:paraId="790296A3" w14:textId="77777777" w:rsidR="00BD4958" w:rsidRPr="00BD4958" w:rsidRDefault="00BD4958" w:rsidP="007C31AD">
      <w:pPr>
        <w:shd w:val="clear" w:color="auto" w:fill="FFFFFF"/>
        <w:spacing w:after="0" w:line="240" w:lineRule="auto"/>
        <w:rPr>
          <w:rFonts w:ascii="Times New Roman" w:hAnsi="Times New Roman" w:cs="Times New Roman"/>
          <w:b/>
          <w:sz w:val="28"/>
          <w:szCs w:val="24"/>
        </w:rPr>
      </w:pPr>
    </w:p>
    <w:p w14:paraId="5EB64919" w14:textId="2A53431B" w:rsidR="007C31AD" w:rsidRPr="00BD4958" w:rsidRDefault="007C31AD" w:rsidP="00847AAD">
      <w:pPr>
        <w:shd w:val="clear" w:color="auto" w:fill="FFFFFF"/>
        <w:spacing w:after="0" w:line="240" w:lineRule="auto"/>
        <w:rPr>
          <w:rFonts w:ascii="Times New Roman" w:hAnsi="Times New Roman" w:cs="Times New Roman"/>
          <w:sz w:val="24"/>
          <w:szCs w:val="24"/>
          <w:shd w:val="clear" w:color="auto" w:fill="FFFFFF"/>
        </w:rPr>
      </w:pPr>
      <w:r w:rsidRPr="00BD4958">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Default="007C31AD" w:rsidP="007C31AD">
      <w:pPr>
        <w:shd w:val="clear" w:color="auto" w:fill="FFFFFF"/>
        <w:spacing w:after="0" w:line="240" w:lineRule="auto"/>
        <w:jc w:val="center"/>
        <w:rPr>
          <w:rFonts w:ascii="Times New Roman" w:hAnsi="Times New Roman" w:cs="Times New Roman"/>
          <w:sz w:val="24"/>
          <w:szCs w:val="24"/>
        </w:rPr>
      </w:pPr>
    </w:p>
    <w:p w14:paraId="5D0517A1" w14:textId="77777777" w:rsidR="00BD4958" w:rsidRPr="00BD4958" w:rsidRDefault="00BD4958" w:rsidP="007C31AD">
      <w:pPr>
        <w:shd w:val="clear" w:color="auto" w:fill="FFFFFF"/>
        <w:spacing w:after="0" w:line="240" w:lineRule="auto"/>
        <w:jc w:val="center"/>
        <w:rPr>
          <w:rFonts w:ascii="Times New Roman" w:hAnsi="Times New Roman" w:cs="Times New Roman"/>
          <w:sz w:val="24"/>
          <w:szCs w:val="24"/>
        </w:rPr>
      </w:pPr>
    </w:p>
    <w:p w14:paraId="3CF60548" w14:textId="27686810" w:rsidR="007C31AD" w:rsidRPr="00BD4958" w:rsidRDefault="007C31AD" w:rsidP="00BD4958">
      <w:pPr>
        <w:shd w:val="clear" w:color="auto" w:fill="FFFFFF"/>
        <w:spacing w:after="0" w:line="240" w:lineRule="auto"/>
        <w:jc w:val="center"/>
        <w:rPr>
          <w:rFonts w:ascii="Times New Roman" w:hAnsi="Times New Roman" w:cs="Times New Roman"/>
          <w:b/>
          <w:sz w:val="32"/>
          <w:szCs w:val="24"/>
        </w:rPr>
      </w:pPr>
      <w:r w:rsidRPr="00BD4958">
        <w:rPr>
          <w:rFonts w:ascii="Times New Roman" w:hAnsi="Times New Roman" w:cs="Times New Roman"/>
          <w:b/>
          <w:sz w:val="32"/>
          <w:szCs w:val="24"/>
        </w:rPr>
        <w:t>Modifiers</w:t>
      </w:r>
    </w:p>
    <w:p w14:paraId="39A3F13A" w14:textId="77777777" w:rsidR="007C31AD" w:rsidRPr="00BD4958" w:rsidRDefault="007C31AD" w:rsidP="007C31AD">
      <w:p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BD4958" w:rsidRDefault="00BD4958" w:rsidP="007C31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lastRenderedPageBreak/>
        <w:t>Advantages</w:t>
      </w:r>
      <w:r w:rsidR="007C31AD" w:rsidRPr="00BD4958">
        <w:rPr>
          <w:rFonts w:ascii="Times New Roman" w:hAnsi="Times New Roman" w:cs="Times New Roman"/>
          <w:b/>
          <w:sz w:val="28"/>
          <w:szCs w:val="24"/>
        </w:rPr>
        <w:t xml:space="preserve"> of Using Modifiers </w:t>
      </w:r>
    </w:p>
    <w:p w14:paraId="4B84D45E" w14:textId="77777777" w:rsidR="007C31AD" w:rsidRPr="00BD4958" w:rsidRDefault="007C31AD" w:rsidP="007C31AD">
      <w:pPr>
        <w:shd w:val="clear" w:color="auto" w:fill="FFFFFF"/>
        <w:spacing w:before="100" w:beforeAutospacing="1" w:after="100" w:afterAutospacing="1"/>
        <w:rPr>
          <w:rFonts w:ascii="Times New Roman" w:hAnsi="Times New Roman" w:cs="Times New Roman"/>
          <w:spacing w:val="3"/>
          <w:sz w:val="24"/>
          <w:szCs w:val="24"/>
        </w:rPr>
      </w:pPr>
      <w:r w:rsidRPr="00BD4958">
        <w:rPr>
          <w:rFonts w:ascii="Times New Roman" w:hAnsi="Times New Roman" w:cs="Times New Roman"/>
          <w:spacing w:val="3"/>
          <w:sz w:val="24"/>
          <w:szCs w:val="24"/>
        </w:rPr>
        <w:t xml:space="preserve">The use of modifiers in medical billing helps in </w:t>
      </w:r>
    </w:p>
    <w:p w14:paraId="41D3E60D" w14:textId="77777777" w:rsidR="007C31AD" w:rsidRPr="00BD4958" w:rsidRDefault="007C31AD" w:rsidP="007C31AD">
      <w:pPr>
        <w:numPr>
          <w:ilvl w:val="0"/>
          <w:numId w:val="20"/>
        </w:numPr>
        <w:shd w:val="clear" w:color="auto" w:fill="FFFFFF"/>
        <w:spacing w:before="120" w:after="120" w:line="240" w:lineRule="auto"/>
        <w:rPr>
          <w:rFonts w:ascii="Times New Roman" w:hAnsi="Times New Roman" w:cs="Times New Roman"/>
          <w:spacing w:val="3"/>
          <w:sz w:val="24"/>
          <w:szCs w:val="24"/>
        </w:rPr>
      </w:pPr>
      <w:r w:rsidRPr="00BD4958">
        <w:rPr>
          <w:rFonts w:ascii="Times New Roman" w:hAnsi="Times New Roman" w:cs="Times New Roman"/>
          <w:spacing w:val="3"/>
          <w:sz w:val="24"/>
          <w:szCs w:val="24"/>
        </w:rPr>
        <w:t>Avoiding claim denials by submitting clean and accurate claims</w:t>
      </w:r>
    </w:p>
    <w:p w14:paraId="792D5AA2" w14:textId="746BF665" w:rsidR="007C31AD" w:rsidRPr="00BD4958" w:rsidRDefault="00FE5223" w:rsidP="007C31AD">
      <w:pPr>
        <w:numPr>
          <w:ilvl w:val="0"/>
          <w:numId w:val="20"/>
        </w:numPr>
        <w:shd w:val="clear" w:color="auto" w:fill="FFFFFF"/>
        <w:spacing w:before="120" w:after="120" w:line="240" w:lineRule="auto"/>
        <w:rPr>
          <w:rFonts w:ascii="Times New Roman" w:hAnsi="Times New Roman" w:cs="Times New Roman"/>
          <w:spacing w:val="3"/>
          <w:sz w:val="24"/>
          <w:szCs w:val="24"/>
        </w:rPr>
      </w:pPr>
      <w:hyperlink r:id="rId40" w:history="1">
        <w:r w:rsidR="00BD4958" w:rsidRPr="00BD4958">
          <w:rPr>
            <w:rStyle w:val="Hyperlink"/>
            <w:rFonts w:ascii="Times New Roman" w:hAnsi="Times New Roman" w:cs="Times New Roman"/>
            <w:color w:val="auto"/>
            <w:spacing w:val="3"/>
            <w:sz w:val="24"/>
            <w:szCs w:val="24"/>
            <w:u w:val="none"/>
          </w:rPr>
          <w:t>Submitting claims</w:t>
        </w:r>
        <w:r w:rsidR="007C31AD" w:rsidRPr="00BD4958">
          <w:rPr>
            <w:rStyle w:val="Hyperlink"/>
            <w:rFonts w:ascii="Times New Roman" w:hAnsi="Times New Roman" w:cs="Times New Roman"/>
            <w:color w:val="auto"/>
            <w:spacing w:val="3"/>
            <w:sz w:val="24"/>
            <w:szCs w:val="24"/>
            <w:u w:val="none"/>
          </w:rPr>
          <w:t xml:space="preserve"> </w:t>
        </w:r>
      </w:hyperlink>
      <w:r w:rsidR="007C31AD" w:rsidRPr="00BD4958">
        <w:rPr>
          <w:rFonts w:ascii="Times New Roman" w:hAnsi="Times New Roman" w:cs="Times New Roman"/>
          <w:spacing w:val="3"/>
          <w:sz w:val="24"/>
          <w:szCs w:val="24"/>
        </w:rPr>
        <w:t>with a higher level of coding specificity and obtain the right reimbursements</w:t>
      </w:r>
    </w:p>
    <w:p w14:paraId="5BFAF7DB" w14:textId="77777777" w:rsidR="007C31AD" w:rsidRPr="00BD4958" w:rsidRDefault="007C31AD" w:rsidP="007C31AD">
      <w:pPr>
        <w:numPr>
          <w:ilvl w:val="0"/>
          <w:numId w:val="20"/>
        </w:numPr>
        <w:shd w:val="clear" w:color="auto" w:fill="FFFFFF"/>
        <w:spacing w:before="120" w:after="120" w:line="240" w:lineRule="auto"/>
        <w:rPr>
          <w:rFonts w:ascii="Times New Roman" w:hAnsi="Times New Roman" w:cs="Times New Roman"/>
          <w:spacing w:val="3"/>
          <w:sz w:val="24"/>
          <w:szCs w:val="24"/>
        </w:rPr>
      </w:pPr>
      <w:r w:rsidRPr="00BD4958">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BD4958" w:rsidRDefault="007C31AD" w:rsidP="007C31AD">
      <w:pPr>
        <w:shd w:val="clear" w:color="auto" w:fill="FFFFFF"/>
        <w:spacing w:after="0" w:line="240" w:lineRule="auto"/>
        <w:rPr>
          <w:rFonts w:ascii="Times New Roman" w:hAnsi="Times New Roman" w:cs="Times New Roman"/>
          <w:b/>
          <w:sz w:val="28"/>
          <w:szCs w:val="24"/>
        </w:rPr>
      </w:pPr>
      <w:r w:rsidRPr="00BD4958">
        <w:rPr>
          <w:rFonts w:ascii="Times New Roman" w:hAnsi="Times New Roman" w:cs="Times New Roman"/>
          <w:b/>
          <w:sz w:val="28"/>
          <w:szCs w:val="24"/>
        </w:rPr>
        <w:t>Types of Modifiers</w:t>
      </w:r>
    </w:p>
    <w:p w14:paraId="216C4E7F" w14:textId="77777777" w:rsidR="007C31AD" w:rsidRPr="00BD4958" w:rsidRDefault="007C31AD" w:rsidP="007C31AD">
      <w:pPr>
        <w:numPr>
          <w:ilvl w:val="0"/>
          <w:numId w:val="21"/>
        </w:numPr>
        <w:shd w:val="clear" w:color="auto" w:fill="FFFFFF"/>
        <w:spacing w:before="120" w:after="120"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b/>
          <w:bCs/>
          <w:spacing w:val="3"/>
          <w:sz w:val="24"/>
          <w:szCs w:val="24"/>
        </w:rPr>
        <w:t>Level I Modifiers</w:t>
      </w:r>
      <w:r w:rsidRPr="00BD4958">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Default="007C31AD" w:rsidP="007C31AD">
      <w:pPr>
        <w:numPr>
          <w:ilvl w:val="0"/>
          <w:numId w:val="21"/>
        </w:numPr>
        <w:shd w:val="clear" w:color="auto" w:fill="FFFFFF"/>
        <w:spacing w:before="120" w:after="120" w:line="240" w:lineRule="auto"/>
        <w:rPr>
          <w:rFonts w:ascii="Times New Roman" w:eastAsia="Times New Roman" w:hAnsi="Times New Roman" w:cs="Times New Roman"/>
          <w:spacing w:val="3"/>
          <w:sz w:val="24"/>
          <w:szCs w:val="24"/>
        </w:rPr>
      </w:pPr>
      <w:r w:rsidRPr="00BD4958">
        <w:rPr>
          <w:rFonts w:ascii="Times New Roman" w:eastAsia="Times New Roman" w:hAnsi="Times New Roman" w:cs="Times New Roman"/>
          <w:b/>
          <w:bCs/>
          <w:spacing w:val="3"/>
          <w:sz w:val="24"/>
          <w:szCs w:val="24"/>
        </w:rPr>
        <w:t>Level II Modifiers.</w:t>
      </w:r>
      <w:r w:rsidRPr="00BD4958">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BD4958">
        <w:rPr>
          <w:rFonts w:ascii="Times New Roman" w:eastAsia="Times New Roman" w:hAnsi="Times New Roman" w:cs="Times New Roman"/>
          <w:spacing w:val="3"/>
          <w:sz w:val="24"/>
          <w:szCs w:val="24"/>
        </w:rPr>
        <w:t>Services (</w:t>
      </w:r>
      <w:r w:rsidRPr="00BD4958">
        <w:rPr>
          <w:rFonts w:ascii="Times New Roman" w:eastAsia="Times New Roman" w:hAnsi="Times New Roman" w:cs="Times New Roman"/>
          <w:spacing w:val="3"/>
          <w:sz w:val="24"/>
          <w:szCs w:val="24"/>
        </w:rPr>
        <w:t>CMS)</w:t>
      </w:r>
    </w:p>
    <w:p w14:paraId="490C8BB4" w14:textId="4B086C2F" w:rsidR="00C94394" w:rsidRDefault="00C94394" w:rsidP="00C94394">
      <w:pPr>
        <w:shd w:val="clear" w:color="auto" w:fill="FFFFFF"/>
        <w:spacing w:before="120" w:after="120" w:line="240" w:lineRule="auto"/>
        <w:rPr>
          <w:rFonts w:ascii="Times New Roman" w:eastAsia="Times New Roman" w:hAnsi="Times New Roman" w:cs="Times New Roman"/>
          <w:spacing w:val="3"/>
          <w:sz w:val="24"/>
          <w:szCs w:val="24"/>
        </w:rPr>
      </w:pPr>
    </w:p>
    <w:p w14:paraId="1D2B3569" w14:textId="7A358177" w:rsidR="00C94394" w:rsidRDefault="00C94394" w:rsidP="00876D6B">
      <w:pPr>
        <w:shd w:val="clear" w:color="auto" w:fill="FFFFFF"/>
        <w:spacing w:before="120" w:after="120" w:line="240" w:lineRule="auto"/>
        <w:jc w:val="center"/>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Clearing House</w:t>
      </w:r>
    </w:p>
    <w:p w14:paraId="71B4998E" w14:textId="3600C913" w:rsidR="00876D6B" w:rsidRPr="003B3D81" w:rsidRDefault="00876D6B" w:rsidP="00876D6B">
      <w:pPr>
        <w:shd w:val="clear" w:color="auto" w:fill="FFFFFF"/>
        <w:spacing w:before="120" w:after="120" w:line="240" w:lineRule="auto"/>
        <w:rPr>
          <w:rFonts w:ascii="Arial" w:hAnsi="Arial" w:cs="Arial"/>
          <w:sz w:val="23"/>
          <w:szCs w:val="23"/>
          <w:shd w:val="clear" w:color="auto" w:fill="FFFFFF"/>
        </w:rPr>
      </w:pPr>
      <w:r w:rsidRPr="003B3D81">
        <w:rPr>
          <w:rFonts w:ascii="Arial" w:hAnsi="Arial" w:cs="Arial"/>
          <w:sz w:val="23"/>
          <w:szCs w:val="23"/>
          <w:shd w:val="clear" w:color="auto" w:fill="FFFFFF"/>
        </w:rPr>
        <w:t xml:space="preserve">A clearing house service provider can help a healthcare provider to streamline the billing process by eliminating errors from claims, evaluating details in the claims, enabling the right information about insurance providers, and </w:t>
      </w:r>
      <w:proofErr w:type="gramStart"/>
      <w:r w:rsidRPr="003B3D81">
        <w:rPr>
          <w:rFonts w:ascii="Arial" w:hAnsi="Arial" w:cs="Arial"/>
          <w:sz w:val="23"/>
          <w:szCs w:val="23"/>
          <w:shd w:val="clear" w:color="auto" w:fill="FFFFFF"/>
        </w:rPr>
        <w:t>making arrangements</w:t>
      </w:r>
      <w:proofErr w:type="gramEnd"/>
      <w:r w:rsidRPr="003B3D81">
        <w:rPr>
          <w:rFonts w:ascii="Arial" w:hAnsi="Arial" w:cs="Arial"/>
          <w:sz w:val="23"/>
          <w:szCs w:val="23"/>
          <w:shd w:val="clear" w:color="auto" w:fill="FFFFFF"/>
        </w:rPr>
        <w:t xml:space="preserve"> for EFT – electronic funds transfer.</w:t>
      </w:r>
    </w:p>
    <w:p w14:paraId="5627CD73" w14:textId="42C4D0ED" w:rsidR="003B3D81" w:rsidRPr="003B3D81" w:rsidRDefault="003B3D81" w:rsidP="003B3D81">
      <w:pPr>
        <w:pStyle w:val="NormalWeb"/>
        <w:shd w:val="clear" w:color="auto" w:fill="FFFFFF"/>
        <w:spacing w:before="0" w:beforeAutospacing="0" w:after="0" w:afterAutospacing="0"/>
        <w:rPr>
          <w:rFonts w:ascii="Arial" w:hAnsi="Arial" w:cs="Arial"/>
          <w:sz w:val="23"/>
          <w:szCs w:val="23"/>
        </w:rPr>
      </w:pPr>
      <w:r w:rsidRPr="003B3D81">
        <w:rPr>
          <w:rFonts w:ascii="Arial" w:hAnsi="Arial" w:cs="Arial"/>
          <w:sz w:val="23"/>
          <w:szCs w:val="23"/>
        </w:rPr>
        <w:t>A clearinghouse evaluates the </w:t>
      </w:r>
      <w:hyperlink r:id="rId41" w:tgtFrame="_blank" w:history="1">
        <w:r w:rsidRPr="003B3D81">
          <w:rPr>
            <w:rStyle w:val="Hyperlink"/>
            <w:rFonts w:ascii="Arial" w:hAnsi="Arial" w:cs="Arial"/>
            <w:color w:val="auto"/>
            <w:sz w:val="23"/>
            <w:szCs w:val="23"/>
            <w:u w:val="none"/>
            <w:bdr w:val="none" w:sz="0" w:space="0" w:color="auto" w:frame="1"/>
          </w:rPr>
          <w:t>medical billing claims</w:t>
        </w:r>
      </w:hyperlink>
      <w:r w:rsidRPr="003B3D81">
        <w:rPr>
          <w:rFonts w:ascii="Arial" w:hAnsi="Arial" w:cs="Arial"/>
          <w:sz w:val="23"/>
          <w:szCs w:val="23"/>
        </w:rPr>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3B3D81" w:rsidRDefault="003B3D81" w:rsidP="003B3D81">
      <w:pPr>
        <w:pStyle w:val="NormalWeb"/>
        <w:shd w:val="clear" w:color="auto" w:fill="FFFFFF"/>
        <w:spacing w:before="0" w:beforeAutospacing="0" w:after="0" w:afterAutospacing="0"/>
        <w:rPr>
          <w:rFonts w:ascii="Arial" w:hAnsi="Arial" w:cs="Arial"/>
          <w:sz w:val="23"/>
          <w:szCs w:val="23"/>
        </w:rPr>
      </w:pPr>
    </w:p>
    <w:p w14:paraId="6876DD87" w14:textId="678AE1B9" w:rsidR="003B3D81" w:rsidRDefault="003B3D81" w:rsidP="003B3D81">
      <w:pPr>
        <w:pStyle w:val="NormalWeb"/>
        <w:shd w:val="clear" w:color="auto" w:fill="FFFFFF"/>
        <w:spacing w:before="0" w:beforeAutospacing="0" w:after="360" w:afterAutospacing="0"/>
        <w:rPr>
          <w:rFonts w:ascii="Arial" w:hAnsi="Arial" w:cs="Arial"/>
          <w:color w:val="3A3A3A"/>
          <w:sz w:val="23"/>
          <w:szCs w:val="23"/>
        </w:rPr>
      </w:pPr>
      <w:r w:rsidRPr="003B3D81">
        <w:rPr>
          <w:rFonts w:ascii="Arial" w:hAnsi="Arial" w:cs="Arial"/>
          <w:sz w:val="23"/>
          <w:szCs w:val="23"/>
        </w:rPr>
        <w:t>With this process, it becomes possible for healthcare providers to receive payments timely and manage the revenue cycle effectively</w:t>
      </w:r>
      <w:r>
        <w:rPr>
          <w:rFonts w:ascii="Arial" w:hAnsi="Arial" w:cs="Arial"/>
          <w:color w:val="3A3A3A"/>
          <w:sz w:val="23"/>
          <w:szCs w:val="23"/>
        </w:rPr>
        <w:t>.</w:t>
      </w:r>
    </w:p>
    <w:p w14:paraId="56025AAF" w14:textId="02045FE9" w:rsidR="003B3D81" w:rsidRPr="003B3D81" w:rsidRDefault="003B3D81" w:rsidP="003B3D81">
      <w:pPr>
        <w:pStyle w:val="NormalWeb"/>
        <w:shd w:val="clear" w:color="auto" w:fill="FFFFFF"/>
        <w:spacing w:before="0" w:beforeAutospacing="0" w:after="360" w:afterAutospacing="0"/>
        <w:rPr>
          <w:rFonts w:ascii="Arial" w:hAnsi="Arial" w:cs="Arial"/>
          <w:b/>
          <w:color w:val="3A3A3A"/>
          <w:sz w:val="23"/>
          <w:szCs w:val="23"/>
        </w:rPr>
      </w:pPr>
      <w:r w:rsidRPr="003B3D81">
        <w:rPr>
          <w:rFonts w:ascii="Arial" w:hAnsi="Arial" w:cs="Arial"/>
          <w:b/>
          <w:color w:val="3A3A3A"/>
          <w:sz w:val="23"/>
          <w:szCs w:val="23"/>
        </w:rPr>
        <w:t>What does a clearing house do during a claim’s submission?</w:t>
      </w:r>
    </w:p>
    <w:p w14:paraId="067735A8" w14:textId="7CE02BE8" w:rsidR="003B3D81" w:rsidRDefault="003B3D81" w:rsidP="003B3D81">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Healthcare providers are supposed to install medical billing software where they upload their claims electronically to be checked and evaluated by the clearinghouse. Clearinghouse scrubbed the claims for coding and billing errors and transferred the claims to respective insurance providers for further processing. The whole billing and claiming procedure </w:t>
      </w:r>
      <w:proofErr w:type="gramStart"/>
      <w:r>
        <w:rPr>
          <w:rFonts w:ascii="Arial" w:hAnsi="Arial" w:cs="Arial"/>
          <w:color w:val="3A3A3A"/>
          <w:sz w:val="23"/>
          <w:szCs w:val="23"/>
        </w:rPr>
        <w:t>is</w:t>
      </w:r>
      <w:proofErr w:type="gramEnd"/>
      <w:r>
        <w:rPr>
          <w:rFonts w:ascii="Arial" w:hAnsi="Arial" w:cs="Arial"/>
          <w:color w:val="3A3A3A"/>
          <w:sz w:val="23"/>
          <w:szCs w:val="23"/>
        </w:rPr>
        <w:t xml:space="preserve"> processed over an electronic medium that is secured through provided guidelines across the healthcare system.</w:t>
      </w:r>
    </w:p>
    <w:p w14:paraId="3F016150" w14:textId="32FF188C" w:rsidR="003B3D81" w:rsidRDefault="003B3D81" w:rsidP="003B3D81">
      <w:pPr>
        <w:pStyle w:val="NormalWeb"/>
        <w:shd w:val="clear" w:color="auto" w:fill="FFFFFF"/>
        <w:spacing w:before="0" w:beforeAutospacing="0" w:after="360" w:afterAutospacing="0"/>
        <w:rPr>
          <w:rFonts w:ascii="Arial" w:hAnsi="Arial" w:cs="Arial"/>
          <w:color w:val="3A3A3A"/>
          <w:sz w:val="23"/>
          <w:szCs w:val="23"/>
        </w:rPr>
      </w:pPr>
    </w:p>
    <w:p w14:paraId="7F5D8E91" w14:textId="447CE623" w:rsidR="003B3D81" w:rsidRPr="00D825BC" w:rsidRDefault="003B3D81" w:rsidP="00D825BC">
      <w:pPr>
        <w:pStyle w:val="NormalWeb"/>
        <w:shd w:val="clear" w:color="auto" w:fill="FFFFFF"/>
        <w:spacing w:before="0" w:beforeAutospacing="0" w:after="360" w:afterAutospacing="0"/>
        <w:jc w:val="center"/>
        <w:rPr>
          <w:b/>
          <w:color w:val="3A3A3A"/>
          <w:sz w:val="32"/>
          <w:szCs w:val="23"/>
        </w:rPr>
      </w:pPr>
      <w:r w:rsidRPr="00D825BC">
        <w:rPr>
          <w:b/>
          <w:color w:val="3A3A3A"/>
          <w:sz w:val="32"/>
          <w:szCs w:val="23"/>
        </w:rPr>
        <w:lastRenderedPageBreak/>
        <w:t>Patient Demographics</w:t>
      </w:r>
    </w:p>
    <w:p w14:paraId="12E912BC" w14:textId="408CA40E" w:rsidR="003B3D81" w:rsidRDefault="00652C28" w:rsidP="003B3D81">
      <w:pPr>
        <w:pStyle w:val="NormalWeb"/>
        <w:shd w:val="clear" w:color="auto" w:fill="FFFFFF"/>
        <w:spacing w:before="0" w:beforeAutospacing="0" w:after="360" w:afterAutospacing="0"/>
        <w:rPr>
          <w:rFonts w:ascii="Arial" w:hAnsi="Arial" w:cs="Arial"/>
          <w:color w:val="2D2D2D"/>
          <w:shd w:val="clear" w:color="auto" w:fill="FFFFFF"/>
        </w:rPr>
      </w:pPr>
      <w:r>
        <w:rPr>
          <w:rFonts w:ascii="Arial" w:hAnsi="Arial" w:cs="Arial"/>
          <w:color w:val="2D2D2D"/>
          <w:shd w:val="clear" w:color="auto" w:fill="FFFFFF"/>
        </w:rPr>
        <w:t>Patient demographics are a patient’s basic information. Practices collect patient demographics to provide higher-quality care and streamline the </w:t>
      </w:r>
      <w:hyperlink r:id="rId42" w:history="1">
        <w:r>
          <w:rPr>
            <w:rStyle w:val="Hyperlink"/>
            <w:rFonts w:ascii="Arial" w:hAnsi="Arial" w:cs="Arial"/>
            <w:color w:val="087EE2"/>
            <w:shd w:val="clear" w:color="auto" w:fill="FFFFFF"/>
          </w:rPr>
          <w:t>medical billing and coding</w:t>
        </w:r>
      </w:hyperlink>
      <w:r>
        <w:rPr>
          <w:rFonts w:ascii="Arial" w:hAnsi="Arial" w:cs="Arial"/>
          <w:color w:val="2D2D2D"/>
          <w:shd w:val="clear" w:color="auto" w:fill="FFFFFF"/>
        </w:rPr>
        <w:t> process.</w:t>
      </w:r>
    </w:p>
    <w:p w14:paraId="6E7E8965" w14:textId="7815B7B7" w:rsidR="00652C28" w:rsidRDefault="00652C28" w:rsidP="003B3D81">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What do patient demographics typically include?</w:t>
      </w:r>
    </w:p>
    <w:p w14:paraId="6D9F5C31" w14:textId="77777777" w:rsidR="00652C28" w:rsidRPr="00652C28" w:rsidRDefault="00652C28" w:rsidP="00652C28">
      <w:p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Patient demographics almost always include the following information:</w:t>
      </w:r>
    </w:p>
    <w:p w14:paraId="15A0A61C" w14:textId="77777777" w:rsidR="00652C28" w:rsidRP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Full legal name</w:t>
      </w:r>
    </w:p>
    <w:p w14:paraId="4F113FA3" w14:textId="77777777" w:rsidR="00652C28" w:rsidRP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Date of birth</w:t>
      </w:r>
    </w:p>
    <w:p w14:paraId="63C32448" w14:textId="77777777" w:rsidR="00652C28" w:rsidRP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Biological sex</w:t>
      </w:r>
    </w:p>
    <w:p w14:paraId="5053D6B7" w14:textId="77777777" w:rsidR="00652C28" w:rsidRP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Gender</w:t>
      </w:r>
    </w:p>
    <w:p w14:paraId="3B610E49" w14:textId="77777777" w:rsidR="00652C28" w:rsidRP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Contact information, including address</w:t>
      </w:r>
    </w:p>
    <w:p w14:paraId="156DDE43" w14:textId="77777777" w:rsidR="00652C28" w:rsidRP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Ethnicity</w:t>
      </w:r>
    </w:p>
    <w:p w14:paraId="32F47EB7" w14:textId="7435EF79" w:rsidR="00652C28" w:rsidRDefault="00652C28" w:rsidP="00652C28">
      <w:pPr>
        <w:numPr>
          <w:ilvl w:val="0"/>
          <w:numId w:val="26"/>
        </w:numPr>
        <w:shd w:val="clear" w:color="auto" w:fill="FFFFFF"/>
        <w:spacing w:before="100" w:beforeAutospacing="1" w:after="100" w:afterAutospacing="1" w:line="240" w:lineRule="auto"/>
        <w:rPr>
          <w:rFonts w:ascii="Arial" w:eastAsia="Times New Roman" w:hAnsi="Arial" w:cs="Arial"/>
          <w:color w:val="2D2D2D"/>
          <w:sz w:val="24"/>
          <w:szCs w:val="24"/>
        </w:rPr>
      </w:pPr>
      <w:r w:rsidRPr="00652C28">
        <w:rPr>
          <w:rFonts w:ascii="Arial" w:eastAsia="Times New Roman" w:hAnsi="Arial" w:cs="Arial"/>
          <w:color w:val="2D2D2D"/>
          <w:sz w:val="24"/>
          <w:szCs w:val="24"/>
        </w:rPr>
        <w:t>Race</w:t>
      </w:r>
    </w:p>
    <w:p w14:paraId="5430E8DF" w14:textId="63254C35" w:rsidR="00652C28" w:rsidRDefault="00652C28" w:rsidP="00652C28">
      <w:pPr>
        <w:shd w:val="clear" w:color="auto" w:fill="FFFFFF"/>
        <w:spacing w:before="100" w:beforeAutospacing="1" w:after="100" w:afterAutospacing="1" w:line="240" w:lineRule="auto"/>
        <w:rPr>
          <w:rFonts w:ascii="Arial" w:eastAsia="Times New Roman" w:hAnsi="Arial" w:cs="Arial"/>
          <w:color w:val="2D2D2D"/>
          <w:sz w:val="24"/>
          <w:szCs w:val="24"/>
        </w:rPr>
      </w:pPr>
      <w:r>
        <w:rPr>
          <w:rFonts w:ascii="Arial" w:eastAsia="Times New Roman" w:hAnsi="Arial" w:cs="Arial"/>
          <w:color w:val="2D2D2D"/>
          <w:sz w:val="24"/>
          <w:szCs w:val="24"/>
        </w:rPr>
        <w:t>Why are Patient Demographics important?</w:t>
      </w:r>
    </w:p>
    <w:p w14:paraId="28E98A89" w14:textId="4FDC8B00" w:rsidR="00652C28" w:rsidRPr="00652C28" w:rsidRDefault="00652C28" w:rsidP="00652C28">
      <w:pPr>
        <w:shd w:val="clear" w:color="auto" w:fill="FFFFFF"/>
        <w:spacing w:before="100" w:beforeAutospacing="1" w:after="100" w:afterAutospacing="1" w:line="240" w:lineRule="auto"/>
        <w:rPr>
          <w:rFonts w:ascii="Times New Roman" w:hAnsi="Times New Roman" w:cs="Times New Roman"/>
          <w:color w:val="2D2D2D"/>
          <w:sz w:val="24"/>
          <w:shd w:val="clear" w:color="auto" w:fill="FFFFFF"/>
        </w:rPr>
      </w:pPr>
      <w:r w:rsidRPr="00652C28">
        <w:rPr>
          <w:rFonts w:ascii="Times New Roman" w:hAnsi="Times New Roman" w:cs="Times New Roman"/>
          <w:color w:val="2D2D2D"/>
          <w:sz w:val="24"/>
          <w:shd w:val="clear" w:color="auto" w:fill="FFFFFF"/>
        </w:rPr>
        <w:t>Patient demographics matter because they:</w:t>
      </w:r>
    </w:p>
    <w:p w14:paraId="5ACD70E4" w14:textId="430044BB" w:rsidR="00652C28" w:rsidRPr="00652C28" w:rsidRDefault="00652C28" w:rsidP="00652C28">
      <w:pPr>
        <w:pStyle w:val="ListParagraph"/>
        <w:numPr>
          <w:ilvl w:val="0"/>
          <w:numId w:val="27"/>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2D2D2D"/>
          <w:sz w:val="28"/>
          <w:szCs w:val="24"/>
        </w:rPr>
      </w:pPr>
      <w:r w:rsidRPr="00652C28">
        <w:rPr>
          <w:rStyle w:val="Strong"/>
          <w:rFonts w:ascii="Times New Roman" w:hAnsi="Times New Roman" w:cs="Times New Roman"/>
          <w:color w:val="2D2D2D"/>
          <w:sz w:val="24"/>
          <w:shd w:val="clear" w:color="auto" w:fill="FFFFFF"/>
        </w:rPr>
        <w:t>Guide the billing process</w:t>
      </w:r>
    </w:p>
    <w:p w14:paraId="7A487525" w14:textId="3BB342CB" w:rsidR="00652C28" w:rsidRPr="00652C28" w:rsidRDefault="00652C28" w:rsidP="00652C28">
      <w:pPr>
        <w:pStyle w:val="ListParagraph"/>
        <w:shd w:val="clear" w:color="auto" w:fill="FFFFFF"/>
        <w:spacing w:before="100" w:beforeAutospacing="1" w:after="100" w:afterAutospacing="1" w:line="240" w:lineRule="auto"/>
        <w:rPr>
          <w:rFonts w:ascii="Times New Roman" w:hAnsi="Times New Roman" w:cs="Times New Roman"/>
          <w:color w:val="2D2D2D"/>
          <w:sz w:val="24"/>
          <w:shd w:val="clear" w:color="auto" w:fill="FFFFFF"/>
        </w:rPr>
      </w:pPr>
      <w:r w:rsidRPr="00652C28">
        <w:rPr>
          <w:rFonts w:ascii="Times New Roman" w:hAnsi="Times New Roman" w:cs="Times New Roman"/>
          <w:color w:val="2D2D2D"/>
          <w:sz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52C28" w:rsidRDefault="00652C28" w:rsidP="00652C28">
      <w:pPr>
        <w:pStyle w:val="ListParagraph"/>
        <w:shd w:val="clear" w:color="auto" w:fill="FFFFFF"/>
        <w:spacing w:before="100" w:beforeAutospacing="1" w:after="100" w:afterAutospacing="1" w:line="240" w:lineRule="auto"/>
        <w:rPr>
          <w:rStyle w:val="Strong"/>
          <w:rFonts w:ascii="Times New Roman" w:hAnsi="Times New Roman" w:cs="Times New Roman"/>
          <w:b w:val="0"/>
          <w:bCs w:val="0"/>
          <w:color w:val="2D2D2D"/>
          <w:sz w:val="24"/>
          <w:shd w:val="clear" w:color="auto" w:fill="FFFFFF"/>
        </w:rPr>
      </w:pPr>
    </w:p>
    <w:p w14:paraId="6D0C6193" w14:textId="00A95F4E" w:rsidR="00652C28" w:rsidRPr="00652C28" w:rsidRDefault="00652C28" w:rsidP="00652C28">
      <w:pPr>
        <w:pStyle w:val="ListParagraph"/>
        <w:numPr>
          <w:ilvl w:val="0"/>
          <w:numId w:val="27"/>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2D2D2D"/>
          <w:sz w:val="28"/>
          <w:szCs w:val="24"/>
        </w:rPr>
      </w:pPr>
      <w:r w:rsidRPr="00652C28">
        <w:rPr>
          <w:rStyle w:val="Strong"/>
          <w:rFonts w:ascii="Times New Roman" w:hAnsi="Times New Roman" w:cs="Times New Roman"/>
          <w:color w:val="2D2D2D"/>
          <w:sz w:val="24"/>
          <w:shd w:val="clear" w:color="auto" w:fill="FFFFFF"/>
        </w:rPr>
        <w:t>Streamline patient communications</w:t>
      </w:r>
    </w:p>
    <w:p w14:paraId="7CB9D700" w14:textId="7651AFB1" w:rsidR="00652C28" w:rsidRPr="00652C28" w:rsidRDefault="00652C28" w:rsidP="00652C28">
      <w:pPr>
        <w:pStyle w:val="ListParagraph"/>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2D2D2D"/>
          <w:sz w:val="28"/>
          <w:szCs w:val="24"/>
        </w:rPr>
      </w:pPr>
      <w:r w:rsidRPr="00652C28">
        <w:rPr>
          <w:rFonts w:ascii="Times New Roman" w:hAnsi="Times New Roman" w:cs="Times New Roman"/>
          <w:color w:val="2D2D2D"/>
          <w:sz w:val="24"/>
          <w:shd w:val="clear" w:color="auto" w:fill="FFFFFF"/>
        </w:rPr>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652C28" w:rsidRDefault="00652C28" w:rsidP="00652C28">
      <w:pPr>
        <w:pStyle w:val="ListParagraph"/>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2D2D2D"/>
          <w:sz w:val="28"/>
          <w:szCs w:val="24"/>
        </w:rPr>
      </w:pPr>
    </w:p>
    <w:p w14:paraId="198F23B3" w14:textId="68843626" w:rsidR="00652C28" w:rsidRPr="00652C28" w:rsidRDefault="00652C28" w:rsidP="00652C28">
      <w:pPr>
        <w:pStyle w:val="ListParagraph"/>
        <w:numPr>
          <w:ilvl w:val="0"/>
          <w:numId w:val="27"/>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2D2D2D"/>
          <w:sz w:val="28"/>
          <w:szCs w:val="24"/>
        </w:rPr>
      </w:pPr>
      <w:r w:rsidRPr="00652C28">
        <w:rPr>
          <w:rStyle w:val="Strong"/>
          <w:rFonts w:ascii="Times New Roman" w:hAnsi="Times New Roman" w:cs="Times New Roman"/>
          <w:color w:val="2D2D2D"/>
          <w:sz w:val="24"/>
          <w:shd w:val="clear" w:color="auto" w:fill="FFFFFF"/>
        </w:rPr>
        <w:t>Improve patient care</w:t>
      </w:r>
    </w:p>
    <w:p w14:paraId="331E3B41" w14:textId="1163EFB7" w:rsidR="00652C28" w:rsidRPr="00652C28" w:rsidRDefault="00652C28" w:rsidP="00652C28">
      <w:pPr>
        <w:pStyle w:val="ListParagraph"/>
        <w:shd w:val="clear" w:color="auto" w:fill="FFFFFF"/>
        <w:spacing w:before="100" w:beforeAutospacing="1" w:after="100" w:afterAutospacing="1" w:line="240" w:lineRule="auto"/>
        <w:rPr>
          <w:rFonts w:ascii="Times New Roman" w:eastAsia="Times New Roman" w:hAnsi="Times New Roman" w:cs="Times New Roman"/>
          <w:color w:val="2D2D2D"/>
          <w:sz w:val="28"/>
          <w:szCs w:val="24"/>
        </w:rPr>
      </w:pPr>
      <w:r w:rsidRPr="00652C28">
        <w:rPr>
          <w:rFonts w:ascii="Times New Roman" w:hAnsi="Times New Roman" w:cs="Times New Roman"/>
          <w:color w:val="2D2D2D"/>
          <w:sz w:val="24"/>
          <w:shd w:val="clear" w:color="auto" w:fill="FFFFFF"/>
        </w:rPr>
        <w:t>Notice that a patient’s demographics answer many of the questions you might ask to determine their risk factors. For example, since </w:t>
      </w:r>
      <w:hyperlink r:id="rId43" w:tgtFrame="_blank" w:history="1">
        <w:r w:rsidRPr="00652C28">
          <w:rPr>
            <w:rStyle w:val="Hyperlink"/>
            <w:rFonts w:ascii="Times New Roman" w:hAnsi="Times New Roman" w:cs="Times New Roman"/>
            <w:color w:val="087EE2"/>
            <w:sz w:val="24"/>
            <w:shd w:val="clear" w:color="auto" w:fill="FFFFFF"/>
          </w:rPr>
          <w:t>1 in every 5 women at least 50 years old has osteoporosis</w:t>
        </w:r>
      </w:hyperlink>
      <w:r w:rsidRPr="00652C28">
        <w:rPr>
          <w:rFonts w:ascii="Times New Roman" w:hAnsi="Times New Roman" w:cs="Times New Roman"/>
          <w:color w:val="2D2D2D"/>
          <w:sz w:val="24"/>
          <w:shd w:val="clear" w:color="auto" w:fill="FFFFFF"/>
        </w:rPr>
        <w:t>, you’ll know to check for osteoporosis in patients with corresponding demographics. This preventive approach supports emerging </w:t>
      </w:r>
      <w:hyperlink r:id="rId44" w:history="1">
        <w:r w:rsidRPr="00652C28">
          <w:rPr>
            <w:rStyle w:val="Hyperlink"/>
            <w:rFonts w:ascii="Times New Roman" w:hAnsi="Times New Roman" w:cs="Times New Roman"/>
            <w:color w:val="087EE2"/>
            <w:sz w:val="24"/>
            <w:shd w:val="clear" w:color="auto" w:fill="FFFFFF"/>
          </w:rPr>
          <w:t>value-based care models</w:t>
        </w:r>
      </w:hyperlink>
      <w:r w:rsidRPr="00652C28">
        <w:rPr>
          <w:rFonts w:ascii="Times New Roman" w:hAnsi="Times New Roman" w:cs="Times New Roman"/>
          <w:color w:val="2D2D2D"/>
          <w:sz w:val="24"/>
          <w:shd w:val="clear" w:color="auto" w:fill="FFFFFF"/>
        </w:rPr>
        <w:t> that can improve patient outcomes.</w:t>
      </w:r>
    </w:p>
    <w:p w14:paraId="6E70BF19" w14:textId="77777777" w:rsidR="00652C28" w:rsidRDefault="00652C28" w:rsidP="003B3D81">
      <w:pPr>
        <w:pStyle w:val="NormalWeb"/>
        <w:shd w:val="clear" w:color="auto" w:fill="FFFFFF"/>
        <w:spacing w:before="0" w:beforeAutospacing="0" w:after="360" w:afterAutospacing="0"/>
        <w:rPr>
          <w:rFonts w:ascii="Arial" w:hAnsi="Arial" w:cs="Arial"/>
          <w:color w:val="3A3A3A"/>
          <w:sz w:val="23"/>
          <w:szCs w:val="23"/>
        </w:rPr>
      </w:pPr>
    </w:p>
    <w:p w14:paraId="572E9F04" w14:textId="77777777" w:rsidR="003B3D81" w:rsidRDefault="003B3D81" w:rsidP="00876D6B">
      <w:pPr>
        <w:shd w:val="clear" w:color="auto" w:fill="FFFFFF"/>
        <w:spacing w:before="120" w:after="120" w:line="240" w:lineRule="auto"/>
        <w:rPr>
          <w:rFonts w:ascii="Times New Roman" w:eastAsia="Times New Roman" w:hAnsi="Times New Roman" w:cs="Times New Roman"/>
          <w:spacing w:val="3"/>
          <w:sz w:val="24"/>
          <w:szCs w:val="24"/>
        </w:rPr>
      </w:pPr>
    </w:p>
    <w:p w14:paraId="34F58BFE" w14:textId="77777777" w:rsidR="00C94394" w:rsidRPr="00BD4958" w:rsidRDefault="00C94394" w:rsidP="00C94394">
      <w:pPr>
        <w:shd w:val="clear" w:color="auto" w:fill="FFFFFF"/>
        <w:spacing w:before="120" w:after="120" w:line="240" w:lineRule="auto"/>
        <w:rPr>
          <w:rFonts w:ascii="Times New Roman" w:eastAsia="Times New Roman" w:hAnsi="Times New Roman" w:cs="Times New Roman"/>
          <w:spacing w:val="3"/>
          <w:sz w:val="24"/>
          <w:szCs w:val="24"/>
        </w:rPr>
      </w:pPr>
    </w:p>
    <w:p w14:paraId="20E315DA" w14:textId="4877FEEF" w:rsidR="007C31AD" w:rsidRDefault="00D825BC" w:rsidP="00D825BC">
      <w:pPr>
        <w:shd w:val="clear" w:color="auto" w:fill="FFFFFF"/>
        <w:spacing w:after="0" w:line="240" w:lineRule="auto"/>
        <w:jc w:val="center"/>
        <w:rPr>
          <w:rFonts w:ascii="Times New Roman" w:hAnsi="Times New Roman" w:cs="Times New Roman"/>
          <w:b/>
          <w:sz w:val="32"/>
          <w:szCs w:val="24"/>
        </w:rPr>
      </w:pPr>
      <w:r w:rsidRPr="00D825BC">
        <w:rPr>
          <w:rFonts w:ascii="Times New Roman" w:hAnsi="Times New Roman" w:cs="Times New Roman"/>
          <w:b/>
          <w:sz w:val="32"/>
          <w:szCs w:val="24"/>
        </w:rPr>
        <w:lastRenderedPageBreak/>
        <w:t>Electronic Data Interchange (EDI)</w:t>
      </w:r>
    </w:p>
    <w:p w14:paraId="3E7C056B" w14:textId="36E8B79B" w:rsidR="00D825BC" w:rsidRDefault="00D825BC" w:rsidP="00D825BC">
      <w:pPr>
        <w:shd w:val="clear" w:color="auto" w:fill="FFFFFF"/>
        <w:spacing w:after="0" w:line="240" w:lineRule="auto"/>
        <w:rPr>
          <w:rFonts w:ascii="Times New Roman" w:hAnsi="Times New Roman" w:cs="Times New Roman"/>
          <w:b/>
          <w:sz w:val="32"/>
          <w:szCs w:val="24"/>
        </w:rPr>
      </w:pPr>
    </w:p>
    <w:p w14:paraId="18D89811" w14:textId="2CA7516C" w:rsidR="00D825BC" w:rsidRDefault="00D825BC" w:rsidP="00D825BC">
      <w:pPr>
        <w:shd w:val="clear" w:color="auto" w:fill="FFFFFF"/>
        <w:spacing w:after="0" w:line="240" w:lineRule="auto"/>
        <w:rPr>
          <w:rFonts w:ascii="Nunito Sans" w:hAnsi="Nunito Sans"/>
          <w:color w:val="3A444E"/>
          <w:sz w:val="21"/>
          <w:szCs w:val="21"/>
          <w:shd w:val="clear" w:color="auto" w:fill="FFFFFF"/>
        </w:rPr>
      </w:pPr>
      <w:r>
        <w:rPr>
          <w:rFonts w:ascii="Helvetica" w:hAnsi="Helvetica"/>
          <w:color w:val="3F3F4B"/>
          <w:spacing w:val="2"/>
          <w:shd w:val="clear" w:color="auto" w:fill="FFFFFF"/>
        </w:rPr>
        <w:t>Electronic data interchange in healthcare is a secure way of transmitting data between healthcare institutions, insurers, and patients using established message formats and standards.</w:t>
      </w:r>
      <w:r w:rsidRPr="00D825BC">
        <w:rPr>
          <w:rFonts w:ascii="Nunito Sans" w:hAnsi="Nunito Sans"/>
          <w:color w:val="3A444E"/>
          <w:sz w:val="21"/>
          <w:szCs w:val="21"/>
          <w:shd w:val="clear" w:color="auto" w:fill="FFFFFF"/>
        </w:rPr>
        <w:t xml:space="preserve"> </w:t>
      </w:r>
      <w:r>
        <w:rPr>
          <w:rFonts w:ascii="Nunito Sans" w:hAnsi="Nunito Sans"/>
          <w:color w:val="3A444E"/>
          <w:sz w:val="21"/>
          <w:szCs w:val="21"/>
          <w:shd w:val="clear" w:color="auto" w:fill="FFFFFF"/>
        </w:rPr>
        <w:t> Healthcare EDI software transmits details like the coordination of benefits, claims status and information, insurance data, payment data and eligibility forms among healthcare providers, professionals and institutions, clearinghouses, insurance companies and government entities like Medicare. </w:t>
      </w:r>
    </w:p>
    <w:p w14:paraId="29EB6CC9" w14:textId="47B9189C" w:rsidR="00D825BC" w:rsidRDefault="00D825BC" w:rsidP="00D825BC">
      <w:pPr>
        <w:shd w:val="clear" w:color="auto" w:fill="FFFFFF"/>
        <w:spacing w:after="0" w:line="240" w:lineRule="auto"/>
        <w:rPr>
          <w:rFonts w:ascii="Times New Roman" w:hAnsi="Times New Roman" w:cs="Times New Roman"/>
          <w:b/>
          <w:sz w:val="32"/>
          <w:szCs w:val="24"/>
        </w:rPr>
      </w:pPr>
    </w:p>
    <w:p w14:paraId="25F1B730" w14:textId="77777777" w:rsidR="006F7192" w:rsidRDefault="006F7192" w:rsidP="006F7192">
      <w:pPr>
        <w:shd w:val="clear" w:color="auto" w:fill="FFFFFF"/>
        <w:spacing w:after="0" w:line="240" w:lineRule="auto"/>
        <w:rPr>
          <w:rFonts w:ascii="Times New Roman" w:hAnsi="Times New Roman" w:cs="Times New Roman"/>
          <w:b/>
          <w:sz w:val="32"/>
          <w:szCs w:val="24"/>
        </w:rPr>
      </w:pPr>
      <w:r>
        <w:rPr>
          <w:rFonts w:ascii="Times New Roman" w:hAnsi="Times New Roman" w:cs="Times New Roman"/>
          <w:b/>
          <w:sz w:val="32"/>
          <w:szCs w:val="24"/>
        </w:rPr>
        <w:t>How Healthcare EDI Works?</w:t>
      </w:r>
    </w:p>
    <w:p w14:paraId="47B5280E" w14:textId="77777777" w:rsidR="006F7192" w:rsidRDefault="006F7192" w:rsidP="006F7192">
      <w:pPr>
        <w:shd w:val="clear" w:color="auto" w:fill="FFFFFF"/>
        <w:spacing w:after="0" w:line="240" w:lineRule="auto"/>
        <w:rPr>
          <w:rFonts w:ascii="Nunito Sans" w:eastAsia="Times New Roman" w:hAnsi="Nunito Sans" w:cs="Times New Roman"/>
          <w:color w:val="3A444E"/>
          <w:sz w:val="21"/>
          <w:szCs w:val="21"/>
        </w:rPr>
      </w:pPr>
    </w:p>
    <w:p w14:paraId="640B19AB" w14:textId="132DA677" w:rsidR="00FE5223" w:rsidRDefault="006F7192" w:rsidP="00FE5223">
      <w:pPr>
        <w:shd w:val="clear" w:color="auto" w:fill="FFFFFF"/>
        <w:spacing w:after="0" w:line="240" w:lineRule="auto"/>
        <w:rPr>
          <w:rFonts w:ascii="Times New Roman" w:eastAsia="Times New Roman" w:hAnsi="Times New Roman" w:cs="Times New Roman"/>
          <w:color w:val="3A444E"/>
          <w:sz w:val="24"/>
          <w:szCs w:val="21"/>
        </w:rPr>
      </w:pPr>
      <w:r w:rsidRPr="006F7192">
        <w:rPr>
          <w:rFonts w:ascii="Times New Roman" w:eastAsia="Times New Roman" w:hAnsi="Times New Roman" w:cs="Times New Roman"/>
          <w:color w:val="3A444E"/>
          <w:sz w:val="24"/>
          <w:szCs w:val="21"/>
        </w:rPr>
        <w:t>Healthcare EDI transactions usually occur in five steps. Let’s use an inquiry from a medical provider to a payer as an example:</w:t>
      </w:r>
    </w:p>
    <w:p w14:paraId="5957DD39" w14:textId="77777777" w:rsidR="00FE5223" w:rsidRPr="00FE5223" w:rsidRDefault="00FE5223" w:rsidP="00FE5223">
      <w:pPr>
        <w:shd w:val="clear" w:color="auto" w:fill="FFFFFF"/>
        <w:spacing w:after="0" w:line="240" w:lineRule="auto"/>
        <w:rPr>
          <w:rFonts w:ascii="Times New Roman" w:eastAsia="Times New Roman" w:hAnsi="Times New Roman" w:cs="Times New Roman"/>
          <w:color w:val="3A444E"/>
          <w:sz w:val="24"/>
          <w:szCs w:val="21"/>
        </w:rPr>
      </w:pPr>
    </w:p>
    <w:p w14:paraId="008E2806" w14:textId="126B88A1" w:rsidR="00FE5223" w:rsidRPr="00FE5223" w:rsidRDefault="00FE5223" w:rsidP="00FE5223">
      <w:pPr>
        <w:pStyle w:val="ListParagraph"/>
        <w:numPr>
          <w:ilvl w:val="0"/>
          <w:numId w:val="27"/>
        </w:numPr>
        <w:shd w:val="clear" w:color="auto" w:fill="FFFFFF"/>
        <w:spacing w:after="0" w:line="240" w:lineRule="auto"/>
        <w:rPr>
          <w:rFonts w:ascii="Times New Roman" w:hAnsi="Times New Roman" w:cs="Times New Roman"/>
          <w:b/>
          <w:sz w:val="24"/>
          <w:szCs w:val="24"/>
        </w:rPr>
      </w:pPr>
      <w:r>
        <w:rPr>
          <w:rFonts w:ascii="Arial" w:hAnsi="Arial" w:cs="Arial"/>
          <w:color w:val="444C54"/>
          <w:sz w:val="21"/>
          <w:szCs w:val="21"/>
          <w:shd w:val="clear" w:color="auto" w:fill="FFFFFF"/>
        </w:rPr>
        <w:t>The medical provider initiates the inquiry by supplying specific data, like member ID number and date of birth.</w:t>
      </w:r>
    </w:p>
    <w:p w14:paraId="2B7A743C" w14:textId="42653CF0" w:rsidR="00FE5223" w:rsidRPr="00FE5223" w:rsidRDefault="00FE5223" w:rsidP="00FE5223">
      <w:pPr>
        <w:pStyle w:val="ListParagraph"/>
        <w:numPr>
          <w:ilvl w:val="0"/>
          <w:numId w:val="27"/>
        </w:numPr>
        <w:shd w:val="clear" w:color="auto" w:fill="FFFFFF"/>
        <w:spacing w:after="0" w:line="240" w:lineRule="auto"/>
        <w:rPr>
          <w:rFonts w:ascii="Times New Roman" w:hAnsi="Times New Roman" w:cs="Times New Roman"/>
          <w:b/>
          <w:sz w:val="24"/>
          <w:szCs w:val="24"/>
        </w:rPr>
      </w:pPr>
      <w:r>
        <w:rPr>
          <w:rFonts w:ascii="Arial" w:hAnsi="Arial" w:cs="Arial"/>
          <w:color w:val="444C54"/>
          <w:sz w:val="21"/>
          <w:szCs w:val="21"/>
          <w:shd w:val="clear" w:color="auto" w:fill="FFFFFF"/>
        </w:rPr>
        <w:t>The inquiry goes to a clearinghouse contracted by the provider.</w:t>
      </w:r>
    </w:p>
    <w:p w14:paraId="4F95A83B" w14:textId="6475720F" w:rsidR="00FE5223" w:rsidRPr="00FE5223" w:rsidRDefault="00FE5223" w:rsidP="00FE5223">
      <w:pPr>
        <w:pStyle w:val="ListParagraph"/>
        <w:numPr>
          <w:ilvl w:val="0"/>
          <w:numId w:val="27"/>
        </w:numPr>
        <w:shd w:val="clear" w:color="auto" w:fill="FFFFFF"/>
        <w:spacing w:after="0" w:line="240" w:lineRule="auto"/>
        <w:rPr>
          <w:rFonts w:ascii="Times New Roman" w:hAnsi="Times New Roman" w:cs="Times New Roman"/>
          <w:b/>
          <w:sz w:val="24"/>
          <w:szCs w:val="24"/>
        </w:rPr>
      </w:pPr>
      <w:r>
        <w:rPr>
          <w:rFonts w:ascii="Arial" w:hAnsi="Arial" w:cs="Arial"/>
          <w:color w:val="444C54"/>
          <w:sz w:val="21"/>
          <w:szCs w:val="21"/>
          <w:shd w:val="clear" w:color="auto" w:fill="FFFFFF"/>
        </w:rPr>
        <w:t>The clearinghouse sends the inquiry to the payer.</w:t>
      </w:r>
    </w:p>
    <w:p w14:paraId="1F90F96D" w14:textId="08A59427" w:rsidR="00FE5223" w:rsidRPr="00FE5223" w:rsidRDefault="00FE5223" w:rsidP="00FE5223">
      <w:pPr>
        <w:pStyle w:val="ListParagraph"/>
        <w:numPr>
          <w:ilvl w:val="0"/>
          <w:numId w:val="27"/>
        </w:numPr>
        <w:shd w:val="clear" w:color="auto" w:fill="FFFFFF"/>
        <w:spacing w:after="0" w:line="240" w:lineRule="auto"/>
        <w:rPr>
          <w:rFonts w:ascii="Times New Roman" w:hAnsi="Times New Roman" w:cs="Times New Roman"/>
          <w:b/>
          <w:sz w:val="24"/>
          <w:szCs w:val="24"/>
        </w:rPr>
      </w:pPr>
      <w:r>
        <w:rPr>
          <w:rFonts w:ascii="Arial" w:hAnsi="Arial" w:cs="Arial"/>
          <w:color w:val="444C54"/>
          <w:sz w:val="21"/>
          <w:szCs w:val="21"/>
          <w:shd w:val="clear" w:color="auto" w:fill="FFFFFF"/>
        </w:rPr>
        <w:t>The payer responds to the clearinghouse.</w:t>
      </w:r>
    </w:p>
    <w:p w14:paraId="3C7AE2FE" w14:textId="0184BAE3" w:rsidR="00FE5223" w:rsidRPr="00FE5223" w:rsidRDefault="00FE5223" w:rsidP="00FE5223">
      <w:pPr>
        <w:pStyle w:val="ListParagraph"/>
        <w:numPr>
          <w:ilvl w:val="0"/>
          <w:numId w:val="27"/>
        </w:numPr>
        <w:shd w:val="clear" w:color="auto" w:fill="FFFFFF"/>
        <w:spacing w:after="0" w:line="240" w:lineRule="auto"/>
        <w:rPr>
          <w:rFonts w:ascii="Times New Roman" w:hAnsi="Times New Roman" w:cs="Times New Roman"/>
          <w:b/>
          <w:sz w:val="24"/>
          <w:szCs w:val="24"/>
        </w:rPr>
      </w:pPr>
      <w:r>
        <w:rPr>
          <w:rFonts w:ascii="Arial" w:hAnsi="Arial" w:cs="Arial"/>
          <w:color w:val="444C54"/>
          <w:sz w:val="21"/>
          <w:szCs w:val="21"/>
          <w:shd w:val="clear" w:color="auto" w:fill="FFFFFF"/>
        </w:rPr>
        <w:t>The clearinghouse transmits the response to the medical provider.</w:t>
      </w:r>
    </w:p>
    <w:p w14:paraId="5C024704" w14:textId="77777777" w:rsidR="00FE5223" w:rsidRPr="00FE5223" w:rsidRDefault="00FE5223" w:rsidP="00FE5223">
      <w:pPr>
        <w:pStyle w:val="ListParagraph"/>
        <w:shd w:val="clear" w:color="auto" w:fill="FFFFFF"/>
        <w:spacing w:after="0" w:line="240" w:lineRule="auto"/>
        <w:rPr>
          <w:rFonts w:ascii="Times New Roman" w:hAnsi="Times New Roman" w:cs="Times New Roman"/>
          <w:b/>
          <w:sz w:val="24"/>
          <w:szCs w:val="24"/>
        </w:rPr>
      </w:pPr>
    </w:p>
    <w:p w14:paraId="43FA6B3A" w14:textId="748665E6" w:rsidR="00B75E26" w:rsidRDefault="00FE5223" w:rsidP="00B75E26">
      <w:pPr>
        <w:pStyle w:val="NormalWeb"/>
        <w:shd w:val="clear" w:color="auto" w:fill="FFFFFF"/>
        <w:spacing w:before="0" w:beforeAutospacing="0" w:after="240" w:afterAutospacing="0"/>
        <w:rPr>
          <w:rFonts w:ascii="Helvetica" w:hAnsi="Helvetica"/>
          <w:color w:val="3F3F4B"/>
          <w:spacing w:val="2"/>
        </w:rPr>
      </w:pPr>
      <w:r>
        <w:rPr>
          <w:b/>
        </w:rPr>
        <w:t xml:space="preserve">Note: </w:t>
      </w:r>
      <w:r>
        <w:rPr>
          <w:rFonts w:ascii="Nunito Sans" w:hAnsi="Nunito Sans"/>
          <w:color w:val="3A444E"/>
          <w:sz w:val="21"/>
          <w:szCs w:val="21"/>
          <w:shd w:val="clear" w:color="auto" w:fill="FFFFFF"/>
        </w:rPr>
        <w:t>All involved parties transmit the information using codes laid out in ANSI ASC X12</w:t>
      </w:r>
      <w:r w:rsidR="00B75E26">
        <w:rPr>
          <w:rFonts w:ascii="Nunito Sans" w:hAnsi="Nunito Sans"/>
          <w:color w:val="3A444E"/>
          <w:sz w:val="21"/>
          <w:szCs w:val="21"/>
          <w:shd w:val="clear" w:color="auto" w:fill="FFFFFF"/>
        </w:rPr>
        <w:t xml:space="preserve"> protocol </w:t>
      </w:r>
      <w:r w:rsidR="00B75E26">
        <w:rPr>
          <w:rFonts w:ascii="Helvetica" w:hAnsi="Helvetica"/>
          <w:color w:val="3F3F4B"/>
          <w:spacing w:val="2"/>
          <w:shd w:val="clear" w:color="auto" w:fill="FFFFFF"/>
        </w:rPr>
        <w:t> ensures the </w:t>
      </w:r>
      <w:hyperlink r:id="rId45" w:history="1">
        <w:r w:rsidR="00B75E26">
          <w:rPr>
            <w:rStyle w:val="Hyperlink"/>
            <w:rFonts w:ascii="Helvetica" w:hAnsi="Helvetica"/>
            <w:b/>
            <w:bCs/>
            <w:color w:val="337AB7"/>
            <w:spacing w:val="-3"/>
            <w:shd w:val="clear" w:color="auto" w:fill="FFFFFF"/>
          </w:rPr>
          <w:t>security and accuracy of medical data</w:t>
        </w:r>
      </w:hyperlink>
      <w:r>
        <w:rPr>
          <w:rFonts w:ascii="Nunito Sans" w:hAnsi="Nunito Sans"/>
          <w:color w:val="3A444E"/>
          <w:sz w:val="21"/>
          <w:szCs w:val="21"/>
          <w:shd w:val="clear" w:color="auto" w:fill="FFFFFF"/>
        </w:rPr>
        <w:t>, the general standard that governs all EDI transaction codes, including electronic healthcare transactions.</w:t>
      </w:r>
      <w:r w:rsidR="00B75E26">
        <w:rPr>
          <w:rFonts w:ascii="Nunito Sans" w:hAnsi="Nunito Sans"/>
          <w:color w:val="3A444E"/>
          <w:sz w:val="21"/>
          <w:szCs w:val="21"/>
          <w:shd w:val="clear" w:color="auto" w:fill="FFFFFF"/>
        </w:rPr>
        <w:t xml:space="preserve"> </w:t>
      </w:r>
    </w:p>
    <w:p w14:paraId="3B0B1C59" w14:textId="77777777" w:rsidR="00B75E26" w:rsidRDefault="00B75E26" w:rsidP="00B75E26">
      <w:pPr>
        <w:pStyle w:val="NormalWeb"/>
        <w:shd w:val="clear" w:color="auto" w:fill="FFFFFF"/>
        <w:spacing w:before="0" w:beforeAutospacing="0" w:after="240" w:afterAutospacing="0"/>
        <w:rPr>
          <w:rFonts w:ascii="Helvetica" w:hAnsi="Helvetica"/>
          <w:color w:val="3F3F4B"/>
          <w:spacing w:val="2"/>
        </w:rPr>
      </w:pPr>
      <w:r>
        <w:rPr>
          <w:rFonts w:ascii="Helvetica" w:hAnsi="Helvetica"/>
          <w:color w:val="3F3F4B"/>
          <w:spacing w:val="2"/>
        </w:rPr>
        <w:t>What is the importance of EDI in Healthcare?</w:t>
      </w:r>
    </w:p>
    <w:p w14:paraId="0948BE7A" w14:textId="049F3B75" w:rsidR="00FE5223" w:rsidRDefault="00892D1D" w:rsidP="00F15F5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EDI standards for healthcare are related to HIPAA, the national health privacy law enacted in 1996. The importance of EDI in healthcare cant be </w:t>
      </w:r>
      <w:proofErr w:type="gramStart"/>
      <w:r>
        <w:rPr>
          <w:rFonts w:ascii="Times New Roman" w:hAnsi="Times New Roman" w:cs="Times New Roman"/>
          <w:b/>
          <w:sz w:val="24"/>
          <w:szCs w:val="24"/>
        </w:rPr>
        <w:t>overstated  -</w:t>
      </w:r>
      <w:proofErr w:type="gramEnd"/>
      <w:r>
        <w:rPr>
          <w:rFonts w:ascii="Times New Roman" w:hAnsi="Times New Roman" w:cs="Times New Roman"/>
          <w:b/>
          <w:sz w:val="24"/>
          <w:szCs w:val="24"/>
        </w:rPr>
        <w:t xml:space="preserve"> without it, data errors , security, breaches and payment would be much more common.</w:t>
      </w:r>
    </w:p>
    <w:p w14:paraId="6BB8A06A" w14:textId="24EEE318" w:rsidR="00892D1D" w:rsidRDefault="00892D1D" w:rsidP="00F15F5F">
      <w:pPr>
        <w:shd w:val="clear" w:color="auto" w:fill="FFFFFF"/>
        <w:spacing w:after="0" w:line="240" w:lineRule="auto"/>
        <w:rPr>
          <w:rFonts w:ascii="Times New Roman" w:hAnsi="Times New Roman" w:cs="Times New Roman"/>
          <w:b/>
          <w:sz w:val="24"/>
          <w:szCs w:val="24"/>
        </w:rPr>
      </w:pPr>
    </w:p>
    <w:p w14:paraId="7B8AC870" w14:textId="50D34647" w:rsidR="00892D1D" w:rsidRDefault="00892D1D" w:rsidP="00F15F5F">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The Benefits of EDI in Healthcare</w:t>
      </w:r>
    </w:p>
    <w:p w14:paraId="52A973F1" w14:textId="77777777" w:rsidR="00892D1D" w:rsidRPr="00892D1D" w:rsidRDefault="00892D1D" w:rsidP="00892D1D">
      <w:pPr>
        <w:shd w:val="clear" w:color="auto" w:fill="FFFFFF"/>
        <w:spacing w:before="300" w:after="300" w:line="330" w:lineRule="atLeast"/>
        <w:rPr>
          <w:rFonts w:ascii="Nunito Sans" w:eastAsia="Times New Roman" w:hAnsi="Nunito Sans" w:cs="Times New Roman"/>
          <w:color w:val="3A444E"/>
          <w:sz w:val="21"/>
          <w:szCs w:val="21"/>
        </w:rPr>
      </w:pPr>
      <w:r w:rsidRPr="00892D1D">
        <w:rPr>
          <w:rFonts w:ascii="Nunito Sans" w:eastAsia="Times New Roman" w:hAnsi="Nunito Sans" w:cs="Times New Roman"/>
          <w:color w:val="3A444E"/>
          <w:sz w:val="21"/>
          <w:szCs w:val="21"/>
        </w:rPr>
        <w:t>As mentioned earlier, </w:t>
      </w:r>
      <w:r w:rsidRPr="00892D1D">
        <w:rPr>
          <w:rFonts w:ascii="Arial" w:eastAsia="Times New Roman" w:hAnsi="Arial" w:cs="Arial"/>
          <w:color w:val="3A444E"/>
          <w:sz w:val="21"/>
          <w:szCs w:val="21"/>
        </w:rPr>
        <w:t>healthcare EDI streamlines the transmission of patient medical records and related data</w:t>
      </w:r>
      <w:r w:rsidRPr="00892D1D">
        <w:rPr>
          <w:rFonts w:ascii="Nunito Sans" w:eastAsia="Times New Roman" w:hAnsi="Nunito Sans" w:cs="Times New Roman"/>
          <w:color w:val="3A444E"/>
          <w:sz w:val="21"/>
          <w:szCs w:val="21"/>
        </w:rPr>
        <w:t>. Healthcare professionals can share details more efficiently and quickly with EDI. Other benefits include:</w:t>
      </w:r>
    </w:p>
    <w:p w14:paraId="0FEC03B5" w14:textId="77777777" w:rsidR="00892D1D" w:rsidRPr="00892D1D" w:rsidRDefault="00892D1D" w:rsidP="00892D1D">
      <w:pPr>
        <w:pStyle w:val="ListParagraph"/>
        <w:numPr>
          <w:ilvl w:val="0"/>
          <w:numId w:val="31"/>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Enhanced security</w:t>
      </w:r>
    </w:p>
    <w:p w14:paraId="6C56FB9C" w14:textId="77777777" w:rsidR="00892D1D" w:rsidRPr="00892D1D" w:rsidRDefault="00892D1D" w:rsidP="00892D1D">
      <w:pPr>
        <w:pStyle w:val="ListParagraph"/>
        <w:numPr>
          <w:ilvl w:val="0"/>
          <w:numId w:val="31"/>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Better accuracy</w:t>
      </w:r>
    </w:p>
    <w:p w14:paraId="5FFF8D1A" w14:textId="58D02FB7" w:rsidR="00892D1D" w:rsidRDefault="00892D1D" w:rsidP="00892D1D">
      <w:pPr>
        <w:pStyle w:val="ListParagraph"/>
        <w:numPr>
          <w:ilvl w:val="0"/>
          <w:numId w:val="31"/>
        </w:numPr>
        <w:shd w:val="clear" w:color="auto" w:fill="FFFFFF"/>
        <w:spacing w:before="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Improved productivity</w:t>
      </w:r>
    </w:p>
    <w:p w14:paraId="0A8E096F" w14:textId="77777777" w:rsidR="00892D1D" w:rsidRDefault="00892D1D" w:rsidP="00892D1D">
      <w:pPr>
        <w:shd w:val="clear" w:color="auto" w:fill="FFFFFF"/>
        <w:spacing w:before="300" w:line="330" w:lineRule="atLeast"/>
        <w:rPr>
          <w:rFonts w:ascii="Arial" w:eastAsia="Times New Roman" w:hAnsi="Arial" w:cs="Arial"/>
          <w:color w:val="444C54"/>
          <w:sz w:val="21"/>
          <w:szCs w:val="21"/>
        </w:rPr>
      </w:pPr>
    </w:p>
    <w:p w14:paraId="2DBDCF16" w14:textId="77777777" w:rsidR="00892D1D" w:rsidRDefault="00892D1D" w:rsidP="00892D1D">
      <w:pPr>
        <w:shd w:val="clear" w:color="auto" w:fill="FFFFFF"/>
        <w:spacing w:before="300" w:line="330" w:lineRule="atLeast"/>
        <w:rPr>
          <w:rFonts w:ascii="Arial" w:eastAsia="Times New Roman" w:hAnsi="Arial" w:cs="Arial"/>
          <w:color w:val="444C54"/>
          <w:sz w:val="21"/>
          <w:szCs w:val="21"/>
        </w:rPr>
      </w:pPr>
    </w:p>
    <w:p w14:paraId="30420195" w14:textId="060CA25F" w:rsidR="00892D1D" w:rsidRPr="00892D1D" w:rsidRDefault="00892D1D" w:rsidP="00892D1D">
      <w:pPr>
        <w:shd w:val="clear" w:color="auto" w:fill="FFFFFF"/>
        <w:spacing w:before="300" w:line="330" w:lineRule="atLeast"/>
        <w:rPr>
          <w:rFonts w:ascii="Arial" w:eastAsia="Times New Roman" w:hAnsi="Arial" w:cs="Arial"/>
          <w:b/>
          <w:color w:val="444C54"/>
          <w:sz w:val="21"/>
          <w:szCs w:val="21"/>
        </w:rPr>
      </w:pPr>
      <w:r w:rsidRPr="00892D1D">
        <w:rPr>
          <w:rFonts w:ascii="Arial" w:eastAsia="Times New Roman" w:hAnsi="Arial" w:cs="Arial"/>
          <w:b/>
          <w:color w:val="444C54"/>
          <w:sz w:val="21"/>
          <w:szCs w:val="21"/>
        </w:rPr>
        <w:lastRenderedPageBreak/>
        <w:t xml:space="preserve">Healthcare EDI Transaction Sets </w:t>
      </w:r>
    </w:p>
    <w:p w14:paraId="70D63322" w14:textId="77777777" w:rsidR="00892D1D" w:rsidRPr="00892D1D" w:rsidRDefault="00892D1D" w:rsidP="00892D1D">
      <w:pPr>
        <w:shd w:val="clear" w:color="auto" w:fill="FFFFFF"/>
        <w:spacing w:before="300" w:after="300" w:line="330" w:lineRule="atLeast"/>
        <w:rPr>
          <w:rFonts w:ascii="Nunito Sans" w:eastAsia="Times New Roman" w:hAnsi="Nunito Sans" w:cs="Times New Roman"/>
          <w:color w:val="3A444E"/>
          <w:sz w:val="21"/>
          <w:szCs w:val="21"/>
        </w:rPr>
      </w:pPr>
      <w:r w:rsidRPr="00892D1D">
        <w:rPr>
          <w:rFonts w:ascii="Nunito Sans" w:eastAsia="Times New Roman" w:hAnsi="Nunito Sans" w:cs="Times New Roman"/>
          <w:color w:val="3A444E"/>
          <w:sz w:val="21"/>
          <w:szCs w:val="21"/>
        </w:rPr>
        <w:t>The benefits of healthcare EDI are related to the wide variety of transaction sets available for use by healthcare professionals. These sets cover all the different types of information transmitted among medical providers, clearinghouses and payers. The sets cover EDI healthcare transactions like:</w:t>
      </w:r>
    </w:p>
    <w:p w14:paraId="64748434" w14:textId="77777777" w:rsidR="00892D1D" w:rsidRPr="00892D1D" w:rsidRDefault="00892D1D" w:rsidP="00892D1D">
      <w:pPr>
        <w:pStyle w:val="ListParagraph"/>
        <w:numPr>
          <w:ilvl w:val="0"/>
          <w:numId w:val="34"/>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Healthcare claim</w:t>
      </w:r>
    </w:p>
    <w:p w14:paraId="6500AB9C" w14:textId="77777777" w:rsidR="00892D1D" w:rsidRPr="00892D1D" w:rsidRDefault="00892D1D" w:rsidP="00892D1D">
      <w:pPr>
        <w:pStyle w:val="ListParagraph"/>
        <w:numPr>
          <w:ilvl w:val="0"/>
          <w:numId w:val="34"/>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Healthcare claim payment/advice</w:t>
      </w:r>
    </w:p>
    <w:p w14:paraId="65C46F03" w14:textId="77777777" w:rsidR="00892D1D" w:rsidRPr="00892D1D" w:rsidRDefault="00892D1D" w:rsidP="00892D1D">
      <w:pPr>
        <w:pStyle w:val="ListParagraph"/>
        <w:numPr>
          <w:ilvl w:val="0"/>
          <w:numId w:val="34"/>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Benefits enrollment and maintenance</w:t>
      </w:r>
    </w:p>
    <w:p w14:paraId="3BE3C325" w14:textId="77777777" w:rsidR="00892D1D" w:rsidRPr="00892D1D" w:rsidRDefault="00892D1D" w:rsidP="00892D1D">
      <w:pPr>
        <w:pStyle w:val="ListParagraph"/>
        <w:numPr>
          <w:ilvl w:val="0"/>
          <w:numId w:val="34"/>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Healthcare eligibility/benefit inquiry</w:t>
      </w:r>
    </w:p>
    <w:p w14:paraId="2BC2425A" w14:textId="77777777" w:rsidR="00892D1D" w:rsidRPr="00892D1D" w:rsidRDefault="00892D1D" w:rsidP="00892D1D">
      <w:pPr>
        <w:pStyle w:val="ListParagraph"/>
        <w:numPr>
          <w:ilvl w:val="0"/>
          <w:numId w:val="34"/>
        </w:numPr>
        <w:shd w:val="clear" w:color="auto" w:fill="FFFFFF"/>
        <w:spacing w:before="300" w:after="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Healthcare eligibility/benefit response</w:t>
      </w:r>
    </w:p>
    <w:p w14:paraId="56783D5A" w14:textId="77777777" w:rsidR="00892D1D" w:rsidRPr="00892D1D" w:rsidRDefault="00892D1D" w:rsidP="00892D1D">
      <w:pPr>
        <w:pStyle w:val="ListParagraph"/>
        <w:numPr>
          <w:ilvl w:val="0"/>
          <w:numId w:val="34"/>
        </w:numPr>
        <w:shd w:val="clear" w:color="auto" w:fill="FFFFFF"/>
        <w:spacing w:before="300" w:line="330" w:lineRule="atLeast"/>
        <w:rPr>
          <w:rFonts w:ascii="Arial" w:eastAsia="Times New Roman" w:hAnsi="Arial" w:cs="Arial"/>
          <w:color w:val="444C54"/>
          <w:sz w:val="21"/>
          <w:szCs w:val="21"/>
        </w:rPr>
      </w:pPr>
      <w:r w:rsidRPr="00892D1D">
        <w:rPr>
          <w:rFonts w:ascii="Arial" w:eastAsia="Times New Roman" w:hAnsi="Arial" w:cs="Arial"/>
          <w:color w:val="444C54"/>
          <w:sz w:val="21"/>
          <w:szCs w:val="21"/>
        </w:rPr>
        <w:t>Healthcare service review information</w:t>
      </w:r>
    </w:p>
    <w:p w14:paraId="41BDE0A2" w14:textId="77777777" w:rsidR="00892D1D" w:rsidRPr="00892D1D" w:rsidRDefault="00892D1D" w:rsidP="00892D1D">
      <w:pPr>
        <w:shd w:val="clear" w:color="auto" w:fill="FFFFFF"/>
        <w:spacing w:before="300" w:line="330" w:lineRule="atLeast"/>
        <w:rPr>
          <w:rFonts w:ascii="Arial" w:eastAsia="Times New Roman" w:hAnsi="Arial" w:cs="Arial"/>
          <w:color w:val="444C54"/>
          <w:sz w:val="21"/>
          <w:szCs w:val="21"/>
        </w:rPr>
      </w:pPr>
    </w:p>
    <w:p w14:paraId="543C0003" w14:textId="556027C6" w:rsidR="00892D1D" w:rsidRDefault="00171CF7" w:rsidP="00171CF7">
      <w:pPr>
        <w:shd w:val="clear" w:color="auto" w:fill="FFFFFF"/>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HCFA 1500</w:t>
      </w:r>
    </w:p>
    <w:p w14:paraId="64E2CD17" w14:textId="6BE2D65A" w:rsidR="00171CF7" w:rsidRDefault="00171CF7" w:rsidP="00171CF7">
      <w:pPr>
        <w:shd w:val="clear" w:color="auto" w:fill="FFFFFF"/>
        <w:spacing w:after="0" w:line="240" w:lineRule="auto"/>
        <w:rPr>
          <w:rFonts w:ascii="Times New Roman" w:hAnsi="Times New Roman" w:cs="Times New Roman"/>
          <w:b/>
          <w:sz w:val="24"/>
          <w:szCs w:val="24"/>
        </w:rPr>
      </w:pPr>
    </w:p>
    <w:p w14:paraId="47BF816C" w14:textId="77777777" w:rsidR="00DF7DA0" w:rsidRDefault="00DF7DA0" w:rsidP="00DF7DA0">
      <w:pPr>
        <w:pStyle w:val="NormalWeb"/>
        <w:shd w:val="clear" w:color="auto" w:fill="FFFFFF"/>
        <w:spacing w:before="0" w:after="0"/>
        <w:rPr>
          <w:rFonts w:ascii="Arial" w:hAnsi="Arial" w:cs="Arial"/>
          <w:color w:val="2D2D2D"/>
        </w:rPr>
      </w:pPr>
      <w:r>
        <w:rPr>
          <w:rFonts w:ascii="Arial" w:hAnsi="Arial" w:cs="Arial"/>
          <w:color w:val="2D2D2D"/>
        </w:rPr>
        <w:t>The HCFA form, also known as Form HCFA 1500 or Form CMS-1500, is what non-institutional practitioners file to payers (insurance companies). They often comprise the basis of </w:t>
      </w:r>
      <w:hyperlink r:id="rId46" w:history="1">
        <w:r>
          <w:rPr>
            <w:rStyle w:val="Hyperlink"/>
            <w:rFonts w:ascii="Arial" w:hAnsi="Arial" w:cs="Arial"/>
            <w:color w:val="087EE2"/>
          </w:rPr>
          <w:t>medical claims</w:t>
        </w:r>
      </w:hyperlink>
      <w:r>
        <w:rPr>
          <w:rFonts w:ascii="Arial" w:hAnsi="Arial" w:cs="Arial"/>
          <w:color w:val="2D2D2D"/>
        </w:rPr>
        <w:t>.</w:t>
      </w:r>
    </w:p>
    <w:p w14:paraId="18D4D5D1" w14:textId="77777777" w:rsidR="00DF7DA0" w:rsidRDefault="00DF7DA0" w:rsidP="00DF7DA0">
      <w:pPr>
        <w:pStyle w:val="NormalWeb"/>
        <w:shd w:val="clear" w:color="auto" w:fill="FFFFFF"/>
        <w:rPr>
          <w:rFonts w:ascii="Arial" w:hAnsi="Arial" w:cs="Arial"/>
          <w:color w:val="2D2D2D"/>
        </w:rPr>
      </w:pPr>
      <w:r>
        <w:rPr>
          <w:rFonts w:ascii="Arial" w:hAnsi="Arial" w:cs="Arial"/>
          <w:color w:val="2D2D2D"/>
        </w:rPr>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Default="00DF7DA0" w:rsidP="00DF7DA0">
      <w:pPr>
        <w:pStyle w:val="NormalWeb"/>
        <w:shd w:val="clear" w:color="auto" w:fill="FFFFFF"/>
        <w:rPr>
          <w:rFonts w:ascii="Arial" w:hAnsi="Arial" w:cs="Arial"/>
          <w:color w:val="2D2D2D"/>
        </w:rPr>
      </w:pPr>
      <w:r>
        <w:rPr>
          <w:rFonts w:ascii="Arial" w:hAnsi="Arial" w:cs="Arial"/>
          <w:color w:val="2D2D2D"/>
        </w:rPr>
        <w:t>Form HCFA is so comprehensive that private insurers have also adopted it as their standard.</w:t>
      </w:r>
    </w:p>
    <w:p w14:paraId="600D95F8" w14:textId="2629185A" w:rsidR="00DF7DA0" w:rsidRDefault="00DF7DA0" w:rsidP="00171CF7">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How dose the HCFA form work?</w:t>
      </w:r>
    </w:p>
    <w:p w14:paraId="119806BF" w14:textId="10477CE5" w:rsidR="00DF7DA0" w:rsidRDefault="00DF7DA0" w:rsidP="00171CF7">
      <w:pPr>
        <w:shd w:val="clear" w:color="auto" w:fill="FFFFFF"/>
        <w:spacing w:after="0" w:line="240" w:lineRule="auto"/>
        <w:rPr>
          <w:rFonts w:ascii="Times New Roman" w:hAnsi="Times New Roman" w:cs="Times New Roman"/>
          <w:b/>
          <w:sz w:val="24"/>
          <w:szCs w:val="24"/>
        </w:rPr>
      </w:pPr>
    </w:p>
    <w:p w14:paraId="218F16D0" w14:textId="216A44AF" w:rsidR="00DF7DA0" w:rsidRDefault="00DF7DA0" w:rsidP="00171CF7">
      <w:pPr>
        <w:shd w:val="clear" w:color="auto" w:fill="FFFFFF"/>
        <w:spacing w:after="0" w:line="240" w:lineRule="auto"/>
        <w:rPr>
          <w:rFonts w:ascii="Arial" w:hAnsi="Arial" w:cs="Arial"/>
          <w:color w:val="2D2D2D"/>
          <w:shd w:val="clear" w:color="auto" w:fill="FFFFFF"/>
        </w:rPr>
      </w:pPr>
      <w:r>
        <w:rPr>
          <w:rFonts w:ascii="Arial" w:hAnsi="Arial" w:cs="Arial"/>
          <w:color w:val="2D2D2D"/>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p>
    <w:p w14:paraId="04D9A074" w14:textId="2BED426E" w:rsidR="00DF7DA0" w:rsidRDefault="00DF7DA0" w:rsidP="00171CF7">
      <w:pPr>
        <w:shd w:val="clear" w:color="auto" w:fill="FFFFFF"/>
        <w:spacing w:after="0" w:line="240" w:lineRule="auto"/>
        <w:rPr>
          <w:rFonts w:ascii="Arial" w:hAnsi="Arial" w:cs="Arial"/>
          <w:color w:val="2D2D2D"/>
          <w:shd w:val="clear" w:color="auto" w:fill="FFFFFF"/>
        </w:rPr>
      </w:pPr>
    </w:p>
    <w:p w14:paraId="481A49F5" w14:textId="1EE2E81F" w:rsidR="00DF7DA0" w:rsidRDefault="00DF7DA0" w:rsidP="00171CF7">
      <w:pPr>
        <w:shd w:val="clear" w:color="auto" w:fill="FFFFFF"/>
        <w:spacing w:after="0" w:line="240" w:lineRule="auto"/>
        <w:rPr>
          <w:rFonts w:ascii="Arial" w:hAnsi="Arial" w:cs="Arial"/>
          <w:color w:val="2D2D2D"/>
          <w:shd w:val="clear" w:color="auto" w:fill="FFFFFF"/>
        </w:rPr>
      </w:pPr>
      <w:r>
        <w:rPr>
          <w:rFonts w:ascii="Arial" w:hAnsi="Arial" w:cs="Arial"/>
          <w:color w:val="2D2D2D"/>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Default="00DF7DA0" w:rsidP="00171CF7">
      <w:pPr>
        <w:shd w:val="clear" w:color="auto" w:fill="FFFFFF"/>
        <w:spacing w:after="0" w:line="240" w:lineRule="auto"/>
        <w:rPr>
          <w:rFonts w:ascii="Arial" w:hAnsi="Arial" w:cs="Arial"/>
          <w:color w:val="2D2D2D"/>
          <w:shd w:val="clear" w:color="auto" w:fill="FFFFFF"/>
        </w:rPr>
      </w:pPr>
    </w:p>
    <w:p w14:paraId="193F7C3D" w14:textId="4B6EF6A1" w:rsidR="00DF7DA0" w:rsidRDefault="00DF7DA0" w:rsidP="00171CF7">
      <w:pPr>
        <w:shd w:val="clear" w:color="auto" w:fill="FFFFFF"/>
        <w:spacing w:after="0" w:line="240" w:lineRule="auto"/>
        <w:rPr>
          <w:rFonts w:ascii="Arial" w:hAnsi="Arial" w:cs="Arial"/>
          <w:color w:val="2D2D2D"/>
          <w:shd w:val="clear" w:color="auto" w:fill="FFFFFF"/>
        </w:rPr>
      </w:pPr>
      <w:r>
        <w:rPr>
          <w:rFonts w:ascii="Arial" w:hAnsi="Arial" w:cs="Arial"/>
          <w:color w:val="2D2D2D"/>
          <w:shd w:val="clear" w:color="auto" w:fill="FFFFFF"/>
        </w:rPr>
        <w:t>Who fills out an HCFA form?</w:t>
      </w:r>
    </w:p>
    <w:p w14:paraId="761D246D" w14:textId="77777777" w:rsidR="00DF7DA0" w:rsidRPr="00DF7DA0" w:rsidRDefault="00DF7DA0" w:rsidP="00DF7DA0">
      <w:p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Any of these kinds of individual practitioner can complete and file HCFA forms:</w:t>
      </w:r>
    </w:p>
    <w:p w14:paraId="570B6A8C"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lastRenderedPageBreak/>
        <w:t>Physicians</w:t>
      </w:r>
    </w:p>
    <w:p w14:paraId="6C036DEC"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Specialists</w:t>
      </w:r>
    </w:p>
    <w:p w14:paraId="5A9CFA9B"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Nurse practitioners</w:t>
      </w:r>
    </w:p>
    <w:p w14:paraId="53470086"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Nurse-midwives</w:t>
      </w:r>
    </w:p>
    <w:p w14:paraId="65EBE3F4"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Certified nurse anesthetic practitioners</w:t>
      </w:r>
    </w:p>
    <w:p w14:paraId="2594E83A"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Physician assistants</w:t>
      </w:r>
    </w:p>
    <w:p w14:paraId="5C9DB1B7"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Clinical psychologists</w:t>
      </w:r>
    </w:p>
    <w:p w14:paraId="28B79F9C"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Clinical social workers</w:t>
      </w:r>
    </w:p>
    <w:p w14:paraId="2772ED41" w14:textId="77777777" w:rsidR="00DF7DA0" w:rsidRP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Ambulance services</w:t>
      </w:r>
    </w:p>
    <w:p w14:paraId="7F049852" w14:textId="6E548D74" w:rsidR="00DF7DA0" w:rsidRDefault="00DF7DA0" w:rsidP="00DF7DA0">
      <w:pPr>
        <w:numPr>
          <w:ilvl w:val="0"/>
          <w:numId w:val="35"/>
        </w:numPr>
        <w:shd w:val="clear" w:color="auto" w:fill="FFFFFF"/>
        <w:spacing w:before="100" w:beforeAutospacing="1" w:after="100" w:afterAutospacing="1" w:line="240" w:lineRule="auto"/>
        <w:rPr>
          <w:rFonts w:ascii="Arial" w:eastAsia="Times New Roman" w:hAnsi="Arial" w:cs="Arial"/>
          <w:color w:val="2D2D2D"/>
          <w:sz w:val="24"/>
          <w:szCs w:val="24"/>
        </w:rPr>
      </w:pPr>
      <w:r w:rsidRPr="00DF7DA0">
        <w:rPr>
          <w:rFonts w:ascii="Arial" w:eastAsia="Times New Roman" w:hAnsi="Arial" w:cs="Arial"/>
          <w:color w:val="2D2D2D"/>
          <w:sz w:val="24"/>
          <w:szCs w:val="24"/>
        </w:rPr>
        <w:t>Laboratory services</w:t>
      </w:r>
    </w:p>
    <w:p w14:paraId="3CC38B29" w14:textId="5574CF7A" w:rsidR="00DF7DA0" w:rsidRDefault="00DF7DA0" w:rsidP="00DF7DA0">
      <w:pPr>
        <w:shd w:val="clear" w:color="auto" w:fill="FFFFFF"/>
        <w:spacing w:before="100" w:beforeAutospacing="1" w:after="100" w:afterAutospacing="1" w:line="240" w:lineRule="auto"/>
        <w:rPr>
          <w:rFonts w:ascii="Arial" w:eastAsia="Times New Roman" w:hAnsi="Arial" w:cs="Arial"/>
          <w:color w:val="2D2D2D"/>
          <w:sz w:val="24"/>
          <w:szCs w:val="24"/>
        </w:rPr>
      </w:pPr>
      <w:r>
        <w:rPr>
          <w:rFonts w:ascii="Arial" w:eastAsia="Times New Roman" w:hAnsi="Arial" w:cs="Arial"/>
          <w:color w:val="2D2D2D"/>
          <w:sz w:val="24"/>
          <w:szCs w:val="24"/>
        </w:rPr>
        <w:t>What is included in HCFA form?</w:t>
      </w:r>
    </w:p>
    <w:p w14:paraId="40A7363C" w14:textId="00502F7E" w:rsidR="00DF7DA0" w:rsidRDefault="00DF7DA0" w:rsidP="00DF7DA0">
      <w:pPr>
        <w:shd w:val="clear" w:color="auto" w:fill="FFFFFF"/>
        <w:spacing w:before="100" w:beforeAutospacing="1" w:after="100" w:afterAutospacing="1" w:line="240" w:lineRule="auto"/>
        <w:rPr>
          <w:rFonts w:ascii="Arial" w:hAnsi="Arial" w:cs="Arial"/>
          <w:color w:val="2D2D2D"/>
          <w:shd w:val="clear" w:color="auto" w:fill="FFFFFF"/>
        </w:rPr>
      </w:pPr>
      <w:r>
        <w:rPr>
          <w:rFonts w:ascii="Arial" w:hAnsi="Arial" w:cs="Arial"/>
          <w:color w:val="2D2D2D"/>
          <w:shd w:val="clear" w:color="auto" w:fill="FFFFFF"/>
        </w:rPr>
        <w:t>The HCFA form is made up of 33 boxes. If that seems like an overwhelming number</w:t>
      </w:r>
      <w:r w:rsidR="00236DB1">
        <w:rPr>
          <w:rFonts w:ascii="Arial" w:hAnsi="Arial" w:cs="Arial"/>
          <w:color w:val="2D2D2D"/>
          <w:shd w:val="clear" w:color="auto" w:fill="FFFFFF"/>
        </w:rPr>
        <w:t xml:space="preserve">, </w:t>
      </w:r>
      <w:r>
        <w:rPr>
          <w:rFonts w:ascii="Arial" w:hAnsi="Arial" w:cs="Arial"/>
          <w:color w:val="2D2D2D"/>
          <w:shd w:val="clear" w:color="auto" w:fill="FFFFFF"/>
        </w:rPr>
        <w:t>each box requires little information</w:t>
      </w:r>
    </w:p>
    <w:p w14:paraId="37FD03C5" w14:textId="31BDD56C" w:rsidR="00DF7DA0" w:rsidRPr="00236DB1" w:rsidRDefault="00236DB1" w:rsidP="00DF7DA0">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Insurance information</w:t>
      </w:r>
    </w:p>
    <w:p w14:paraId="5AB16E45" w14:textId="2B0BC70E" w:rsidR="00236DB1" w:rsidRPr="00236DB1" w:rsidRDefault="00236DB1" w:rsidP="00DF7DA0">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Patient’s name</w:t>
      </w:r>
    </w:p>
    <w:p w14:paraId="7DE02293" w14:textId="48A41AA0" w:rsidR="00236DB1" w:rsidRPr="00236DB1" w:rsidRDefault="00236DB1" w:rsidP="00DF7DA0">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Patient’s sex and date of birth</w:t>
      </w:r>
    </w:p>
    <w:p w14:paraId="5A9E442A" w14:textId="69C9817C" w:rsidR="00236DB1" w:rsidRPr="00236DB1" w:rsidRDefault="00236DB1" w:rsidP="00DF7DA0">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Insured’s name</w:t>
      </w:r>
    </w:p>
    <w:p w14:paraId="727964C2" w14:textId="31E98B60" w:rsidR="00236DB1" w:rsidRPr="00236DB1" w:rsidRDefault="00236DB1" w:rsidP="00DF7DA0">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Patient’s address and phone number</w:t>
      </w:r>
    </w:p>
    <w:p w14:paraId="6794B232" w14:textId="66803A43" w:rsidR="00236DB1" w:rsidRPr="00236DB1" w:rsidRDefault="00236DB1" w:rsidP="00DF7DA0">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Patient’s relationship to insured</w:t>
      </w:r>
    </w:p>
    <w:p w14:paraId="7296E21B" w14:textId="11D865D3" w:rsidR="00236DB1" w:rsidRPr="00236DB1" w:rsidRDefault="00236DB1" w:rsidP="00236DB1">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Insured’s addres</w:t>
      </w:r>
      <w:r>
        <w:rPr>
          <w:rStyle w:val="Strong"/>
          <w:rFonts w:ascii="Arial" w:hAnsi="Arial" w:cs="Arial"/>
          <w:color w:val="2D2D2D"/>
          <w:shd w:val="clear" w:color="auto" w:fill="FFFFFF"/>
        </w:rPr>
        <w:t>s</w:t>
      </w:r>
    </w:p>
    <w:p w14:paraId="35C71D6E" w14:textId="272036FE" w:rsidR="00236DB1" w:rsidRPr="00236DB1" w:rsidRDefault="00236DB1" w:rsidP="00236DB1">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Patient status</w:t>
      </w:r>
    </w:p>
    <w:p w14:paraId="19EA6F17" w14:textId="2E244514" w:rsidR="00236DB1" w:rsidRPr="00236DB1" w:rsidRDefault="00236DB1" w:rsidP="00236DB1">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Other insurance information</w:t>
      </w:r>
      <w:r>
        <w:rPr>
          <w:rStyle w:val="Strong"/>
          <w:rFonts w:ascii="Arial" w:hAnsi="Arial" w:cs="Arial"/>
          <w:color w:val="2D2D2D"/>
          <w:shd w:val="clear" w:color="auto" w:fill="FFFFFF"/>
        </w:rPr>
        <w:t xml:space="preserve"> </w:t>
      </w:r>
    </w:p>
    <w:p w14:paraId="407ADDE4" w14:textId="5640D67C" w:rsidR="00236DB1" w:rsidRPr="009A29AF" w:rsidRDefault="00236DB1" w:rsidP="00236DB1">
      <w:pPr>
        <w:pStyle w:val="ListParagraph"/>
        <w:numPr>
          <w:ilvl w:val="1"/>
          <w:numId w:val="13"/>
        </w:numPr>
        <w:shd w:val="clear" w:color="auto" w:fill="FFFFFF"/>
        <w:spacing w:before="100" w:beforeAutospacing="1" w:after="100" w:afterAutospacing="1" w:line="240" w:lineRule="auto"/>
        <w:rPr>
          <w:rStyle w:val="Strong"/>
          <w:rFonts w:ascii="Arial" w:hAnsi="Arial" w:cs="Arial"/>
          <w:b w:val="0"/>
          <w:bCs w:val="0"/>
          <w:color w:val="2D2D2D"/>
          <w:shd w:val="clear" w:color="auto" w:fill="FFFFFF"/>
        </w:rPr>
      </w:pPr>
      <w:r>
        <w:rPr>
          <w:rStyle w:val="Strong"/>
          <w:rFonts w:ascii="Arial" w:hAnsi="Arial" w:cs="Arial"/>
          <w:color w:val="2D2D2D"/>
          <w:shd w:val="clear" w:color="auto" w:fill="FFFFFF"/>
        </w:rPr>
        <w:t>Patient’s signature</w:t>
      </w:r>
      <w:r w:rsidR="009A29AF">
        <w:rPr>
          <w:rStyle w:val="Strong"/>
          <w:rFonts w:ascii="Arial" w:hAnsi="Arial" w:cs="Arial"/>
          <w:color w:val="2D2D2D"/>
          <w:shd w:val="clear" w:color="auto" w:fill="FFFFFF"/>
        </w:rPr>
        <w:t xml:space="preserve"> etc. </w:t>
      </w:r>
    </w:p>
    <w:p w14:paraId="5B77393B" w14:textId="75CCA282" w:rsidR="009A29AF" w:rsidRDefault="009A29AF" w:rsidP="009A29AF">
      <w:pPr>
        <w:shd w:val="clear" w:color="auto" w:fill="FFFFFF"/>
        <w:spacing w:before="100" w:beforeAutospacing="1" w:after="100" w:afterAutospacing="1" w:line="240" w:lineRule="auto"/>
        <w:rPr>
          <w:rFonts w:ascii="Arial" w:hAnsi="Arial" w:cs="Arial"/>
          <w:color w:val="2D2D2D"/>
          <w:shd w:val="clear" w:color="auto" w:fill="FFFFFF"/>
        </w:rPr>
      </w:pPr>
      <w:r>
        <w:rPr>
          <w:rFonts w:ascii="Arial" w:hAnsi="Arial" w:cs="Arial"/>
          <w:color w:val="2D2D2D"/>
          <w:shd w:val="clear" w:color="auto" w:fill="FFFFFF"/>
        </w:rPr>
        <w:t>How to file an HCFA form?</w:t>
      </w:r>
      <w:bookmarkStart w:id="0" w:name="_GoBack"/>
      <w:bookmarkEnd w:id="0"/>
    </w:p>
    <w:p w14:paraId="46835C2C" w14:textId="3A378072" w:rsidR="009A29AF" w:rsidRPr="009A29AF" w:rsidRDefault="009A29AF" w:rsidP="009A29AF">
      <w:pPr>
        <w:shd w:val="clear" w:color="auto" w:fill="FFFFFF"/>
        <w:spacing w:before="100" w:beforeAutospacing="1" w:after="100" w:afterAutospacing="1" w:line="240" w:lineRule="auto"/>
        <w:rPr>
          <w:rFonts w:ascii="Arial" w:hAnsi="Arial" w:cs="Arial"/>
          <w:color w:val="2D2D2D"/>
          <w:shd w:val="clear" w:color="auto" w:fill="FFFFFF"/>
        </w:rPr>
      </w:pPr>
      <w:r>
        <w:rPr>
          <w:rFonts w:ascii="Arial" w:hAnsi="Arial" w:cs="Arial"/>
          <w:color w:val="2D2D2D"/>
          <w:shd w:val="clear" w:color="auto" w:fill="FFFFFF"/>
        </w:rPr>
        <w:t>Once you’ve completed your form, you should run it through a </w:t>
      </w:r>
      <w:hyperlink r:id="rId47" w:history="1">
        <w:r>
          <w:rPr>
            <w:rStyle w:val="Hyperlink"/>
            <w:rFonts w:ascii="Arial" w:hAnsi="Arial" w:cs="Arial"/>
            <w:color w:val="087EE2"/>
            <w:shd w:val="clear" w:color="auto" w:fill="FFFFFF"/>
          </w:rPr>
          <w:t>claim scrubber</w:t>
        </w:r>
      </w:hyperlink>
      <w:r>
        <w:rPr>
          <w:rFonts w:ascii="Arial" w:hAnsi="Arial" w:cs="Arial"/>
          <w:color w:val="2D2D2D"/>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7AF86A76" w14:textId="77777777" w:rsidR="00DF7DA0" w:rsidRPr="00DF7DA0" w:rsidRDefault="00DF7DA0" w:rsidP="00171CF7">
      <w:pPr>
        <w:shd w:val="clear" w:color="auto" w:fill="FFFFFF"/>
        <w:spacing w:after="0" w:line="240" w:lineRule="auto"/>
        <w:rPr>
          <w:rFonts w:ascii="Arial" w:hAnsi="Arial" w:cs="Arial"/>
          <w:color w:val="2D2D2D"/>
          <w:shd w:val="clear" w:color="auto" w:fill="FFFFFF"/>
        </w:rPr>
      </w:pPr>
    </w:p>
    <w:sectPr w:rsidR="00DF7DA0" w:rsidRPr="00DF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4BB"/>
    <w:multiLevelType w:val="hybridMultilevel"/>
    <w:tmpl w:val="9B00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077E29BE"/>
    <w:multiLevelType w:val="multilevel"/>
    <w:tmpl w:val="4B7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0574C"/>
    <w:multiLevelType w:val="hybridMultilevel"/>
    <w:tmpl w:val="9BC42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D03F7"/>
    <w:multiLevelType w:val="multilevel"/>
    <w:tmpl w:val="9940C87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07D58"/>
    <w:multiLevelType w:val="hybridMultilevel"/>
    <w:tmpl w:val="D142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A0132"/>
    <w:multiLevelType w:val="multilevel"/>
    <w:tmpl w:val="214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07805"/>
    <w:multiLevelType w:val="multilevel"/>
    <w:tmpl w:val="39B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C5902"/>
    <w:multiLevelType w:val="hybridMultilevel"/>
    <w:tmpl w:val="D3AE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4156D"/>
    <w:multiLevelType w:val="hybridMultilevel"/>
    <w:tmpl w:val="F814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0A5210"/>
    <w:multiLevelType w:val="multilevel"/>
    <w:tmpl w:val="0998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17949"/>
    <w:multiLevelType w:val="hybridMultilevel"/>
    <w:tmpl w:val="E44A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B499E"/>
    <w:multiLevelType w:val="multilevel"/>
    <w:tmpl w:val="06D8F0D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21"/>
  </w:num>
  <w:num w:numId="2">
    <w:abstractNumId w:val="15"/>
  </w:num>
  <w:num w:numId="3">
    <w:abstractNumId w:val="10"/>
  </w:num>
  <w:num w:numId="4">
    <w:abstractNumId w:val="14"/>
  </w:num>
  <w:num w:numId="5">
    <w:abstractNumId w:val="24"/>
  </w:num>
  <w:num w:numId="6">
    <w:abstractNumId w:val="33"/>
  </w:num>
  <w:num w:numId="7">
    <w:abstractNumId w:val="3"/>
  </w:num>
  <w:num w:numId="8">
    <w:abstractNumId w:val="19"/>
  </w:num>
  <w:num w:numId="9">
    <w:abstractNumId w:val="29"/>
  </w:num>
  <w:num w:numId="10">
    <w:abstractNumId w:val="4"/>
  </w:num>
  <w:num w:numId="11">
    <w:abstractNumId w:val="8"/>
  </w:num>
  <w:num w:numId="12">
    <w:abstractNumId w:val="5"/>
  </w:num>
  <w:num w:numId="13">
    <w:abstractNumId w:val="11"/>
  </w:num>
  <w:num w:numId="14">
    <w:abstractNumId w:val="32"/>
  </w:num>
  <w:num w:numId="15">
    <w:abstractNumId w:val="31"/>
  </w:num>
  <w:num w:numId="16">
    <w:abstractNumId w:val="6"/>
  </w:num>
  <w:num w:numId="17">
    <w:abstractNumId w:val="22"/>
  </w:num>
  <w:num w:numId="18">
    <w:abstractNumId w:val="17"/>
  </w:num>
  <w:num w:numId="19">
    <w:abstractNumId w:val="20"/>
  </w:num>
  <w:num w:numId="20">
    <w:abstractNumId w:val="12"/>
  </w:num>
  <w:num w:numId="21">
    <w:abstractNumId w:val="30"/>
  </w:num>
  <w:num w:numId="22">
    <w:abstractNumId w:val="28"/>
  </w:num>
  <w:num w:numId="23">
    <w:abstractNumId w:val="16"/>
  </w:num>
  <w:num w:numId="24">
    <w:abstractNumId w:val="18"/>
  </w:num>
  <w:num w:numId="25">
    <w:abstractNumId w:val="1"/>
  </w:num>
  <w:num w:numId="26">
    <w:abstractNumId w:val="23"/>
  </w:num>
  <w:num w:numId="27">
    <w:abstractNumId w:val="7"/>
  </w:num>
  <w:num w:numId="28">
    <w:abstractNumId w:val="34"/>
  </w:num>
  <w:num w:numId="29">
    <w:abstractNumId w:val="9"/>
  </w:num>
  <w:num w:numId="30">
    <w:abstractNumId w:val="2"/>
  </w:num>
  <w:num w:numId="31">
    <w:abstractNumId w:val="0"/>
  </w:num>
  <w:num w:numId="32">
    <w:abstractNumId w:val="26"/>
  </w:num>
  <w:num w:numId="33">
    <w:abstractNumId w:val="13"/>
  </w:num>
  <w:num w:numId="34">
    <w:abstractNumId w:val="25"/>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C2B1F"/>
    <w:rsid w:val="000D050A"/>
    <w:rsid w:val="000E0A6B"/>
    <w:rsid w:val="00171CF7"/>
    <w:rsid w:val="001B277D"/>
    <w:rsid w:val="00236DB1"/>
    <w:rsid w:val="0034606C"/>
    <w:rsid w:val="003B3D81"/>
    <w:rsid w:val="003D31AE"/>
    <w:rsid w:val="0041561B"/>
    <w:rsid w:val="00430D35"/>
    <w:rsid w:val="00452BE0"/>
    <w:rsid w:val="004E0BA0"/>
    <w:rsid w:val="00563791"/>
    <w:rsid w:val="005B7350"/>
    <w:rsid w:val="005E3A9B"/>
    <w:rsid w:val="006010E4"/>
    <w:rsid w:val="00615649"/>
    <w:rsid w:val="00652C28"/>
    <w:rsid w:val="006B2CD0"/>
    <w:rsid w:val="006E4EA6"/>
    <w:rsid w:val="006E4EBA"/>
    <w:rsid w:val="006F46A3"/>
    <w:rsid w:val="006F7192"/>
    <w:rsid w:val="007C31AD"/>
    <w:rsid w:val="00847AAD"/>
    <w:rsid w:val="00876D6B"/>
    <w:rsid w:val="00892D1D"/>
    <w:rsid w:val="008C25CB"/>
    <w:rsid w:val="008C49A3"/>
    <w:rsid w:val="00920D41"/>
    <w:rsid w:val="009A1287"/>
    <w:rsid w:val="009A29AF"/>
    <w:rsid w:val="009C0D15"/>
    <w:rsid w:val="009C5CEF"/>
    <w:rsid w:val="00A016B5"/>
    <w:rsid w:val="00B51BEB"/>
    <w:rsid w:val="00B75E26"/>
    <w:rsid w:val="00B9315D"/>
    <w:rsid w:val="00BD4958"/>
    <w:rsid w:val="00BE4067"/>
    <w:rsid w:val="00BE7D19"/>
    <w:rsid w:val="00C13D88"/>
    <w:rsid w:val="00C25FCC"/>
    <w:rsid w:val="00C82660"/>
    <w:rsid w:val="00C94394"/>
    <w:rsid w:val="00D32C02"/>
    <w:rsid w:val="00D825BC"/>
    <w:rsid w:val="00DE07EF"/>
    <w:rsid w:val="00DF7DA0"/>
    <w:rsid w:val="00E67412"/>
    <w:rsid w:val="00E82151"/>
    <w:rsid w:val="00E8684F"/>
    <w:rsid w:val="00E877D0"/>
    <w:rsid w:val="00EE1910"/>
    <w:rsid w:val="00F15F5F"/>
    <w:rsid w:val="00FA7522"/>
    <w:rsid w:val="00FD71A2"/>
    <w:rsid w:val="00FE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3" Type="http://schemas.openxmlformats.org/officeDocument/2006/relationships/styles" Target="styles.xm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16233-claim-scrubber-benefits.html" TargetMode="External"/><Relationship Id="rId7" Type="http://schemas.openxmlformats.org/officeDocument/2006/relationships/hyperlink" Target="https://www.techtarget.com/whatis/definition/hard-copy-printout" TargetMode="Externa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7-medical-claims-how-to.html"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0" Type="http://schemas.openxmlformats.org/officeDocument/2006/relationships/hyperlink" Target="https://www.aapc.com/codes/icd-10-codes-range/C00-D49" TargetMode="External"/><Relationship Id="rId29" Type="http://schemas.openxmlformats.org/officeDocument/2006/relationships/hyperlink" Target="https://www.aapc.com/codes/icd-10-codes-range/K00-K95" TargetMode="External"/><Relationship Id="rId41" Type="http://schemas.openxmlformats.org/officeDocument/2006/relationships/hyperlink" Target="https://sybridmd.com/services/medical-billing-services/"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demigos.com/blog-post/data-security-in-healthcare-importance-challenges-solutions/" TargetMode="Externa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theme" Target="theme/theme1.xm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fontTable" Target="fontTable.xml"/><Relationship Id="rId8" Type="http://schemas.openxmlformats.org/officeDocument/2006/relationships/hyperlink" Target="https://www.hipaaguide.net/healthcare-data-breach-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E05D-EB09-43C9-BC66-9339AD84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20</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12</cp:revision>
  <dcterms:created xsi:type="dcterms:W3CDTF">2023-02-02T06:17:00Z</dcterms:created>
  <dcterms:modified xsi:type="dcterms:W3CDTF">2023-02-03T13:52:00Z</dcterms:modified>
</cp:coreProperties>
</file>