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pfngate: interview notes</w:t>
      </w:r>
    </w:p>
    <w:p>
      <w:pPr>
        <w:pStyle w:val="Heading1"/>
      </w:pPr>
      <w:r>
        <w:t>Demo story: opening lines</w:t>
      </w:r>
    </w:p>
    <w:p>
      <w:r>
        <w:t>The classic variance-and-autocorrelation warning was weaker than I expected, at 0.58 AUROC in-prior against 0.81 for TabPFN with only 200 context rows, and that lead nearly disappears on systems outside the prior (0.60 against 0.52, with overlapping confidence intervals).</w:t>
      </w:r>
    </w:p>
    <w:p>
      <w:r>
        <w:t>The best-looking row, the family-matched oracle at 0.94, is the one I trust least, because its 0.000 false-alarm rate on controls is an artefact (the context target was constant, so TabPFN just returned a constant) and not a result.</w:t>
      </w:r>
    </w:p>
    <w:p>
      <w:r>
        <w:rPr>
          <w:i/>
          <w:sz w:val="18"/>
        </w:rPr>
        <w:t>Numbers are read from results/baseline_ews.json and results/pfn_*.json by code. Scores are p_critical. Runs used max_context 200 and the first 3 seeds per scenario.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