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Arial" w:hAnsi="Arial"/>
          <w:b/>
          <w:color w:val="236EB4"/>
          <w:sz w:val="42"/>
        </w:rPr>
        <w:t>Zoho Projects Implementation — Website Page Content Document</w:t>
      </w:r>
    </w:p>
    <w:p>
      <w:pPr>
        <w:spacing w:after="280"/>
      </w:pPr>
      <w:r>
        <w:rPr>
          <w:rFonts w:ascii="Arial" w:hAnsi="Arial"/>
          <w:color w:val="64748B"/>
          <w:sz w:val="19"/>
        </w:rPr>
        <w:t>Master Copy &amp; Website Content for Web Development Team | Elite Tech Corporation (Authorized Advanced Zoho Partner)</w:t>
        <w:br/>
        <w:t>Target Page: /zoho-projects-implementation/ | Implementation Tiers: Basic (26.0h) | Pro (63.0h) | Elite (115.0h)</w:t>
      </w:r>
    </w:p>
    <w:p>
      <w:pPr>
        <w:pStyle w:val="Heading1"/>
        <w:keepNext/>
        <w:spacing w:before="320" w:after="120"/>
      </w:pPr>
      <w:r>
        <w:rPr>
          <w:rFonts w:ascii="Arial" w:hAnsi="Arial"/>
          <w:b/>
          <w:color w:val="236EB4"/>
          <w:sz w:val="34"/>
        </w:rPr>
        <w:t>Section 01: Hero Section</w:t>
      </w:r>
    </w:p>
    <w:p>
      <w:r>
        <w:rPr>
          <w:b/>
          <w:color w:val="236EB4"/>
        </w:rPr>
        <w:t>Eyebrow Badge: AUTHORIZED ZOHO ADVANCED PARTNER · ENTERPRISE PMO IMPLEMENTATION</w:t>
        <w:br/>
      </w:r>
      <w:r>
        <w:rPr>
          <w:b/>
          <w:color w:val="1E293B"/>
          <w:sz w:val="26"/>
        </w:rPr>
        <w:t>H1 Headline: From Disconnected Spreadsheets &amp; Chat Chaos to a Governed, Predictable PMO</w:t>
        <w:br/>
        <w:br/>
      </w:r>
      <w:r>
        <w:rPr>
          <w:sz w:val="19"/>
        </w:rPr>
        <w:t>Subheadline Copy:</w:t>
        <w:br/>
        <w:t>Work Breakdown Structures, stage-gate Blueprints, Critical Path (CPM), live timesheet billing, resource capacity heatmaps, and enterprise project budgeting. Implemented end-to-end around how your organization actually delivers. Live in 7 to 45 working days.</w:t>
        <w:br/>
        <w:br/>
        <w:t>Call-to-Action Buttons:</w:t>
        <w:br/>
        <w:t>• Primary Button: Assess My Project Delivery (Link: https://elitemeetings.elitetechcorp.com/?utm_source=zoho-projects-landing&amp;utm_medium=cta&amp;utm_campaign=zoho_projects_implementation&amp;utm_content=hero_cta#/sales-enquiries)</w:t>
        <w:br/>
        <w:t>• Secondary Button: Explore Zoho Projects Features (Link: #features)</w:t>
      </w:r>
    </w:p>
    <w:p>
      <w:pPr>
        <w:pStyle w:val="Heading1"/>
        <w:keepNext/>
        <w:spacing w:before="320" w:after="120"/>
      </w:pPr>
      <w:r>
        <w:rPr>
          <w:rFonts w:ascii="Arial" w:hAnsi="Arial"/>
          <w:b/>
          <w:color w:val="236EB4"/>
          <w:sz w:val="34"/>
        </w:rPr>
        <w:t>Section 02: Social Proof &amp; Trust Strip</w:t>
      </w:r>
    </w:p>
    <w:p>
      <w:r>
        <w:rPr>
          <w:b/>
          <w:color w:val="1E293B"/>
          <w:sz w:val="24"/>
        </w:rPr>
        <w:t>H2 Headline: Trusted by Project Leaders Who Need Predictable Delivery and Protected Margins</w:t>
        <w:br/>
      </w:r>
      <w:r>
        <w:rPr>
          <w:sz w:val="19"/>
        </w:rPr>
        <w:t>Introductory Subtext:</w:t>
        <w:br/>
        <w:t>Zoho Projects powers operational delivery across India and global markets—from 15-person agile software studios to multi-location EPC contractors, engineering conglomerates, and corporate PMOs managing hundreds of concurrent client deliverables.</w:t>
        <w:br/>
        <w:br/>
        <w:t>Metric Cards:</w:t>
        <w:br/>
        <w:t>• Metric 01: [500+] Enterprise Projects Governed — Deployed across IT services, solar EPC, civil construction, manufacturing, and management consulting.</w:t>
        <w:br/>
        <w:t>• Metric 02: [100%] End-to-End Milestone Traceability — Seamless operational handoff from Zoho CRM Deal Won to deliverable milestone sign-off and Zoho Books customer invoicing.</w:t>
        <w:br/>
        <w:t>• Metric 03: [Zero] Margin Drift &amp; Unbilled Scope — Real-time timesheet cost burn tracking against contractual rate cards, milestone baselines, and hard-stop budget freezes.</w:t>
      </w:r>
    </w:p>
    <w:p>
      <w:pPr>
        <w:pStyle w:val="Heading1"/>
        <w:keepNext/>
        <w:spacing w:before="320" w:after="120"/>
      </w:pPr>
      <w:r>
        <w:rPr>
          <w:rFonts w:ascii="Arial" w:hAnsi="Arial"/>
          <w:b/>
          <w:color w:val="236EB4"/>
          <w:sz w:val="34"/>
        </w:rPr>
        <w:t>Section 03: What Is Zoho Projects &amp; Target Personas</w:t>
      </w:r>
    </w:p>
    <w:p>
      <w:r>
        <w:rPr>
          <w:b/>
          <w:color w:val="1E293B"/>
          <w:sz w:val="24"/>
        </w:rPr>
        <w:t>H2 Headline: What Is Zoho Projects</w:t>
        <w:br/>
      </w:r>
      <w:r>
        <w:rPr>
          <w:sz w:val="19"/>
        </w:rPr>
        <w:t>Platform Overview:</w:t>
        <w:br/>
        <w:t>Zoho Projects is a cloud-based enterprise project management and operational governance platform that unifies project planning, resource scheduling, task execution, timesheet billing, issue tracking, and budget controls into a single single-pane-of-glass workspace.</w:t>
        <w:br/>
        <w:br/>
        <w:t>Zoho Projects holds the entire deliverable lifecycle in one governed architecture: Client Deal Handoff → WBS &amp; Milestone Planning → Gantt &amp; Critical Path Scheduling → Resource Capacity Allocation → Live Timesheet &amp; Expense Ingestion → Stage-Gate Blueprints → Milestone Billing &amp; Accounting.</w:t>
        <w:br/>
        <w:br/>
        <w:t>It replaces the disconnected Excel tracking sheets, lost WhatsApp/Slack chat threads, untracked scope creep, and chaotic month-end billing reconciliations that erode project margins—giving leadership real-time delivery visibility, predictable capacity, and clean cash flow.</w:t>
        <w:br/>
        <w:br/>
        <w:t>H3 Subheading: Who Needs Zoho Projects</w:t>
        <w:br/>
        <w:t>Target Personas:</w:t>
        <w:br/>
        <w:t>1. Small &amp; Mid-Sized Professional Teams: Transition from chaotic email threads and basic checklists to structured task tracking, milestone ownership, and basic timesheet logging without administrative overhead.</w:t>
        <w:br/>
        <w:t>2. Growing IT Services &amp; SaaS Engineering Firms: Multi-tier sprint delivery, developer timesheets, Git commit tracking, client deliverable sign-offs, and 1-click invoice generation from billable hours.</w:t>
        <w:br/>
        <w:t>3. Solar EPC, Construction &amp; Infrastructure Contractors: Complex Work Breakdown Structures, contractor sandboxed portals, change order digital approvals, and material/labor cost burn against contractual budgets.</w:t>
        <w:br/>
        <w:t>4. Creative, Marketing &amp; Digital Agencies: Multi-brand campaign scheduling, asset review workflows, client digital proofing sign-offs, and team burnout prevention via capacity heatmaps.</w:t>
        <w:br/>
        <w:t>5. High-Growth Enterprises &amp; Corporate PMOs: Multi-project portfolio rollups, Earned Value Management (EVM), cross-project resource capacity forecasting, and C-suite BI executive dashboards.</w:t>
        <w:br/>
        <w:br/>
        <w:t>Ecosystem Integration Banner:</w:t>
        <w:br/>
        <w:t>What Business Process Does It Manage?</w:t>
        <w:br/>
        <w:t>Zoho Projects integrates upstream with Zoho CRM to auto-create projects upon Deal Won, syncs employee leaves and working shifts directly from Zoho People, routes customer support escalations from Zoho Desk, and posts approved timesheet billing directly into Zoho Books for instant invoicing.</w:t>
      </w:r>
    </w:p>
    <w:p>
      <w:pPr>
        <w:pStyle w:val="Heading1"/>
        <w:keepNext/>
        <w:spacing w:before="320" w:after="120"/>
      </w:pPr>
      <w:r>
        <w:rPr>
          <w:rFonts w:ascii="Arial" w:hAnsi="Arial"/>
          <w:b/>
          <w:color w:val="236EB4"/>
          <w:sz w:val="34"/>
        </w:rPr>
        <w:t>Section 04: Pain Points &amp; Symptoms of Spreadsheets</w:t>
      </w:r>
    </w:p>
    <w:p>
      <w:r>
        <w:rPr>
          <w:b/>
          <w:color w:val="1E293B"/>
          <w:sz w:val="24"/>
        </w:rPr>
        <w:t>H2 Headline: Is Your Project Delivery Still Running on Spreadsheets, Chat and Hope?</w:t>
        <w:br/>
      </w:r>
      <w:r>
        <w:rPr>
          <w:sz w:val="19"/>
        </w:rPr>
        <w:t>Introductory Subtext:</w:t>
        <w:br/>
        <w:t>Most professional service, engineering, and contracting firms do not have a talent problem. They have an operational visibility and process governance problem, and it surfaces as the same eight symptoms:</w:t>
        <w:br/>
        <w:br/>
        <w:t>8 Symptom Cards:</w:t>
        <w:br/>
        <w:t>1. Deadlines Slipped Without Warning: Critical path tasks are delayed silently in side spreadsheets until milestone delivery dates are irrevocably breached and clients demand answers.</w:t>
        <w:br/>
        <w:t>2. Resource Over-Allocation &amp; Burnout: Senior engineers are double-booked across four projects simultaneously because no centralized, real-time resource utilization heatmap exists.</w:t>
        <w:br/>
        <w:t>3. Scope Creep Eaten by Margins: Client change requests are agreed upon casually over WhatsApp calls or email threads without budget baselines or formal sign-offs, destroying project profitability.</w:t>
        <w:br/>
        <w:t>4. Timesheets Rebuilt on Friday: Billable hours are guessed at the end of the week, leading to inaccurate client billing, unbilled project work, and contentious payment disputes.</w:t>
        <w:br/>
        <w:t>5. Client Status Updates Compiled Manually: Project managers spend 6+ hours every week chasing team members and formatting static PowerPoint or Excel status reports instead of managing delivery.</w:t>
        <w:br/>
        <w:t>6. Milestone Billing Disconnected from Accounts: Finance cannot bill completed deliverables because proof of sign-off is buried in email attachments, creating cash flow delays of 30 to 60 days.</w:t>
        <w:br/>
        <w:t>7. Task Dependencies Untracked: Upstream delays do not dynamically shift downstream tasks in real time, causing cascading idle time, rushed handoffs, and quality defects.</w:t>
        <w:br/>
        <w:t>8. No Single Source of Portfolio Truth: Leadership asks 'Are we profitable on this account?' and receives three completely conflicting answers from Sales, Project Management, and Finance.</w:t>
      </w:r>
    </w:p>
    <w:p>
      <w:pPr>
        <w:pStyle w:val="Heading1"/>
        <w:keepNext/>
        <w:spacing w:before="320" w:after="120"/>
      </w:pPr>
      <w:r>
        <w:rPr>
          <w:rFonts w:ascii="Arial" w:hAnsi="Arial"/>
          <w:b/>
          <w:color w:val="236EB4"/>
          <w:sz w:val="34"/>
        </w:rPr>
        <w:t>Section 05: Transformation &amp; Solution Value</w:t>
      </w:r>
    </w:p>
    <w:p>
      <w:r>
        <w:rPr>
          <w:b/>
          <w:color w:val="22C55E"/>
        </w:rPr>
        <w:t>Eyebrow Badge: FROM SPREADSHEET CHAOS TO OPERATIONAL GOVERNANCE</w:t>
        <w:br/>
      </w:r>
      <w:r>
        <w:rPr>
          <w:b/>
          <w:color w:val="1E293B"/>
          <w:sz w:val="24"/>
        </w:rPr>
        <w:t>H2 Headline: From Fragmented Tasks to Governed Delivery</w:t>
        <w:br/>
      </w:r>
      <w:r>
        <w:rPr>
          <w:sz w:val="19"/>
        </w:rPr>
        <w:t>Subheadline Copy:</w:t>
        <w:br/>
        <w:t>Zoho Projects replaces the chaos of disconnected project management with a closed-loop system that enforces process discipline, protects profitability, and scales delivery.</w:t>
        <w:br/>
        <w:br/>
        <w:t>Transformation Framework:</w:t>
        <w:br/>
        <w:t>• The Problem (Manual Spreadsheet Chaos): Disconnected Excel sheets, unmonitored scope changes, untracked time, and endless chat follow-ups.</w:t>
        <w:br/>
        <w:t>• The Zoho Projects Engine (One Governed PMO System): Single centralized architecture uniting WBS, Gantt, resources, timesheets, and accounting.</w:t>
        <w:br/>
        <w:t>• The Automation Flow (Deal Won → Baseline → Bill): Automated workflow: CRM Deal Won → Project Auto-Creation → Critical Path → Work Logging → 1-Click Invoice.</w:t>
        <w:br/>
        <w:t>• The Business Result (Protected Gross Margins): 100% on-time milestone delivery, zero unbilled hours, and predictable team capacity.</w:t>
        <w:br/>
        <w:br/>
        <w:t>Narrative Authority Copy:</w:t>
        <w:br/>
        <w:t>Zoho Projects turns scattered delivery activity into a single governed pipeline. Project templates and Work Breakdown Structures are configured once. Milestones, Gantt dependencies, and Critical Path models enforce delivery sequencing. Timesheets and categorized expenses feed live into the cost burn engine. Visual Blueprints lock task transitions until mandatory sign-offs and deliverable artifacts are uploaded. Clients collaborate inside sandboxed branded portals, and approved hours flow directly into Zoho Books for instantaneous invoicing.</w:t>
      </w:r>
    </w:p>
    <w:p>
      <w:pPr>
        <w:pStyle w:val="Heading1"/>
        <w:keepNext/>
        <w:spacing w:before="320" w:after="120"/>
      </w:pPr>
      <w:r>
        <w:rPr>
          <w:rFonts w:ascii="Arial" w:hAnsi="Arial"/>
          <w:b/>
          <w:color w:val="236EB4"/>
          <w:sz w:val="34"/>
        </w:rPr>
        <w:t>Section 06: Key Features Catalog</w:t>
      </w:r>
    </w:p>
    <w:p>
      <w:r>
        <w:rPr>
          <w:b/>
          <w:color w:val="1E293B"/>
          <w:sz w:val="24"/>
        </w:rPr>
        <w:t>H2 Headline: Key Features of Zoho Projects</w:t>
        <w:br/>
      </w:r>
      <w:r>
        <w:rPr>
          <w:sz w:val="19"/>
        </w:rPr>
        <w:t>Introductory Subtext: Comprehensive capability across all 18 core functional domains of modern project management and PMO operations.</w:t>
        <w:br/>
      </w:r>
    </w:p>
    <w:tbl>
      <w:tblPr>
        <w:tblW w:type="auto" w:w="0"/>
        <w:jc w:val="center"/>
        <w:tblLook w:firstColumn="1" w:firstRow="1" w:lastColumn="0" w:lastRow="0" w:noHBand="0" w:noVBand="1" w:val="04A0"/>
      </w:tblPr>
      <w:tblGrid>
        <w:gridCol w:w="3360"/>
        <w:gridCol w:w="3360"/>
        <w:gridCol w:w="3360"/>
      </w:tblGrid>
      <w:tr>
        <w:tc>
          <w:tcPr>
            <w:tcW w:type="dxa" w:w="2880"/>
            <w:shd w:fill="236EB4"/>
            <w:tcMar>
              <w:top w:w="110" w:type="dxa"/>
              <w:bottom w:w="110" w:type="dxa"/>
              <w:left w:w="130" w:type="dxa"/>
              <w:right w:w="130" w:type="dxa"/>
            </w:tcMar>
          </w:tcPr>
          <w:p>
            <w:pPr>
              <w:jc w:val="left"/>
            </w:pPr>
            <w:r>
              <w:rPr>
                <w:rFonts w:ascii="Arial" w:hAnsi="Arial"/>
                <w:b/>
                <w:color w:val="FFFFFF"/>
                <w:sz w:val="19"/>
              </w:rPr>
              <w:t>Feature Title</w:t>
            </w:r>
          </w:p>
        </w:tc>
        <w:tc>
          <w:tcPr>
            <w:tcW w:type="dxa" w:w="3600"/>
            <w:shd w:fill="236EB4"/>
            <w:tcMar>
              <w:top w:w="110" w:type="dxa"/>
              <w:bottom w:w="110" w:type="dxa"/>
              <w:left w:w="130" w:type="dxa"/>
              <w:right w:w="130" w:type="dxa"/>
            </w:tcMar>
          </w:tcPr>
          <w:p>
            <w:pPr>
              <w:jc w:val="left"/>
            </w:pPr>
            <w:r>
              <w:rPr>
                <w:rFonts w:ascii="Arial" w:hAnsi="Arial"/>
                <w:b/>
                <w:color w:val="FFFFFF"/>
                <w:sz w:val="19"/>
              </w:rPr>
              <w:t>What It Does (Executive Capability)</w:t>
            </w:r>
          </w:p>
        </w:tc>
        <w:tc>
          <w:tcPr>
            <w:tcW w:type="dxa" w:w="3600"/>
            <w:shd w:fill="236EB4"/>
            <w:tcMar>
              <w:top w:w="110" w:type="dxa"/>
              <w:bottom w:w="110" w:type="dxa"/>
              <w:left w:w="130" w:type="dxa"/>
              <w:right w:w="130" w:type="dxa"/>
            </w:tcMar>
          </w:tcPr>
          <w:p>
            <w:pPr>
              <w:jc w:val="left"/>
            </w:pPr>
            <w:r>
              <w:rPr>
                <w:rFonts w:ascii="Arial" w:hAnsi="Arial"/>
                <w:b/>
                <w:color w:val="FFFFFF"/>
                <w:sz w:val="19"/>
              </w:rPr>
              <w:t>How It Works (Technical Mechanism)</w:t>
            </w:r>
          </w:p>
        </w:tc>
      </w:tr>
      <w:tr>
        <w:tc>
          <w:tcPr>
            <w:tcW w:type="dxa" w:w="2880"/>
            <w:shd w:fill="FFFFFF"/>
            <w:tcMar>
              <w:top w:w="90" w:type="dxa"/>
              <w:bottom w:w="90" w:type="dxa"/>
              <w:left w:w="130" w:type="dxa"/>
              <w:right w:w="130" w:type="dxa"/>
            </w:tcMar>
          </w:tcPr>
          <w:p>
            <w:r>
              <w:rPr>
                <w:rFonts w:ascii="Arial" w:hAnsi="Arial"/>
                <w:color w:val="334155"/>
                <w:sz w:val="18"/>
              </w:rPr>
              <w:t>1. Work Breakdown Structure (WBS) &amp; Milestones</w:t>
            </w:r>
          </w:p>
        </w:tc>
        <w:tc>
          <w:tcPr>
            <w:tcW w:type="dxa" w:w="3600"/>
            <w:shd w:fill="FFFFFF"/>
            <w:tcMar>
              <w:top w:w="90" w:type="dxa"/>
              <w:bottom w:w="90" w:type="dxa"/>
              <w:left w:w="130" w:type="dxa"/>
              <w:right w:w="130" w:type="dxa"/>
            </w:tcMar>
          </w:tcPr>
          <w:p>
            <w:r>
              <w:rPr>
                <w:rFonts w:ascii="Arial" w:hAnsi="Arial"/>
                <w:color w:val="334155"/>
                <w:sz w:val="18"/>
              </w:rPr>
              <w:t>Hierarchically decomposes complex client deliverables into structured milestones, task lists, tasks, and subtasks.</w:t>
            </w:r>
          </w:p>
        </w:tc>
        <w:tc>
          <w:tcPr>
            <w:tcW w:type="dxa" w:w="3600"/>
            <w:shd w:fill="FFFFFF"/>
            <w:tcMar>
              <w:top w:w="90" w:type="dxa"/>
              <w:bottom w:w="90" w:type="dxa"/>
              <w:left w:w="130" w:type="dxa"/>
              <w:right w:w="130" w:type="dxa"/>
            </w:tcMar>
          </w:tcPr>
          <w:p>
            <w:r>
              <w:rPr>
                <w:rFonts w:ascii="Arial" w:hAnsi="Arial"/>
                <w:color w:val="334155"/>
                <w:sz w:val="18"/>
              </w:rPr>
              <w:t>Multi-level task nesting with custom milestones, percentage-based completion rollups, and deliverable ownership mapping.</w:t>
            </w:r>
          </w:p>
        </w:tc>
      </w:tr>
      <w:tr>
        <w:tc>
          <w:tcPr>
            <w:tcW w:type="dxa" w:w="2880"/>
            <w:shd w:fill="F8FAFC"/>
            <w:tcMar>
              <w:top w:w="90" w:type="dxa"/>
              <w:bottom w:w="90" w:type="dxa"/>
              <w:left w:w="130" w:type="dxa"/>
              <w:right w:w="130" w:type="dxa"/>
            </w:tcMar>
          </w:tcPr>
          <w:p>
            <w:r>
              <w:rPr>
                <w:rFonts w:ascii="Arial" w:hAnsi="Arial"/>
                <w:color w:val="334155"/>
                <w:sz w:val="18"/>
              </w:rPr>
              <w:t>2. Interactive Gantt Charts &amp; Dependency Mapping</w:t>
            </w:r>
          </w:p>
        </w:tc>
        <w:tc>
          <w:tcPr>
            <w:tcW w:type="dxa" w:w="3600"/>
            <w:shd w:fill="F8FAFC"/>
            <w:tcMar>
              <w:top w:w="90" w:type="dxa"/>
              <w:bottom w:w="90" w:type="dxa"/>
              <w:left w:w="130" w:type="dxa"/>
              <w:right w:w="130" w:type="dxa"/>
            </w:tcMar>
          </w:tcPr>
          <w:p>
            <w:r>
              <w:rPr>
                <w:rFonts w:ascii="Arial" w:hAnsi="Arial"/>
                <w:color w:val="334155"/>
                <w:sz w:val="18"/>
              </w:rPr>
              <w:t>Provides complete chronological visualization of project schedules with real-time dependency tracking.</w:t>
            </w:r>
          </w:p>
        </w:tc>
        <w:tc>
          <w:tcPr>
            <w:tcW w:type="dxa" w:w="3600"/>
            <w:shd w:fill="F8FAFC"/>
            <w:tcMar>
              <w:top w:w="90" w:type="dxa"/>
              <w:bottom w:w="90" w:type="dxa"/>
              <w:left w:w="130" w:type="dxa"/>
              <w:right w:w="130" w:type="dxa"/>
            </w:tcMar>
          </w:tcPr>
          <w:p>
            <w:r>
              <w:rPr>
                <w:rFonts w:ascii="Arial" w:hAnsi="Arial"/>
                <w:color w:val="334155"/>
                <w:sz w:val="18"/>
              </w:rPr>
              <w:t>Drag-and-drop Gantt timeline supporting all four dependency logic models: Finish-to-Start (FS), Start-to-Start (SS), Finish-to-Finish (FF), and Start-to-Finish (SF).</w:t>
            </w:r>
          </w:p>
        </w:tc>
      </w:tr>
      <w:tr>
        <w:tc>
          <w:tcPr>
            <w:tcW w:type="dxa" w:w="2880"/>
            <w:shd w:fill="FFFFFF"/>
            <w:tcMar>
              <w:top w:w="90" w:type="dxa"/>
              <w:bottom w:w="90" w:type="dxa"/>
              <w:left w:w="130" w:type="dxa"/>
              <w:right w:w="130" w:type="dxa"/>
            </w:tcMar>
          </w:tcPr>
          <w:p>
            <w:r>
              <w:rPr>
                <w:rFonts w:ascii="Arial" w:hAnsi="Arial"/>
                <w:color w:val="334155"/>
                <w:sz w:val="18"/>
              </w:rPr>
              <w:t>3. Critical Path Method (CPM) &amp; Schedule Risk Engine</w:t>
            </w:r>
          </w:p>
        </w:tc>
        <w:tc>
          <w:tcPr>
            <w:tcW w:type="dxa" w:w="3600"/>
            <w:shd w:fill="FFFFFF"/>
            <w:tcMar>
              <w:top w:w="90" w:type="dxa"/>
              <w:bottom w:w="90" w:type="dxa"/>
              <w:left w:w="130" w:type="dxa"/>
              <w:right w:w="130" w:type="dxa"/>
            </w:tcMar>
          </w:tcPr>
          <w:p>
            <w:r>
              <w:rPr>
                <w:rFonts w:ascii="Arial" w:hAnsi="Arial"/>
                <w:color w:val="334155"/>
                <w:sz w:val="18"/>
              </w:rPr>
              <w:t>Identifies true critical path deliverables, zero-slack bottlenecks, and automated schedule compression options.</w:t>
            </w:r>
          </w:p>
        </w:tc>
        <w:tc>
          <w:tcPr>
            <w:tcW w:type="dxa" w:w="3600"/>
            <w:shd w:fill="FFFFFF"/>
            <w:tcMar>
              <w:top w:w="90" w:type="dxa"/>
              <w:bottom w:w="90" w:type="dxa"/>
              <w:left w:w="130" w:type="dxa"/>
              <w:right w:w="130" w:type="dxa"/>
            </w:tcMar>
          </w:tcPr>
          <w:p>
            <w:r>
              <w:rPr>
                <w:rFonts w:ascii="Arial" w:hAnsi="Arial"/>
                <w:color w:val="334155"/>
                <w:sz w:val="18"/>
              </w:rPr>
              <w:t>Dynamic CPM calculation highlights the sequence of dependent tasks that directly dictate project completion date, triggering slack alerts when buffers erode.</w:t>
            </w:r>
          </w:p>
        </w:tc>
      </w:tr>
      <w:tr>
        <w:tc>
          <w:tcPr>
            <w:tcW w:type="dxa" w:w="2880"/>
            <w:shd w:fill="F8FAFC"/>
            <w:tcMar>
              <w:top w:w="90" w:type="dxa"/>
              <w:bottom w:w="90" w:type="dxa"/>
              <w:left w:w="130" w:type="dxa"/>
              <w:right w:w="130" w:type="dxa"/>
            </w:tcMar>
          </w:tcPr>
          <w:p>
            <w:r>
              <w:rPr>
                <w:rFonts w:ascii="Arial" w:hAnsi="Arial"/>
                <w:color w:val="334155"/>
                <w:sz w:val="18"/>
              </w:rPr>
              <w:t>4. Multi-Version Baseline Variance Engine</w:t>
            </w:r>
          </w:p>
        </w:tc>
        <w:tc>
          <w:tcPr>
            <w:tcW w:type="dxa" w:w="3600"/>
            <w:shd w:fill="F8FAFC"/>
            <w:tcMar>
              <w:top w:w="90" w:type="dxa"/>
              <w:bottom w:w="90" w:type="dxa"/>
              <w:left w:w="130" w:type="dxa"/>
              <w:right w:w="130" w:type="dxa"/>
            </w:tcMar>
          </w:tcPr>
          <w:p>
            <w:r>
              <w:rPr>
                <w:rFonts w:ascii="Arial" w:hAnsi="Arial"/>
                <w:color w:val="334155"/>
                <w:sz w:val="18"/>
              </w:rPr>
              <w:t>Locks project schedules and budgets to compare planned execution against actual performance over time.</w:t>
            </w:r>
          </w:p>
        </w:tc>
        <w:tc>
          <w:tcPr>
            <w:tcW w:type="dxa" w:w="3600"/>
            <w:shd w:fill="F8FAFC"/>
            <w:tcMar>
              <w:top w:w="90" w:type="dxa"/>
              <w:bottom w:w="90" w:type="dxa"/>
              <w:left w:w="130" w:type="dxa"/>
              <w:right w:w="130" w:type="dxa"/>
            </w:tcMar>
          </w:tcPr>
          <w:p>
            <w:r>
              <w:rPr>
                <w:rFonts w:ascii="Arial" w:hAnsi="Arial"/>
                <w:color w:val="334155"/>
                <w:sz w:val="18"/>
              </w:rPr>
              <w:t>Unlimited baseline version snapshots (Original Contract, Approved Scope Change, Revised Forecast) with visual Gantt variance overlays.</w:t>
            </w:r>
          </w:p>
        </w:tc>
      </w:tr>
      <w:tr>
        <w:tc>
          <w:tcPr>
            <w:tcW w:type="dxa" w:w="2880"/>
            <w:shd w:fill="FFFFFF"/>
            <w:tcMar>
              <w:top w:w="90" w:type="dxa"/>
              <w:bottom w:w="90" w:type="dxa"/>
              <w:left w:w="130" w:type="dxa"/>
              <w:right w:w="130" w:type="dxa"/>
            </w:tcMar>
          </w:tcPr>
          <w:p>
            <w:r>
              <w:rPr>
                <w:rFonts w:ascii="Arial" w:hAnsi="Arial"/>
                <w:color w:val="334155"/>
                <w:sz w:val="18"/>
              </w:rPr>
              <w:t>5. Resource Capacity Planning &amp; Workload Balancing</w:t>
            </w:r>
          </w:p>
        </w:tc>
        <w:tc>
          <w:tcPr>
            <w:tcW w:type="dxa" w:w="3600"/>
            <w:shd w:fill="FFFFFF"/>
            <w:tcMar>
              <w:top w:w="90" w:type="dxa"/>
              <w:bottom w:w="90" w:type="dxa"/>
              <w:left w:w="130" w:type="dxa"/>
              <w:right w:w="130" w:type="dxa"/>
            </w:tcMar>
          </w:tcPr>
          <w:p>
            <w:r>
              <w:rPr>
                <w:rFonts w:ascii="Arial" w:hAnsi="Arial"/>
                <w:color w:val="334155"/>
                <w:sz w:val="18"/>
              </w:rPr>
              <w:t>Prevents employee burnout and under-utilization across all active and pipeline projects.</w:t>
            </w:r>
          </w:p>
        </w:tc>
        <w:tc>
          <w:tcPr>
            <w:tcW w:type="dxa" w:w="3600"/>
            <w:shd w:fill="FFFFFF"/>
            <w:tcMar>
              <w:top w:w="90" w:type="dxa"/>
              <w:bottom w:w="90" w:type="dxa"/>
              <w:left w:w="130" w:type="dxa"/>
              <w:right w:w="130" w:type="dxa"/>
            </w:tcMar>
          </w:tcPr>
          <w:p>
            <w:r>
              <w:rPr>
                <w:rFonts w:ascii="Arial" w:hAnsi="Arial"/>
                <w:color w:val="334155"/>
                <w:sz w:val="18"/>
              </w:rPr>
              <w:t>Interactive color-coded resource utilization heatmaps show daily/weekly work hours against predefined capacity limits, enabling one-click task re-leveling.</w:t>
            </w:r>
          </w:p>
        </w:tc>
      </w:tr>
      <w:tr>
        <w:tc>
          <w:tcPr>
            <w:tcW w:type="dxa" w:w="2880"/>
            <w:shd w:fill="F8FAFC"/>
            <w:tcMar>
              <w:top w:w="90" w:type="dxa"/>
              <w:bottom w:w="90" w:type="dxa"/>
              <w:left w:w="130" w:type="dxa"/>
              <w:right w:w="130" w:type="dxa"/>
            </w:tcMar>
          </w:tcPr>
          <w:p>
            <w:r>
              <w:rPr>
                <w:rFonts w:ascii="Arial" w:hAnsi="Arial"/>
                <w:color w:val="334155"/>
                <w:sz w:val="18"/>
              </w:rPr>
              <w:t>6. Live Stopwatch &amp; Mobile Time Tracking</w:t>
            </w:r>
          </w:p>
        </w:tc>
        <w:tc>
          <w:tcPr>
            <w:tcW w:type="dxa" w:w="3600"/>
            <w:shd w:fill="F8FAFC"/>
            <w:tcMar>
              <w:top w:w="90" w:type="dxa"/>
              <w:bottom w:w="90" w:type="dxa"/>
              <w:left w:w="130" w:type="dxa"/>
              <w:right w:w="130" w:type="dxa"/>
            </w:tcMar>
          </w:tcPr>
          <w:p>
            <w:r>
              <w:rPr>
                <w:rFonts w:ascii="Arial" w:hAnsi="Arial"/>
                <w:color w:val="334155"/>
                <w:sz w:val="18"/>
              </w:rPr>
              <w:t>Captures precise task execution hours directly from desktop browsers, mobile apps, or global timers.</w:t>
            </w:r>
          </w:p>
        </w:tc>
        <w:tc>
          <w:tcPr>
            <w:tcW w:type="dxa" w:w="3600"/>
            <w:shd w:fill="F8FAFC"/>
            <w:tcMar>
              <w:top w:w="90" w:type="dxa"/>
              <w:bottom w:w="90" w:type="dxa"/>
              <w:left w:w="130" w:type="dxa"/>
              <w:right w:w="130" w:type="dxa"/>
            </w:tcMar>
          </w:tcPr>
          <w:p>
            <w:r>
              <w:rPr>
                <w:rFonts w:ascii="Arial" w:hAnsi="Arial"/>
                <w:color w:val="334155"/>
                <w:sz w:val="18"/>
              </w:rPr>
              <w:t>In-app live multi-timer stopwatch, manual time entries with mandatory work notes, and background mobile tracking sync.</w:t>
            </w:r>
          </w:p>
        </w:tc>
      </w:tr>
      <w:tr>
        <w:tc>
          <w:tcPr>
            <w:tcW w:type="dxa" w:w="2880"/>
            <w:shd w:fill="FFFFFF"/>
            <w:tcMar>
              <w:top w:w="90" w:type="dxa"/>
              <w:bottom w:w="90" w:type="dxa"/>
              <w:left w:w="130" w:type="dxa"/>
              <w:right w:w="130" w:type="dxa"/>
            </w:tcMar>
          </w:tcPr>
          <w:p>
            <w:r>
              <w:rPr>
                <w:rFonts w:ascii="Arial" w:hAnsi="Arial"/>
                <w:color w:val="334155"/>
                <w:sz w:val="18"/>
              </w:rPr>
              <w:t>7. Multi-Tier Billing Rates Architecture</w:t>
            </w:r>
          </w:p>
        </w:tc>
        <w:tc>
          <w:tcPr>
            <w:tcW w:type="dxa" w:w="3600"/>
            <w:shd w:fill="FFFFFF"/>
            <w:tcMar>
              <w:top w:w="90" w:type="dxa"/>
              <w:bottom w:w="90" w:type="dxa"/>
              <w:left w:w="130" w:type="dxa"/>
              <w:right w:w="130" w:type="dxa"/>
            </w:tcMar>
          </w:tcPr>
          <w:p>
            <w:r>
              <w:rPr>
                <w:rFonts w:ascii="Arial" w:hAnsi="Arial"/>
                <w:color w:val="334155"/>
                <w:sz w:val="18"/>
              </w:rPr>
              <w:t>Enforces distinct financial costing and client billing models across different engagements.</w:t>
            </w:r>
          </w:p>
        </w:tc>
        <w:tc>
          <w:tcPr>
            <w:tcW w:type="dxa" w:w="3600"/>
            <w:shd w:fill="FFFFFF"/>
            <w:tcMar>
              <w:top w:w="90" w:type="dxa"/>
              <w:bottom w:w="90" w:type="dxa"/>
              <w:left w:w="130" w:type="dxa"/>
              <w:right w:w="130" w:type="dxa"/>
            </w:tcMar>
          </w:tcPr>
          <w:p>
            <w:r>
              <w:rPr>
                <w:rFonts w:ascii="Arial" w:hAnsi="Arial"/>
                <w:color w:val="334155"/>
                <w:sz w:val="18"/>
              </w:rPr>
              <w:t>Flexible configuration of Staff-Based, Role-Based, Project-Based, or Flat-Rate hourly billing rates with automated internal cost rate segregation.</w:t>
            </w:r>
          </w:p>
        </w:tc>
      </w:tr>
      <w:tr>
        <w:tc>
          <w:tcPr>
            <w:tcW w:type="dxa" w:w="2880"/>
            <w:shd w:fill="F8FAFC"/>
            <w:tcMar>
              <w:top w:w="90" w:type="dxa"/>
              <w:bottom w:w="90" w:type="dxa"/>
              <w:left w:w="130" w:type="dxa"/>
              <w:right w:w="130" w:type="dxa"/>
            </w:tcMar>
          </w:tcPr>
          <w:p>
            <w:r>
              <w:rPr>
                <w:rFonts w:ascii="Arial" w:hAnsi="Arial"/>
                <w:color w:val="334155"/>
                <w:sz w:val="18"/>
              </w:rPr>
              <w:t>8. Multi-Stage Timesheet Approval Workflows</w:t>
            </w:r>
          </w:p>
        </w:tc>
        <w:tc>
          <w:tcPr>
            <w:tcW w:type="dxa" w:w="3600"/>
            <w:shd w:fill="F8FAFC"/>
            <w:tcMar>
              <w:top w:w="90" w:type="dxa"/>
              <w:bottom w:w="90" w:type="dxa"/>
              <w:left w:w="130" w:type="dxa"/>
              <w:right w:w="130" w:type="dxa"/>
            </w:tcMar>
          </w:tcPr>
          <w:p>
            <w:r>
              <w:rPr>
                <w:rFonts w:ascii="Arial" w:hAnsi="Arial"/>
                <w:color w:val="334155"/>
                <w:sz w:val="18"/>
              </w:rPr>
              <w:t>Ensures strict managerial and financial governance before hours are finalized for client billing or payroll.</w:t>
            </w:r>
          </w:p>
        </w:tc>
        <w:tc>
          <w:tcPr>
            <w:tcW w:type="dxa" w:w="3600"/>
            <w:shd w:fill="F8FAFC"/>
            <w:tcMar>
              <w:top w:w="90" w:type="dxa"/>
              <w:bottom w:w="90" w:type="dxa"/>
              <w:left w:w="130" w:type="dxa"/>
              <w:right w:w="130" w:type="dxa"/>
            </w:tcMar>
          </w:tcPr>
          <w:p>
            <w:r>
              <w:rPr>
                <w:rFonts w:ascii="Arial" w:hAnsi="Arial"/>
                <w:color w:val="334155"/>
                <w:sz w:val="18"/>
              </w:rPr>
              <w:t>Configurable multi-tier approval chains (Project Manager → Department Head → Finance Controller) with automated weekly lock periods preventing retrospective tampering.</w:t>
            </w:r>
          </w:p>
        </w:tc>
      </w:tr>
      <w:tr>
        <w:tc>
          <w:tcPr>
            <w:tcW w:type="dxa" w:w="2880"/>
            <w:shd w:fill="FFFFFF"/>
            <w:tcMar>
              <w:top w:w="90" w:type="dxa"/>
              <w:bottom w:w="90" w:type="dxa"/>
              <w:left w:w="130" w:type="dxa"/>
              <w:right w:w="130" w:type="dxa"/>
            </w:tcMar>
          </w:tcPr>
          <w:p>
            <w:r>
              <w:rPr>
                <w:rFonts w:ascii="Arial" w:hAnsi="Arial"/>
                <w:color w:val="334155"/>
                <w:sz w:val="18"/>
              </w:rPr>
              <w:t>9. Stage-Gate Blueprints (State Machine Governance)</w:t>
            </w:r>
          </w:p>
        </w:tc>
        <w:tc>
          <w:tcPr>
            <w:tcW w:type="dxa" w:w="3600"/>
            <w:shd w:fill="FFFFFF"/>
            <w:tcMar>
              <w:top w:w="90" w:type="dxa"/>
              <w:bottom w:w="90" w:type="dxa"/>
              <w:left w:w="130" w:type="dxa"/>
              <w:right w:w="130" w:type="dxa"/>
            </w:tcMar>
          </w:tcPr>
          <w:p>
            <w:r>
              <w:rPr>
                <w:rFonts w:ascii="Arial" w:hAnsi="Arial"/>
                <w:color w:val="334155"/>
                <w:sz w:val="18"/>
              </w:rPr>
              <w:t>Standardizes standard operating procedures and prevents premature task status progressions.</w:t>
            </w:r>
          </w:p>
        </w:tc>
        <w:tc>
          <w:tcPr>
            <w:tcW w:type="dxa" w:w="3600"/>
            <w:shd w:fill="FFFFFF"/>
            <w:tcMar>
              <w:top w:w="90" w:type="dxa"/>
              <w:bottom w:w="90" w:type="dxa"/>
              <w:left w:w="130" w:type="dxa"/>
              <w:right w:w="130" w:type="dxa"/>
            </w:tcMar>
          </w:tcPr>
          <w:p>
            <w:r>
              <w:rPr>
                <w:rFonts w:ascii="Arial" w:hAnsi="Arial"/>
                <w:color w:val="334155"/>
                <w:sz w:val="18"/>
              </w:rPr>
              <w:t>Visual state machine workflows enforce mandatory checklist completions, file attachments, and authorized digital approvals before transitioning tasks between stages.</w:t>
            </w:r>
          </w:p>
        </w:tc>
      </w:tr>
      <w:tr>
        <w:tc>
          <w:tcPr>
            <w:tcW w:type="dxa" w:w="2880"/>
            <w:shd w:fill="F8FAFC"/>
            <w:tcMar>
              <w:top w:w="90" w:type="dxa"/>
              <w:bottom w:w="90" w:type="dxa"/>
              <w:left w:w="130" w:type="dxa"/>
              <w:right w:w="130" w:type="dxa"/>
            </w:tcMar>
          </w:tcPr>
          <w:p>
            <w:r>
              <w:rPr>
                <w:rFonts w:ascii="Arial" w:hAnsi="Arial"/>
                <w:color w:val="334155"/>
                <w:sz w:val="18"/>
              </w:rPr>
              <w:t>10. Enterprise Project Budgeting &amp; EVM Financial Flow</w:t>
            </w:r>
          </w:p>
        </w:tc>
        <w:tc>
          <w:tcPr>
            <w:tcW w:type="dxa" w:w="3600"/>
            <w:shd w:fill="F8FAFC"/>
            <w:tcMar>
              <w:top w:w="90" w:type="dxa"/>
              <w:bottom w:w="90" w:type="dxa"/>
              <w:left w:w="130" w:type="dxa"/>
              <w:right w:w="130" w:type="dxa"/>
            </w:tcMar>
          </w:tcPr>
          <w:p>
            <w:r>
              <w:rPr>
                <w:rFonts w:ascii="Arial" w:hAnsi="Arial"/>
                <w:color w:val="334155"/>
                <w:sz w:val="18"/>
              </w:rPr>
              <w:t>Monitors real-time financial health, cost burn, and contractual profitability caps across projects.</w:t>
            </w:r>
          </w:p>
        </w:tc>
        <w:tc>
          <w:tcPr>
            <w:tcW w:type="dxa" w:w="3600"/>
            <w:shd w:fill="F8FAFC"/>
            <w:tcMar>
              <w:top w:w="90" w:type="dxa"/>
              <w:bottom w:w="90" w:type="dxa"/>
              <w:left w:w="130" w:type="dxa"/>
              <w:right w:w="130" w:type="dxa"/>
            </w:tcMar>
          </w:tcPr>
          <w:p>
            <w:r>
              <w:rPr>
                <w:rFonts w:ascii="Arial" w:hAnsi="Arial"/>
                <w:color w:val="334155"/>
                <w:sz w:val="18"/>
              </w:rPr>
              <w:t>Hierarchical budgeting (by amount or hours) with Earned Value Management metrics (PV, EV, AC, CPI, SPI) and automated Deluge hard-stop locks freezing work logging upon budget breach.</w:t>
            </w:r>
          </w:p>
        </w:tc>
      </w:tr>
      <w:tr>
        <w:tc>
          <w:tcPr>
            <w:tcW w:type="dxa" w:w="2880"/>
            <w:shd w:fill="FFFFFF"/>
            <w:tcMar>
              <w:top w:w="90" w:type="dxa"/>
              <w:bottom w:w="90" w:type="dxa"/>
              <w:left w:w="130" w:type="dxa"/>
              <w:right w:w="130" w:type="dxa"/>
            </w:tcMar>
          </w:tcPr>
          <w:p>
            <w:r>
              <w:rPr>
                <w:rFonts w:ascii="Arial" w:hAnsi="Arial"/>
                <w:color w:val="334155"/>
                <w:sz w:val="18"/>
              </w:rPr>
              <w:t>11. Branded Client Collaboration Portals</w:t>
            </w:r>
          </w:p>
        </w:tc>
        <w:tc>
          <w:tcPr>
            <w:tcW w:type="dxa" w:w="3600"/>
            <w:shd w:fill="FFFFFF"/>
            <w:tcMar>
              <w:top w:w="90" w:type="dxa"/>
              <w:bottom w:w="90" w:type="dxa"/>
              <w:left w:w="130" w:type="dxa"/>
              <w:right w:w="130" w:type="dxa"/>
            </w:tcMar>
          </w:tcPr>
          <w:p>
            <w:r>
              <w:rPr>
                <w:rFonts w:ascii="Arial" w:hAnsi="Arial"/>
                <w:color w:val="334155"/>
                <w:sz w:val="18"/>
              </w:rPr>
              <w:t>Delivers transparent client visibility without compromising internal team discussions or subcontractor data.</w:t>
            </w:r>
          </w:p>
        </w:tc>
        <w:tc>
          <w:tcPr>
            <w:tcW w:type="dxa" w:w="3600"/>
            <w:shd w:fill="FFFFFF"/>
            <w:tcMar>
              <w:top w:w="90" w:type="dxa"/>
              <w:bottom w:w="90" w:type="dxa"/>
              <w:left w:w="130" w:type="dxa"/>
              <w:right w:w="130" w:type="dxa"/>
            </w:tcMar>
          </w:tcPr>
          <w:p>
            <w:r>
              <w:rPr>
                <w:rFonts w:ascii="Arial" w:hAnsi="Arial"/>
                <w:color w:val="334155"/>
                <w:sz w:val="18"/>
              </w:rPr>
              <w:t>Role-based client portal with custom domain mapping, restricted view permissions (milestones and client tasks only), and interactive deliverable review sign-offs.</w:t>
            </w:r>
          </w:p>
        </w:tc>
      </w:tr>
      <w:tr>
        <w:tc>
          <w:tcPr>
            <w:tcW w:type="dxa" w:w="2880"/>
            <w:shd w:fill="F8FAFC"/>
            <w:tcMar>
              <w:top w:w="90" w:type="dxa"/>
              <w:bottom w:w="90" w:type="dxa"/>
              <w:left w:w="130" w:type="dxa"/>
              <w:right w:w="130" w:type="dxa"/>
            </w:tcMar>
          </w:tcPr>
          <w:p>
            <w:r>
              <w:rPr>
                <w:rFonts w:ascii="Arial" w:hAnsi="Arial"/>
                <w:color w:val="334155"/>
                <w:sz w:val="18"/>
              </w:rPr>
              <w:t>12. Subcontractor &amp; Vendor Sandboxed Access</w:t>
            </w:r>
          </w:p>
        </w:tc>
        <w:tc>
          <w:tcPr>
            <w:tcW w:type="dxa" w:w="3600"/>
            <w:shd w:fill="F8FAFC"/>
            <w:tcMar>
              <w:top w:w="90" w:type="dxa"/>
              <w:bottom w:w="90" w:type="dxa"/>
              <w:left w:w="130" w:type="dxa"/>
              <w:right w:w="130" w:type="dxa"/>
            </w:tcMar>
          </w:tcPr>
          <w:p>
            <w:r>
              <w:rPr>
                <w:rFonts w:ascii="Arial" w:hAnsi="Arial"/>
                <w:color w:val="334155"/>
                <w:sz w:val="18"/>
              </w:rPr>
              <w:t>Enables external freelance specialists and vendor crews to log progress and time within strict security boundaries.</w:t>
            </w:r>
          </w:p>
        </w:tc>
        <w:tc>
          <w:tcPr>
            <w:tcW w:type="dxa" w:w="3600"/>
            <w:shd w:fill="F8FAFC"/>
            <w:tcMar>
              <w:top w:w="90" w:type="dxa"/>
              <w:bottom w:w="90" w:type="dxa"/>
              <w:left w:w="130" w:type="dxa"/>
              <w:right w:w="130" w:type="dxa"/>
            </w:tcMar>
          </w:tcPr>
          <w:p>
            <w:r>
              <w:rPr>
                <w:rFonts w:ascii="Arial" w:hAnsi="Arial"/>
                <w:color w:val="334155"/>
                <w:sz w:val="18"/>
              </w:rPr>
              <w:t>Sandboxed external user roles restricted exclusively to assigned tasks with zero access to overall commercial terms, billing rates, or client communications.</w:t>
            </w:r>
          </w:p>
        </w:tc>
      </w:tr>
      <w:tr>
        <w:tc>
          <w:tcPr>
            <w:tcW w:type="dxa" w:w="2880"/>
            <w:shd w:fill="FFFFFF"/>
            <w:tcMar>
              <w:top w:w="90" w:type="dxa"/>
              <w:bottom w:w="90" w:type="dxa"/>
              <w:left w:w="130" w:type="dxa"/>
              <w:right w:w="130" w:type="dxa"/>
            </w:tcMar>
          </w:tcPr>
          <w:p>
            <w:r>
              <w:rPr>
                <w:rFonts w:ascii="Arial" w:hAnsi="Arial"/>
                <w:color w:val="334155"/>
                <w:sz w:val="18"/>
              </w:rPr>
              <w:t>13. Enterprise Issue &amp; Bug Tracking Governance</w:t>
            </w:r>
          </w:p>
        </w:tc>
        <w:tc>
          <w:tcPr>
            <w:tcW w:type="dxa" w:w="3600"/>
            <w:shd w:fill="FFFFFF"/>
            <w:tcMar>
              <w:top w:w="90" w:type="dxa"/>
              <w:bottom w:w="90" w:type="dxa"/>
              <w:left w:w="130" w:type="dxa"/>
              <w:right w:w="130" w:type="dxa"/>
            </w:tcMar>
          </w:tcPr>
          <w:p>
            <w:r>
              <w:rPr>
                <w:rFonts w:ascii="Arial" w:hAnsi="Arial"/>
                <w:color w:val="334155"/>
                <w:sz w:val="18"/>
              </w:rPr>
              <w:t>Captures, prioritizes, and resolves project defects, RFIs, and operational issues under strict contractual SLAs.</w:t>
            </w:r>
          </w:p>
        </w:tc>
        <w:tc>
          <w:tcPr>
            <w:tcW w:type="dxa" w:w="3600"/>
            <w:shd w:fill="FFFFFF"/>
            <w:tcMar>
              <w:top w:w="90" w:type="dxa"/>
              <w:bottom w:w="90" w:type="dxa"/>
              <w:left w:w="130" w:type="dxa"/>
              <w:right w:w="130" w:type="dxa"/>
            </w:tcMar>
          </w:tcPr>
          <w:p>
            <w:r>
              <w:rPr>
                <w:rFonts w:ascii="Arial" w:hAnsi="Arial"/>
                <w:color w:val="334155"/>
                <w:sz w:val="18"/>
              </w:rPr>
              <w:t>Dedicated issue tracking module with custom severity matrices, email-to-issue parsing, automated business rules for technician assignment, and SLA escalation alerts.</w:t>
            </w:r>
          </w:p>
        </w:tc>
      </w:tr>
      <w:tr>
        <w:tc>
          <w:tcPr>
            <w:tcW w:type="dxa" w:w="2880"/>
            <w:shd w:fill="F8FAFC"/>
            <w:tcMar>
              <w:top w:w="90" w:type="dxa"/>
              <w:bottom w:w="90" w:type="dxa"/>
              <w:left w:w="130" w:type="dxa"/>
              <w:right w:w="130" w:type="dxa"/>
            </w:tcMar>
          </w:tcPr>
          <w:p>
            <w:r>
              <w:rPr>
                <w:rFonts w:ascii="Arial" w:hAnsi="Arial"/>
                <w:color w:val="334155"/>
                <w:sz w:val="18"/>
              </w:rPr>
              <w:t>14. Custom Modules Architecture (Change Requests &amp; RFIs)</w:t>
            </w:r>
          </w:p>
        </w:tc>
        <w:tc>
          <w:tcPr>
            <w:tcW w:type="dxa" w:w="3600"/>
            <w:shd w:fill="F8FAFC"/>
            <w:tcMar>
              <w:top w:w="90" w:type="dxa"/>
              <w:bottom w:w="90" w:type="dxa"/>
              <w:left w:w="130" w:type="dxa"/>
              <w:right w:w="130" w:type="dxa"/>
            </w:tcMar>
          </w:tcPr>
          <w:p>
            <w:r>
              <w:rPr>
                <w:rFonts w:ascii="Arial" w:hAnsi="Arial"/>
                <w:color w:val="334155"/>
                <w:sz w:val="18"/>
              </w:rPr>
              <w:t>Extends Zoho Projects beyond standard tasks to manage industry-specific project governance entities.</w:t>
            </w:r>
          </w:p>
        </w:tc>
        <w:tc>
          <w:tcPr>
            <w:tcW w:type="dxa" w:w="3600"/>
            <w:shd w:fill="F8FAFC"/>
            <w:tcMar>
              <w:top w:w="90" w:type="dxa"/>
              <w:bottom w:w="90" w:type="dxa"/>
              <w:left w:w="130" w:type="dxa"/>
              <w:right w:w="130" w:type="dxa"/>
            </w:tcMar>
          </w:tcPr>
          <w:p>
            <w:r>
              <w:rPr>
                <w:rFonts w:ascii="Arial" w:hAnsi="Arial"/>
                <w:color w:val="334155"/>
                <w:sz w:val="18"/>
              </w:rPr>
              <w:t>Custom data tables with dedicated layouts, custom status pipelines, and relational linkages to projects, milestones, and external contracts.</w:t>
            </w:r>
          </w:p>
        </w:tc>
      </w:tr>
      <w:tr>
        <w:tc>
          <w:tcPr>
            <w:tcW w:type="dxa" w:w="2880"/>
            <w:shd w:fill="FFFFFF"/>
            <w:tcMar>
              <w:top w:w="90" w:type="dxa"/>
              <w:bottom w:w="90" w:type="dxa"/>
              <w:left w:w="130" w:type="dxa"/>
              <w:right w:w="130" w:type="dxa"/>
            </w:tcMar>
          </w:tcPr>
          <w:p>
            <w:r>
              <w:rPr>
                <w:rFonts w:ascii="Arial" w:hAnsi="Arial"/>
                <w:color w:val="334155"/>
                <w:sz w:val="18"/>
              </w:rPr>
              <w:t>15. Pages (Wiki), Document Management &amp; Versioning</w:t>
            </w:r>
          </w:p>
        </w:tc>
        <w:tc>
          <w:tcPr>
            <w:tcW w:type="dxa" w:w="3600"/>
            <w:shd w:fill="FFFFFF"/>
            <w:tcMar>
              <w:top w:w="90" w:type="dxa"/>
              <w:bottom w:w="90" w:type="dxa"/>
              <w:left w:w="130" w:type="dxa"/>
              <w:right w:w="130" w:type="dxa"/>
            </w:tcMar>
          </w:tcPr>
          <w:p>
            <w:r>
              <w:rPr>
                <w:rFonts w:ascii="Arial" w:hAnsi="Arial"/>
                <w:color w:val="334155"/>
                <w:sz w:val="18"/>
              </w:rPr>
              <w:t>Centralizes project knowledge bases, technical specifications, and deliverable documentation.</w:t>
            </w:r>
          </w:p>
        </w:tc>
        <w:tc>
          <w:tcPr>
            <w:tcW w:type="dxa" w:w="3600"/>
            <w:shd w:fill="FFFFFF"/>
            <w:tcMar>
              <w:top w:w="90" w:type="dxa"/>
              <w:bottom w:w="90" w:type="dxa"/>
              <w:left w:w="130" w:type="dxa"/>
              <w:right w:w="130" w:type="dxa"/>
            </w:tcMar>
          </w:tcPr>
          <w:p>
            <w:r>
              <w:rPr>
                <w:rFonts w:ascii="Arial" w:hAnsi="Arial"/>
                <w:color w:val="334155"/>
                <w:sz w:val="18"/>
              </w:rPr>
              <w:t>Interactive collaborative Wiki pages, structured folder hierarchies, document version control, and multi-file review comment threads.</w:t>
            </w:r>
          </w:p>
        </w:tc>
      </w:tr>
      <w:tr>
        <w:tc>
          <w:tcPr>
            <w:tcW w:type="dxa" w:w="2880"/>
            <w:shd w:fill="F8FAFC"/>
            <w:tcMar>
              <w:top w:w="90" w:type="dxa"/>
              <w:bottom w:w="90" w:type="dxa"/>
              <w:left w:w="130" w:type="dxa"/>
              <w:right w:w="130" w:type="dxa"/>
            </w:tcMar>
          </w:tcPr>
          <w:p>
            <w:r>
              <w:rPr>
                <w:rFonts w:ascii="Arial" w:hAnsi="Arial"/>
                <w:color w:val="334155"/>
                <w:sz w:val="18"/>
              </w:rPr>
              <w:t>16. Zoho Books &amp; Zoho CRM Ecosystem Interconnect</w:t>
            </w:r>
          </w:p>
        </w:tc>
        <w:tc>
          <w:tcPr>
            <w:tcW w:type="dxa" w:w="3600"/>
            <w:shd w:fill="F8FAFC"/>
            <w:tcMar>
              <w:top w:w="90" w:type="dxa"/>
              <w:bottom w:w="90" w:type="dxa"/>
              <w:left w:w="130" w:type="dxa"/>
              <w:right w:w="130" w:type="dxa"/>
            </w:tcMar>
          </w:tcPr>
          <w:p>
            <w:r>
              <w:rPr>
                <w:rFonts w:ascii="Arial" w:hAnsi="Arial"/>
                <w:color w:val="334155"/>
                <w:sz w:val="18"/>
              </w:rPr>
              <w:t>Bridges sales pipeline handoff and back-office billing into a continuous automated workflow.</w:t>
            </w:r>
          </w:p>
        </w:tc>
        <w:tc>
          <w:tcPr>
            <w:tcW w:type="dxa" w:w="3600"/>
            <w:shd w:fill="F8FAFC"/>
            <w:tcMar>
              <w:top w:w="90" w:type="dxa"/>
              <w:bottom w:w="90" w:type="dxa"/>
              <w:left w:w="130" w:type="dxa"/>
              <w:right w:w="130" w:type="dxa"/>
            </w:tcMar>
          </w:tcPr>
          <w:p>
            <w:r>
              <w:rPr>
                <w:rFonts w:ascii="Arial" w:hAnsi="Arial"/>
                <w:color w:val="334155"/>
                <w:sz w:val="18"/>
              </w:rPr>
              <w:t>Deal Won trigger in Zoho CRM auto-creates projects with pre-mapped milestones; approved timesheets push to Zoho Books for 1-click customer invoicing.</w:t>
            </w:r>
          </w:p>
        </w:tc>
      </w:tr>
      <w:tr>
        <w:tc>
          <w:tcPr>
            <w:tcW w:type="dxa" w:w="2880"/>
            <w:shd w:fill="FFFFFF"/>
            <w:tcMar>
              <w:top w:w="90" w:type="dxa"/>
              <w:bottom w:w="90" w:type="dxa"/>
              <w:left w:w="130" w:type="dxa"/>
              <w:right w:w="130" w:type="dxa"/>
            </w:tcMar>
          </w:tcPr>
          <w:p>
            <w:r>
              <w:rPr>
                <w:rFonts w:ascii="Arial" w:hAnsi="Arial"/>
                <w:color w:val="334155"/>
                <w:sz w:val="18"/>
              </w:rPr>
              <w:t>17. Custom Deluge Scripting &amp; Workflow Automations</w:t>
            </w:r>
          </w:p>
        </w:tc>
        <w:tc>
          <w:tcPr>
            <w:tcW w:type="dxa" w:w="3600"/>
            <w:shd w:fill="FFFFFF"/>
            <w:tcMar>
              <w:top w:w="90" w:type="dxa"/>
              <w:bottom w:w="90" w:type="dxa"/>
              <w:left w:w="130" w:type="dxa"/>
              <w:right w:w="130" w:type="dxa"/>
            </w:tcMar>
          </w:tcPr>
          <w:p>
            <w:r>
              <w:rPr>
                <w:rFonts w:ascii="Arial" w:hAnsi="Arial"/>
                <w:color w:val="334155"/>
                <w:sz w:val="18"/>
              </w:rPr>
              <w:t>Automates complex custom business logic, dynamic deadline rollups, and cross-platform notifications.</w:t>
            </w:r>
          </w:p>
        </w:tc>
        <w:tc>
          <w:tcPr>
            <w:tcW w:type="dxa" w:w="3600"/>
            <w:shd w:fill="FFFFFF"/>
            <w:tcMar>
              <w:top w:w="90" w:type="dxa"/>
              <w:bottom w:w="90" w:type="dxa"/>
              <w:left w:w="130" w:type="dxa"/>
              <w:right w:w="130" w:type="dxa"/>
            </w:tcMar>
          </w:tcPr>
          <w:p>
            <w:r>
              <w:rPr>
                <w:rFonts w:ascii="Arial" w:hAnsi="Arial"/>
                <w:color w:val="334155"/>
                <w:sz w:val="18"/>
              </w:rPr>
              <w:t>Serverless Deluge scripts execute upon database events to recalculate parent task deadlines, send portfolio Slack/Cliq digests, and validate contractual rules.</w:t>
            </w:r>
          </w:p>
        </w:tc>
      </w:tr>
      <w:tr>
        <w:tc>
          <w:tcPr>
            <w:tcW w:type="dxa" w:w="2880"/>
            <w:shd w:fill="F8FAFC"/>
            <w:tcMar>
              <w:top w:w="90" w:type="dxa"/>
              <w:bottom w:w="90" w:type="dxa"/>
              <w:left w:w="130" w:type="dxa"/>
              <w:right w:w="130" w:type="dxa"/>
            </w:tcMar>
          </w:tcPr>
          <w:p>
            <w:r>
              <w:rPr>
                <w:rFonts w:ascii="Arial" w:hAnsi="Arial"/>
                <w:color w:val="334155"/>
                <w:sz w:val="18"/>
              </w:rPr>
              <w:t>18. Zoho Analytics Executive BI &amp; Portfolio Dashboards</w:t>
            </w:r>
          </w:p>
        </w:tc>
        <w:tc>
          <w:tcPr>
            <w:tcW w:type="dxa" w:w="3600"/>
            <w:shd w:fill="F8FAFC"/>
            <w:tcMar>
              <w:top w:w="90" w:type="dxa"/>
              <w:bottom w:w="90" w:type="dxa"/>
              <w:left w:w="130" w:type="dxa"/>
              <w:right w:w="130" w:type="dxa"/>
            </w:tcMar>
          </w:tcPr>
          <w:p>
            <w:r>
              <w:rPr>
                <w:rFonts w:ascii="Arial" w:hAnsi="Arial"/>
                <w:color w:val="334155"/>
                <w:sz w:val="18"/>
              </w:rPr>
              <w:t>Provides C-suite leadership with deep cross-project portfolio intelligence and margin forecasting.</w:t>
            </w:r>
          </w:p>
        </w:tc>
        <w:tc>
          <w:tcPr>
            <w:tcW w:type="dxa" w:w="3600"/>
            <w:shd w:fill="F8FAFC"/>
            <w:tcMar>
              <w:top w:w="90" w:type="dxa"/>
              <w:bottom w:w="90" w:type="dxa"/>
              <w:left w:w="130" w:type="dxa"/>
              <w:right w:w="130" w:type="dxa"/>
            </w:tcMar>
          </w:tcPr>
          <w:p>
            <w:r>
              <w:rPr>
                <w:rFonts w:ascii="Arial" w:hAnsi="Arial"/>
                <w:color w:val="334155"/>
                <w:sz w:val="18"/>
              </w:rPr>
              <w:t>Automated data sync feeds multi-project relational data into Zoho Analytics for executive dashboards, profitability heatmaps, and scheduled KPI digests.</w:t>
            </w:r>
          </w:p>
        </w:tc>
      </w:tr>
    </w:tbl>
    <w:p>
      <w:pPr>
        <w:spacing w:before="120"/>
      </w:pPr>
    </w:p>
    <w:p>
      <w:pPr>
        <w:pStyle w:val="Heading1"/>
        <w:keepNext/>
        <w:spacing w:before="320" w:after="120"/>
      </w:pPr>
      <w:r>
        <w:rPr>
          <w:rFonts w:ascii="Arial" w:hAnsi="Arial"/>
          <w:b/>
          <w:color w:val="236EB4"/>
          <w:sz w:val="34"/>
        </w:rPr>
        <w:t>Section 07: Implementation Methodology &amp; Roadmap</w:t>
      </w:r>
    </w:p>
    <w:p>
      <w:r>
        <w:rPr>
          <w:b/>
          <w:color w:val="236EB4"/>
        </w:rPr>
        <w:t>Eyebrow Badge: CONSULTING &amp; IMPLEMENTATION RIGOR</w:t>
        <w:br/>
      </w:r>
      <w:r>
        <w:rPr>
          <w:b/>
          <w:color w:val="1E293B"/>
          <w:sz w:val="24"/>
        </w:rPr>
        <w:t>H2 Headline: Why Elite Tech Corp + Zoho Projects</w:t>
        <w:br/>
      </w:r>
      <w:r>
        <w:rPr>
          <w:sz w:val="19"/>
        </w:rPr>
        <w:t>Core Philosophical Stance:</w:t>
        <w:br/>
        <w:t>We do not simply switch Zoho Projects on. We architect your Work Breakdown Structures, stage-gate Blueprints, and financial costing models to mirror how your organization actually delivers—then validate every workflow through live scenario simulations before cutover.</w:t>
        <w:br/>
        <w:br/>
        <w:t>10-Step Implementation Roadmap Across 4 Phases:</w:t>
        <w:br/>
        <w:br/>
        <w:t>Phase 1: Discover (Steps 01 – 02)</w:t>
        <w:br/>
        <w:t>• Step 01: Project Delivery &amp; PMO Audit — Deep-dive audit of current task tracking methods, milestone governance, timesheet approvals, client billing cycles, and operational bottlenecks across departments.</w:t>
        <w:br/>
        <w:t>• Step 02: WBS, Templates &amp; Governance Study — Formal mapping of standardized deliverable hierarchies, rate cards, role authorization matrices, stage-gate sign-offs, and reporting requirements.</w:t>
        <w:br/>
        <w:br/>
        <w:t>Phase 2: Build (Steps 03 – 06)</w:t>
        <w:br/>
        <w:t>• Step 03: Workspace Architecture, Custom Fields &amp; Layouts — Setup of organizational portal profiles, corporate calendars, custom fields, dynamic layout visibility rules, custom web tabs, and role-based permissions.</w:t>
        <w:br/>
        <w:t>• Step 04: Milestone &amp; Task Blueprints (Process Governance) — Visual state machine Blueprints enforcing mandatory checklists, document attachments, and authorized digital approvals before task stage transitions.</w:t>
        <w:br/>
        <w:t>• Step 05: Gantt Scheduling, CPM Engine &amp; Resource Pools — Configuration of interactive Gantt charts with FS/SS/FF/SF dependencies, Critical Path calculation, baseline engines, and resource capacity limits.</w:t>
        <w:br/>
        <w:t>• Step 06: Timesheets, Billing Rates &amp; Ecosystem Integrations — Setup of multi-tier billing rates (Staff/Role/Project), approval chains, direct Zoho Books timesheet-to-invoice sync, Zoho CRM Deal triggers, and Office 365/Google Workspace setup.</w:t>
        <w:br/>
        <w:br/>
        <w:t>Phase 3: Prove (Steps 07 – 08)</w:t>
        <w:br/>
        <w:t>• Step 07: Role-Based PMO &amp; Team Training Sprints — Tailored interactive training academies for Project Managers, Resource Planners, Engineers, and Finance/Billing administrators with recorded video SOPs.</w:t>
        <w:br/>
        <w:t>• Step 08: 25+ Scenario End-to-End UAT Simulation — Rigorous end-to-end simulation covering scope changes, critical path baseline shifts, subcontractor time entries, and client billing runs using real enterprise project data.</w:t>
        <w:br/>
        <w:br/>
        <w:t>Phase 4: Run (Steps 09 – 10)</w:t>
        <w:br/>
        <w:t>• Step 09: Production Cutover &amp; Live Project Launch — Formal cutover, master template instantiation, live project provisioning, and on-site/virtual command center go-live support.</w:t>
        <w:br/>
        <w:t>• Step 10: 30 to 45-Day Dedicated Post Go-Live Hypercare — Dedicated Senior Solution Architect on-call through two full monthly billing runs, project milestone closings, and PMO optimization reviews.</w:t>
      </w:r>
    </w:p>
    <w:p>
      <w:pPr>
        <w:pStyle w:val="Heading1"/>
        <w:keepNext/>
        <w:spacing w:before="320" w:after="120"/>
      </w:pPr>
      <w:r>
        <w:rPr>
          <w:rFonts w:ascii="Arial" w:hAnsi="Arial"/>
          <w:b/>
          <w:color w:val="236EB4"/>
          <w:sz w:val="34"/>
        </w:rPr>
        <w:t>Section 08: Everyday Automation Scenarios</w:t>
      </w:r>
    </w:p>
    <w:p>
      <w:r>
        <w:rPr>
          <w:b/>
          <w:color w:val="236EB4"/>
        </w:rPr>
        <w:t>Eyebrow Badge: REAL-WORLD OPERATIONAL SCENARIOS</w:t>
        <w:br/>
      </w:r>
      <w:r>
        <w:rPr>
          <w:b/>
          <w:color w:val="1E293B"/>
          <w:sz w:val="24"/>
        </w:rPr>
        <w:t>H2 Headline: What Can You Automate With Zoho Projects</w:t>
        <w:br/>
      </w:r>
      <w:r>
        <w:rPr>
          <w:sz w:val="19"/>
        </w:rPr>
        <w:t>Subheadline Copy: Twelve everyday project delivery journeys, each replaced end-to-end by an automated, governed workflow instead of manual spreadsheets and fragmented follow-ups.</w:t>
        <w:br/>
      </w:r>
    </w:p>
    <w:tbl>
      <w:tblPr>
        <w:tblW w:type="auto" w:w="0"/>
        <w:jc w:val="center"/>
        <w:tblLook w:firstColumn="1" w:firstRow="1" w:lastColumn="0" w:lastRow="0" w:noHBand="0" w:noVBand="1" w:val="04A0"/>
      </w:tblPr>
      <w:tblGrid>
        <w:gridCol w:w="3360"/>
        <w:gridCol w:w="3360"/>
        <w:gridCol w:w="3360"/>
      </w:tblGrid>
      <w:tr>
        <w:tc>
          <w:tcPr>
            <w:tcW w:type="dxa" w:w="2592"/>
            <w:shd w:fill="236EB4"/>
            <w:tcMar>
              <w:top w:w="110" w:type="dxa"/>
              <w:bottom w:w="110" w:type="dxa"/>
              <w:left w:w="130" w:type="dxa"/>
              <w:right w:w="130" w:type="dxa"/>
            </w:tcMar>
          </w:tcPr>
          <w:p>
            <w:pPr>
              <w:jc w:val="left"/>
            </w:pPr>
            <w:r>
              <w:rPr>
                <w:rFonts w:ascii="Arial" w:hAnsi="Arial"/>
                <w:b/>
                <w:color w:val="FFFFFF"/>
                <w:sz w:val="19"/>
              </w:rPr>
              <w:t>Operational Scenario</w:t>
            </w:r>
          </w:p>
        </w:tc>
        <w:tc>
          <w:tcPr>
            <w:tcW w:type="dxa" w:w="3600"/>
            <w:shd w:fill="236EB4"/>
            <w:tcMar>
              <w:top w:w="110" w:type="dxa"/>
              <w:bottom w:w="110" w:type="dxa"/>
              <w:left w:w="130" w:type="dxa"/>
              <w:right w:w="130" w:type="dxa"/>
            </w:tcMar>
          </w:tcPr>
          <w:p>
            <w:pPr>
              <w:jc w:val="left"/>
            </w:pPr>
            <w:r>
              <w:rPr>
                <w:rFonts w:ascii="Arial" w:hAnsi="Arial"/>
                <w:b/>
                <w:color w:val="FFFFFF"/>
                <w:sz w:val="19"/>
              </w:rPr>
              <w:t>Context &amp; Impact</w:t>
            </w:r>
          </w:p>
        </w:tc>
        <w:tc>
          <w:tcPr>
            <w:tcW w:type="dxa" w:w="3888"/>
            <w:shd w:fill="236EB4"/>
            <w:tcMar>
              <w:top w:w="110" w:type="dxa"/>
              <w:bottom w:w="110" w:type="dxa"/>
              <w:left w:w="130" w:type="dxa"/>
              <w:right w:w="130" w:type="dxa"/>
            </w:tcMar>
          </w:tcPr>
          <w:p>
            <w:pPr>
              <w:jc w:val="left"/>
            </w:pPr>
            <w:r>
              <w:rPr>
                <w:rFonts w:ascii="Arial" w:hAnsi="Arial"/>
                <w:b/>
                <w:color w:val="FFFFFF"/>
                <w:sz w:val="19"/>
              </w:rPr>
              <w:t>4-Step Automation Flow</w:t>
            </w:r>
          </w:p>
        </w:tc>
      </w:tr>
      <w:tr>
        <w:tc>
          <w:tcPr>
            <w:tcW w:type="dxa" w:w="2592"/>
            <w:shd w:fill="FFFFFF"/>
            <w:tcMar>
              <w:top w:w="90" w:type="dxa"/>
              <w:bottom w:w="90" w:type="dxa"/>
              <w:left w:w="130" w:type="dxa"/>
              <w:right w:w="130" w:type="dxa"/>
            </w:tcMar>
          </w:tcPr>
          <w:p>
            <w:r>
              <w:rPr>
                <w:rFonts w:ascii="Arial" w:hAnsi="Arial"/>
                <w:color w:val="334155"/>
                <w:sz w:val="18"/>
              </w:rPr>
              <w:t>Scenario 01: Deal-to-Project Auto-Provisioning</w:t>
            </w:r>
          </w:p>
        </w:tc>
        <w:tc>
          <w:tcPr>
            <w:tcW w:type="dxa" w:w="3600"/>
            <w:shd w:fill="FFFFFF"/>
            <w:tcMar>
              <w:top w:w="90" w:type="dxa"/>
              <w:bottom w:w="90" w:type="dxa"/>
              <w:left w:w="130" w:type="dxa"/>
              <w:right w:w="130" w:type="dxa"/>
            </w:tcMar>
          </w:tcPr>
          <w:p>
            <w:r>
              <w:rPr>
                <w:rFonts w:ascii="Arial" w:hAnsi="Arial"/>
                <w:color w:val="334155"/>
                <w:sz w:val="18"/>
              </w:rPr>
              <w:t>Instantly instantiate complete project structures when sales marks a deal as Won in Zoho CRM.</w:t>
            </w:r>
          </w:p>
        </w:tc>
        <w:tc>
          <w:tcPr>
            <w:tcW w:type="dxa" w:w="3888"/>
            <w:shd w:fill="FFFFFF"/>
            <w:tcMar>
              <w:top w:w="90" w:type="dxa"/>
              <w:bottom w:w="90" w:type="dxa"/>
              <w:left w:w="130" w:type="dxa"/>
              <w:right w:w="130" w:type="dxa"/>
            </w:tcMar>
          </w:tcPr>
          <w:p>
            <w:r>
              <w:rPr>
                <w:rFonts w:ascii="Arial" w:hAnsi="Arial"/>
                <w:color w:val="334155"/>
                <w:sz w:val="18"/>
              </w:rPr>
              <w:t>Deal Won in CRM → Auto-Select Template → Populate WBS &amp; Milestones → Assign Project Team</w:t>
            </w:r>
          </w:p>
        </w:tc>
      </w:tr>
      <w:tr>
        <w:tc>
          <w:tcPr>
            <w:tcW w:type="dxa" w:w="2592"/>
            <w:shd w:fill="F8FAFC"/>
            <w:tcMar>
              <w:top w:w="90" w:type="dxa"/>
              <w:bottom w:w="90" w:type="dxa"/>
              <w:left w:w="130" w:type="dxa"/>
              <w:right w:w="130" w:type="dxa"/>
            </w:tcMar>
          </w:tcPr>
          <w:p>
            <w:r>
              <w:rPr>
                <w:rFonts w:ascii="Arial" w:hAnsi="Arial"/>
                <w:color w:val="334155"/>
                <w:sz w:val="18"/>
              </w:rPr>
              <w:t>Scenario 02: Critical Path Schedule Compression</w:t>
            </w:r>
          </w:p>
        </w:tc>
        <w:tc>
          <w:tcPr>
            <w:tcW w:type="dxa" w:w="3600"/>
            <w:shd w:fill="F8FAFC"/>
            <w:tcMar>
              <w:top w:w="90" w:type="dxa"/>
              <w:bottom w:w="90" w:type="dxa"/>
              <w:left w:w="130" w:type="dxa"/>
              <w:right w:w="130" w:type="dxa"/>
            </w:tcMar>
          </w:tcPr>
          <w:p>
            <w:r>
              <w:rPr>
                <w:rFonts w:ascii="Arial" w:hAnsi="Arial"/>
                <w:color w:val="334155"/>
                <w:sz w:val="18"/>
              </w:rPr>
              <w:t>Automatically detect schedule slippage on zero-slack tasks and alert managers to optimize buffers.</w:t>
            </w:r>
          </w:p>
        </w:tc>
        <w:tc>
          <w:tcPr>
            <w:tcW w:type="dxa" w:w="3888"/>
            <w:shd w:fill="F8FAFC"/>
            <w:tcMar>
              <w:top w:w="90" w:type="dxa"/>
              <w:bottom w:w="90" w:type="dxa"/>
              <w:left w:w="130" w:type="dxa"/>
              <w:right w:w="130" w:type="dxa"/>
            </w:tcMar>
          </w:tcPr>
          <w:p>
            <w:r>
              <w:rPr>
                <w:rFonts w:ascii="Arial" w:hAnsi="Arial"/>
                <w:color w:val="334155"/>
                <w:sz w:val="18"/>
              </w:rPr>
              <w:t>Task Delayed → CPM Engine Analyzes Slack → Dynamic Schedule Shift → PM Mitigation Alert</w:t>
            </w:r>
          </w:p>
        </w:tc>
      </w:tr>
      <w:tr>
        <w:tc>
          <w:tcPr>
            <w:tcW w:type="dxa" w:w="2592"/>
            <w:shd w:fill="FFFFFF"/>
            <w:tcMar>
              <w:top w:w="90" w:type="dxa"/>
              <w:bottom w:w="90" w:type="dxa"/>
              <w:left w:w="130" w:type="dxa"/>
              <w:right w:w="130" w:type="dxa"/>
            </w:tcMar>
          </w:tcPr>
          <w:p>
            <w:r>
              <w:rPr>
                <w:rFonts w:ascii="Arial" w:hAnsi="Arial"/>
                <w:color w:val="334155"/>
                <w:sz w:val="18"/>
              </w:rPr>
              <w:t>Scenario 03: Cross-Project Resource Rebalancing</w:t>
            </w:r>
          </w:p>
        </w:tc>
        <w:tc>
          <w:tcPr>
            <w:tcW w:type="dxa" w:w="3600"/>
            <w:shd w:fill="FFFFFF"/>
            <w:tcMar>
              <w:top w:w="90" w:type="dxa"/>
              <w:bottom w:w="90" w:type="dxa"/>
              <w:left w:w="130" w:type="dxa"/>
              <w:right w:w="130" w:type="dxa"/>
            </w:tcMar>
          </w:tcPr>
          <w:p>
            <w:r>
              <w:rPr>
                <w:rFonts w:ascii="Arial" w:hAnsi="Arial"/>
                <w:color w:val="334155"/>
                <w:sz w:val="18"/>
              </w:rPr>
              <w:t>Eliminate developer and engineer double-booking across concurrent active client deliverables.</w:t>
            </w:r>
          </w:p>
        </w:tc>
        <w:tc>
          <w:tcPr>
            <w:tcW w:type="dxa" w:w="3888"/>
            <w:shd w:fill="FFFFFF"/>
            <w:tcMar>
              <w:top w:w="90" w:type="dxa"/>
              <w:bottom w:w="90" w:type="dxa"/>
              <w:left w:w="130" w:type="dxa"/>
              <w:right w:w="130" w:type="dxa"/>
            </w:tcMar>
          </w:tcPr>
          <w:p>
            <w:r>
              <w:rPr>
                <w:rFonts w:ascii="Arial" w:hAnsi="Arial"/>
                <w:color w:val="334155"/>
                <w:sz w:val="18"/>
              </w:rPr>
              <w:t>Heatmap Breach (&gt;100%) → Flag Over-Allocation → Drag-and-Drop Re-Leveling → Sync Zoho People Calendar</w:t>
            </w:r>
          </w:p>
        </w:tc>
      </w:tr>
      <w:tr>
        <w:tc>
          <w:tcPr>
            <w:tcW w:type="dxa" w:w="2592"/>
            <w:shd w:fill="F8FAFC"/>
            <w:tcMar>
              <w:top w:w="90" w:type="dxa"/>
              <w:bottom w:w="90" w:type="dxa"/>
              <w:left w:w="130" w:type="dxa"/>
              <w:right w:w="130" w:type="dxa"/>
            </w:tcMar>
          </w:tcPr>
          <w:p>
            <w:r>
              <w:rPr>
                <w:rFonts w:ascii="Arial" w:hAnsi="Arial"/>
                <w:color w:val="334155"/>
                <w:sz w:val="18"/>
              </w:rPr>
              <w:t>Scenario 04: Multi-Tier Timesheet Approval Run</w:t>
            </w:r>
          </w:p>
        </w:tc>
        <w:tc>
          <w:tcPr>
            <w:tcW w:type="dxa" w:w="3600"/>
            <w:shd w:fill="F8FAFC"/>
            <w:tcMar>
              <w:top w:w="90" w:type="dxa"/>
              <w:bottom w:w="90" w:type="dxa"/>
              <w:left w:w="130" w:type="dxa"/>
              <w:right w:w="130" w:type="dxa"/>
            </w:tcMar>
          </w:tcPr>
          <w:p>
            <w:r>
              <w:rPr>
                <w:rFonts w:ascii="Arial" w:hAnsi="Arial"/>
                <w:color w:val="334155"/>
                <w:sz w:val="18"/>
              </w:rPr>
              <w:t>Validate and freeze billable hours with multi-level sign-offs before customer invoicing.</w:t>
            </w:r>
          </w:p>
        </w:tc>
        <w:tc>
          <w:tcPr>
            <w:tcW w:type="dxa" w:w="3888"/>
            <w:shd w:fill="F8FAFC"/>
            <w:tcMar>
              <w:top w:w="90" w:type="dxa"/>
              <w:bottom w:w="90" w:type="dxa"/>
              <w:left w:w="130" w:type="dxa"/>
              <w:right w:w="130" w:type="dxa"/>
            </w:tcMar>
          </w:tcPr>
          <w:p>
            <w:r>
              <w:rPr>
                <w:rFonts w:ascii="Arial" w:hAnsi="Arial"/>
                <w:color w:val="334155"/>
                <w:sz w:val="18"/>
              </w:rPr>
              <w:t>Stopwatch Time Logged → PM Review &amp; Approval → Weekly Lockout Enforced → Finance Controller Sign-Off</w:t>
            </w:r>
          </w:p>
        </w:tc>
      </w:tr>
      <w:tr>
        <w:tc>
          <w:tcPr>
            <w:tcW w:type="dxa" w:w="2592"/>
            <w:shd w:fill="FFFFFF"/>
            <w:tcMar>
              <w:top w:w="90" w:type="dxa"/>
              <w:bottom w:w="90" w:type="dxa"/>
              <w:left w:w="130" w:type="dxa"/>
              <w:right w:w="130" w:type="dxa"/>
            </w:tcMar>
          </w:tcPr>
          <w:p>
            <w:r>
              <w:rPr>
                <w:rFonts w:ascii="Arial" w:hAnsi="Arial"/>
                <w:color w:val="334155"/>
                <w:sz w:val="18"/>
              </w:rPr>
              <w:t>Scenario 05: Deliverable-to-Invoice Milestone Sync</w:t>
            </w:r>
          </w:p>
        </w:tc>
        <w:tc>
          <w:tcPr>
            <w:tcW w:type="dxa" w:w="3600"/>
            <w:shd w:fill="FFFFFF"/>
            <w:tcMar>
              <w:top w:w="90" w:type="dxa"/>
              <w:bottom w:w="90" w:type="dxa"/>
              <w:left w:w="130" w:type="dxa"/>
              <w:right w:w="130" w:type="dxa"/>
            </w:tcMar>
          </w:tcPr>
          <w:p>
            <w:r>
              <w:rPr>
                <w:rFonts w:ascii="Arial" w:hAnsi="Arial"/>
                <w:color w:val="334155"/>
                <w:sz w:val="18"/>
              </w:rPr>
              <w:t>Convert approved project milestones directly into payable client invoices without double entry.</w:t>
            </w:r>
          </w:p>
        </w:tc>
        <w:tc>
          <w:tcPr>
            <w:tcW w:type="dxa" w:w="3888"/>
            <w:shd w:fill="FFFFFF"/>
            <w:tcMar>
              <w:top w:w="90" w:type="dxa"/>
              <w:bottom w:w="90" w:type="dxa"/>
              <w:left w:w="130" w:type="dxa"/>
              <w:right w:w="130" w:type="dxa"/>
            </w:tcMar>
          </w:tcPr>
          <w:p>
            <w:r>
              <w:rPr>
                <w:rFonts w:ascii="Arial" w:hAnsi="Arial"/>
                <w:color w:val="334155"/>
                <w:sz w:val="18"/>
              </w:rPr>
              <w:t>Milestone Completed → Client Digital Sign-Off → Push to Zoho Books → 1-Click Invoice Dispatched</w:t>
            </w:r>
          </w:p>
        </w:tc>
      </w:tr>
      <w:tr>
        <w:tc>
          <w:tcPr>
            <w:tcW w:type="dxa" w:w="2592"/>
            <w:shd w:fill="F8FAFC"/>
            <w:tcMar>
              <w:top w:w="90" w:type="dxa"/>
              <w:bottom w:w="90" w:type="dxa"/>
              <w:left w:w="130" w:type="dxa"/>
              <w:right w:w="130" w:type="dxa"/>
            </w:tcMar>
          </w:tcPr>
          <w:p>
            <w:r>
              <w:rPr>
                <w:rFonts w:ascii="Arial" w:hAnsi="Arial"/>
                <w:color w:val="334155"/>
                <w:sz w:val="18"/>
              </w:rPr>
              <w:t>Scenario 06: Hard-Stop Budget Threshold Freeze</w:t>
            </w:r>
          </w:p>
        </w:tc>
        <w:tc>
          <w:tcPr>
            <w:tcW w:type="dxa" w:w="3600"/>
            <w:shd w:fill="F8FAFC"/>
            <w:tcMar>
              <w:top w:w="90" w:type="dxa"/>
              <w:bottom w:w="90" w:type="dxa"/>
              <w:left w:w="130" w:type="dxa"/>
              <w:right w:w="130" w:type="dxa"/>
            </w:tcMar>
          </w:tcPr>
          <w:p>
            <w:r>
              <w:rPr>
                <w:rFonts w:ascii="Arial" w:hAnsi="Arial"/>
                <w:color w:val="334155"/>
                <w:sz w:val="18"/>
              </w:rPr>
              <w:t>Prevent unapproved scope burn by locking timesheets when contractual budget caps are reached.</w:t>
            </w:r>
          </w:p>
        </w:tc>
        <w:tc>
          <w:tcPr>
            <w:tcW w:type="dxa" w:w="3888"/>
            <w:shd w:fill="F8FAFC"/>
            <w:tcMar>
              <w:top w:w="90" w:type="dxa"/>
              <w:bottom w:w="90" w:type="dxa"/>
              <w:left w:w="130" w:type="dxa"/>
              <w:right w:w="130" w:type="dxa"/>
            </w:tcMar>
          </w:tcPr>
          <w:p>
            <w:r>
              <w:rPr>
                <w:rFonts w:ascii="Arial" w:hAnsi="Arial"/>
                <w:color w:val="334155"/>
                <w:sz w:val="18"/>
              </w:rPr>
              <w:t>Hours Logged → Cost Burn Exceeds 100% → Deluge Trigger Fires → Hard-Stop Lock on Time Logging</w:t>
            </w:r>
          </w:p>
        </w:tc>
      </w:tr>
      <w:tr>
        <w:tc>
          <w:tcPr>
            <w:tcW w:type="dxa" w:w="2592"/>
            <w:shd w:fill="FFFFFF"/>
            <w:tcMar>
              <w:top w:w="90" w:type="dxa"/>
              <w:bottom w:w="90" w:type="dxa"/>
              <w:left w:w="130" w:type="dxa"/>
              <w:right w:w="130" w:type="dxa"/>
            </w:tcMar>
          </w:tcPr>
          <w:p>
            <w:r>
              <w:rPr>
                <w:rFonts w:ascii="Arial" w:hAnsi="Arial"/>
                <w:color w:val="334155"/>
                <w:sz w:val="18"/>
              </w:rPr>
              <w:t>Scenario 07: Client Change Order Approval</w:t>
            </w:r>
          </w:p>
        </w:tc>
        <w:tc>
          <w:tcPr>
            <w:tcW w:type="dxa" w:w="3600"/>
            <w:shd w:fill="FFFFFF"/>
            <w:tcMar>
              <w:top w:w="90" w:type="dxa"/>
              <w:bottom w:w="90" w:type="dxa"/>
              <w:left w:w="130" w:type="dxa"/>
              <w:right w:w="130" w:type="dxa"/>
            </w:tcMar>
          </w:tcPr>
          <w:p>
            <w:r>
              <w:rPr>
                <w:rFonts w:ascii="Arial" w:hAnsi="Arial"/>
                <w:color w:val="334155"/>
                <w:sz w:val="18"/>
              </w:rPr>
              <w:t>Enforce contractual change management before additional tasks or out-of-scope work can begin.</w:t>
            </w:r>
          </w:p>
        </w:tc>
        <w:tc>
          <w:tcPr>
            <w:tcW w:type="dxa" w:w="3888"/>
            <w:shd w:fill="FFFFFF"/>
            <w:tcMar>
              <w:top w:w="90" w:type="dxa"/>
              <w:bottom w:w="90" w:type="dxa"/>
              <w:left w:w="130" w:type="dxa"/>
              <w:right w:w="130" w:type="dxa"/>
            </w:tcMar>
          </w:tcPr>
          <w:p>
            <w:r>
              <w:rPr>
                <w:rFonts w:ascii="Arial" w:hAnsi="Arial"/>
                <w:color w:val="334155"/>
                <w:sz w:val="18"/>
              </w:rPr>
              <w:t>Client Submits Change → Cost/Timeline Impact Calculated → Portal Digital Sign-Off → Baseline Revised</w:t>
            </w:r>
          </w:p>
        </w:tc>
      </w:tr>
      <w:tr>
        <w:tc>
          <w:tcPr>
            <w:tcW w:type="dxa" w:w="2592"/>
            <w:shd w:fill="F8FAFC"/>
            <w:tcMar>
              <w:top w:w="90" w:type="dxa"/>
              <w:bottom w:w="90" w:type="dxa"/>
              <w:left w:w="130" w:type="dxa"/>
              <w:right w:w="130" w:type="dxa"/>
            </w:tcMar>
          </w:tcPr>
          <w:p>
            <w:r>
              <w:rPr>
                <w:rFonts w:ascii="Arial" w:hAnsi="Arial"/>
                <w:color w:val="334155"/>
                <w:sz w:val="18"/>
              </w:rPr>
              <w:t>Scenario 08: Cross-Project Deliverable Dependencies</w:t>
            </w:r>
          </w:p>
        </w:tc>
        <w:tc>
          <w:tcPr>
            <w:tcW w:type="dxa" w:w="3600"/>
            <w:shd w:fill="F8FAFC"/>
            <w:tcMar>
              <w:top w:w="90" w:type="dxa"/>
              <w:bottom w:w="90" w:type="dxa"/>
              <w:left w:w="130" w:type="dxa"/>
              <w:right w:w="130" w:type="dxa"/>
            </w:tcMar>
          </w:tcPr>
          <w:p>
            <w:r>
              <w:rPr>
                <w:rFonts w:ascii="Arial" w:hAnsi="Arial"/>
                <w:color w:val="334155"/>
                <w:sz w:val="18"/>
              </w:rPr>
              <w:t>Link milestones across separate projects so downstream teams only begin when prerequisite output is ready.</w:t>
            </w:r>
          </w:p>
        </w:tc>
        <w:tc>
          <w:tcPr>
            <w:tcW w:type="dxa" w:w="3888"/>
            <w:shd w:fill="F8FAFC"/>
            <w:tcMar>
              <w:top w:w="90" w:type="dxa"/>
              <w:bottom w:w="90" w:type="dxa"/>
              <w:left w:w="130" w:type="dxa"/>
              <w:right w:w="130" w:type="dxa"/>
            </w:tcMar>
          </w:tcPr>
          <w:p>
            <w:r>
              <w:rPr>
                <w:rFonts w:ascii="Arial" w:hAnsi="Arial"/>
                <w:color w:val="334155"/>
                <w:sz w:val="18"/>
              </w:rPr>
              <w:t>Project A Milestone Done → Webhook Evaluates Dependency → Unlock Project B Task List → Notify Lead Engineer</w:t>
            </w:r>
          </w:p>
        </w:tc>
      </w:tr>
      <w:tr>
        <w:tc>
          <w:tcPr>
            <w:tcW w:type="dxa" w:w="2592"/>
            <w:shd w:fill="FFFFFF"/>
            <w:tcMar>
              <w:top w:w="90" w:type="dxa"/>
              <w:bottom w:w="90" w:type="dxa"/>
              <w:left w:w="130" w:type="dxa"/>
              <w:right w:w="130" w:type="dxa"/>
            </w:tcMar>
          </w:tcPr>
          <w:p>
            <w:r>
              <w:rPr>
                <w:rFonts w:ascii="Arial" w:hAnsi="Arial"/>
                <w:color w:val="334155"/>
                <w:sz w:val="18"/>
              </w:rPr>
              <w:t>Scenario 09: Support Ticket-to-Project Task Escalation</w:t>
            </w:r>
          </w:p>
        </w:tc>
        <w:tc>
          <w:tcPr>
            <w:tcW w:type="dxa" w:w="3600"/>
            <w:shd w:fill="FFFFFF"/>
            <w:tcMar>
              <w:top w:w="90" w:type="dxa"/>
              <w:bottom w:w="90" w:type="dxa"/>
              <w:left w:w="130" w:type="dxa"/>
              <w:right w:w="130" w:type="dxa"/>
            </w:tcMar>
          </w:tcPr>
          <w:p>
            <w:r>
              <w:rPr>
                <w:rFonts w:ascii="Arial" w:hAnsi="Arial"/>
                <w:color w:val="334155"/>
                <w:sz w:val="18"/>
              </w:rPr>
              <w:t>Convert unresolved customer support tickets directly into engineering tasks or bug reports.</w:t>
            </w:r>
          </w:p>
        </w:tc>
        <w:tc>
          <w:tcPr>
            <w:tcW w:type="dxa" w:w="3888"/>
            <w:shd w:fill="FFFFFF"/>
            <w:tcMar>
              <w:top w:w="90" w:type="dxa"/>
              <w:bottom w:w="90" w:type="dxa"/>
              <w:left w:w="130" w:type="dxa"/>
              <w:right w:w="130" w:type="dxa"/>
            </w:tcMar>
          </w:tcPr>
          <w:p>
            <w:r>
              <w:rPr>
                <w:rFonts w:ascii="Arial" w:hAnsi="Arial"/>
                <w:color w:val="334155"/>
                <w:sz w:val="18"/>
              </w:rPr>
              <w:t>Desk Ticket Escalated → Auto-Create Projects Bug → Assign QA Engineer → Live Status Synced to Desk</w:t>
            </w:r>
          </w:p>
        </w:tc>
      </w:tr>
      <w:tr>
        <w:tc>
          <w:tcPr>
            <w:tcW w:type="dxa" w:w="2592"/>
            <w:shd w:fill="F8FAFC"/>
            <w:tcMar>
              <w:top w:w="90" w:type="dxa"/>
              <w:bottom w:w="90" w:type="dxa"/>
              <w:left w:w="130" w:type="dxa"/>
              <w:right w:w="130" w:type="dxa"/>
            </w:tcMar>
          </w:tcPr>
          <w:p>
            <w:r>
              <w:rPr>
                <w:rFonts w:ascii="Arial" w:hAnsi="Arial"/>
                <w:color w:val="334155"/>
                <w:sz w:val="18"/>
              </w:rPr>
              <w:t>Scenario 10: DevOps Git Commit &amp; Issue Auto-Close</w:t>
            </w:r>
          </w:p>
        </w:tc>
        <w:tc>
          <w:tcPr>
            <w:tcW w:type="dxa" w:w="3600"/>
            <w:shd w:fill="F8FAFC"/>
            <w:tcMar>
              <w:top w:w="90" w:type="dxa"/>
              <w:bottom w:w="90" w:type="dxa"/>
              <w:left w:w="130" w:type="dxa"/>
              <w:right w:w="130" w:type="dxa"/>
            </w:tcMar>
          </w:tcPr>
          <w:p>
            <w:r>
              <w:rPr>
                <w:rFonts w:ascii="Arial" w:hAnsi="Arial"/>
                <w:color w:val="334155"/>
                <w:sz w:val="18"/>
              </w:rPr>
              <w:t>Link software commits and branches directly to project tasks with automatic status transitions.</w:t>
            </w:r>
          </w:p>
        </w:tc>
        <w:tc>
          <w:tcPr>
            <w:tcW w:type="dxa" w:w="3888"/>
            <w:shd w:fill="F8FAFC"/>
            <w:tcMar>
              <w:top w:w="90" w:type="dxa"/>
              <w:bottom w:w="90" w:type="dxa"/>
              <w:left w:w="130" w:type="dxa"/>
              <w:right w:w="130" w:type="dxa"/>
            </w:tcMar>
          </w:tcPr>
          <w:p>
            <w:r>
              <w:rPr>
                <w:rFonts w:ascii="Arial" w:hAnsi="Arial"/>
                <w:color w:val="334155"/>
                <w:sz w:val="18"/>
              </w:rPr>
              <w:t>Developer Pushes Commit → Zoho Projects Task ID Tagged → Commit Logged to Task → Blueprint Transitions to QA</w:t>
            </w:r>
          </w:p>
        </w:tc>
      </w:tr>
      <w:tr>
        <w:tc>
          <w:tcPr>
            <w:tcW w:type="dxa" w:w="2592"/>
            <w:shd w:fill="FFFFFF"/>
            <w:tcMar>
              <w:top w:w="90" w:type="dxa"/>
              <w:bottom w:w="90" w:type="dxa"/>
              <w:left w:w="130" w:type="dxa"/>
              <w:right w:w="130" w:type="dxa"/>
            </w:tcMar>
          </w:tcPr>
          <w:p>
            <w:r>
              <w:rPr>
                <w:rFonts w:ascii="Arial" w:hAnsi="Arial"/>
                <w:color w:val="334155"/>
                <w:sz w:val="18"/>
              </w:rPr>
              <w:t>Scenario 11: Automated Executive Portfolio Risk Digest</w:t>
            </w:r>
          </w:p>
        </w:tc>
        <w:tc>
          <w:tcPr>
            <w:tcW w:type="dxa" w:w="3600"/>
            <w:shd w:fill="FFFFFF"/>
            <w:tcMar>
              <w:top w:w="90" w:type="dxa"/>
              <w:bottom w:w="90" w:type="dxa"/>
              <w:left w:w="130" w:type="dxa"/>
              <w:right w:w="130" w:type="dxa"/>
            </w:tcMar>
          </w:tcPr>
          <w:p>
            <w:r>
              <w:rPr>
                <w:rFonts w:ascii="Arial" w:hAnsi="Arial"/>
                <w:color w:val="334155"/>
                <w:sz w:val="18"/>
              </w:rPr>
              <w:t>Deliver scheduled C-suite portfolio health, margin burn, and project risk reports directly to executives.</w:t>
            </w:r>
          </w:p>
        </w:tc>
        <w:tc>
          <w:tcPr>
            <w:tcW w:type="dxa" w:w="3888"/>
            <w:shd w:fill="FFFFFF"/>
            <w:tcMar>
              <w:top w:w="90" w:type="dxa"/>
              <w:bottom w:w="90" w:type="dxa"/>
              <w:left w:w="130" w:type="dxa"/>
              <w:right w:w="130" w:type="dxa"/>
            </w:tcMar>
          </w:tcPr>
          <w:p>
            <w:r>
              <w:rPr>
                <w:rFonts w:ascii="Arial" w:hAnsi="Arial"/>
                <w:color w:val="334155"/>
                <w:sz w:val="18"/>
              </w:rPr>
              <w:t>Live Project Data Aggregated → Zoho Analytics BI Model → EVM CPI/SPI Computed → Automated Monday CEO Digest</w:t>
            </w:r>
          </w:p>
        </w:tc>
      </w:tr>
      <w:tr>
        <w:tc>
          <w:tcPr>
            <w:tcW w:type="dxa" w:w="2592"/>
            <w:shd w:fill="F8FAFC"/>
            <w:tcMar>
              <w:top w:w="90" w:type="dxa"/>
              <w:bottom w:w="90" w:type="dxa"/>
              <w:left w:w="130" w:type="dxa"/>
              <w:right w:w="130" w:type="dxa"/>
            </w:tcMar>
          </w:tcPr>
          <w:p>
            <w:r>
              <w:rPr>
                <w:rFonts w:ascii="Arial" w:hAnsi="Arial"/>
                <w:color w:val="334155"/>
                <w:sz w:val="18"/>
              </w:rPr>
              <w:t>Scenario 12: Subcontractor Sandboxed Work Logging</w:t>
            </w:r>
          </w:p>
        </w:tc>
        <w:tc>
          <w:tcPr>
            <w:tcW w:type="dxa" w:w="3600"/>
            <w:shd w:fill="F8FAFC"/>
            <w:tcMar>
              <w:top w:w="90" w:type="dxa"/>
              <w:bottom w:w="90" w:type="dxa"/>
              <w:left w:w="130" w:type="dxa"/>
              <w:right w:w="130" w:type="dxa"/>
            </w:tcMar>
          </w:tcPr>
          <w:p>
            <w:r>
              <w:rPr>
                <w:rFonts w:ascii="Arial" w:hAnsi="Arial"/>
                <w:color w:val="334155"/>
                <w:sz w:val="18"/>
              </w:rPr>
              <w:t>Allow external contractors to view only assigned deliverables and submit timesheets without internal rate visibility.</w:t>
            </w:r>
          </w:p>
        </w:tc>
        <w:tc>
          <w:tcPr>
            <w:tcW w:type="dxa" w:w="3888"/>
            <w:shd w:fill="F8FAFC"/>
            <w:tcMar>
              <w:top w:w="90" w:type="dxa"/>
              <w:bottom w:w="90" w:type="dxa"/>
              <w:left w:w="130" w:type="dxa"/>
              <w:right w:w="130" w:type="dxa"/>
            </w:tcMar>
          </w:tcPr>
          <w:p>
            <w:r>
              <w:rPr>
                <w:rFonts w:ascii="Arial" w:hAnsi="Arial"/>
                <w:color w:val="334155"/>
                <w:sz w:val="18"/>
              </w:rPr>
              <w:t>Contractor Invited to Portal → View Restricted to Task Scope → Hours Logged via Timer → Internal PM Verification</w:t>
            </w:r>
          </w:p>
        </w:tc>
      </w:tr>
    </w:tbl>
    <w:p>
      <w:pPr>
        <w:spacing w:before="120"/>
      </w:pPr>
    </w:p>
    <w:p>
      <w:pPr>
        <w:pStyle w:val="Heading1"/>
        <w:keepNext/>
        <w:spacing w:before="320" w:after="120"/>
      </w:pPr>
      <w:r>
        <w:rPr>
          <w:rFonts w:ascii="Arial" w:hAnsi="Arial"/>
          <w:b/>
          <w:color w:val="236EB4"/>
          <w:sz w:val="34"/>
        </w:rPr>
        <w:t>Section 09: Industry Verticals Grid</w:t>
      </w:r>
    </w:p>
    <w:p>
      <w:r>
        <w:rPr>
          <w:b/>
          <w:color w:val="236EB4"/>
        </w:rPr>
        <w:t>Eyebrow Badge: TAILORED VERTICAL SOLUTIONS</w:t>
        <w:br/>
      </w:r>
      <w:r>
        <w:rPr>
          <w:b/>
          <w:color w:val="1E293B"/>
          <w:sz w:val="24"/>
        </w:rPr>
        <w:t>H2 Headline: Zoho Projects for Every Industry Delivering Complex Engagements</w:t>
        <w:br/>
      </w:r>
      <w:r>
        <w:rPr>
          <w:sz w:val="19"/>
        </w:rPr>
        <w:t>Subheadline Copy: Discover how Zoho Projects is customized to the regulatory, resource, and contractual realities across 15 industry verticals.</w:t>
        <w:br/>
      </w:r>
    </w:p>
    <w:tbl>
      <w:tblPr>
        <w:tblW w:type="auto" w:w="0"/>
        <w:jc w:val="center"/>
        <w:tblLook w:firstColumn="1" w:firstRow="1" w:lastColumn="0" w:lastRow="0" w:noHBand="0" w:noVBand="1" w:val="04A0"/>
      </w:tblPr>
      <w:tblGrid>
        <w:gridCol w:w="5040"/>
        <w:gridCol w:w="5040"/>
      </w:tblGrid>
      <w:tr>
        <w:tc>
          <w:tcPr>
            <w:tcW w:type="dxa" w:w="3312"/>
            <w:shd w:fill="236EB4"/>
            <w:tcMar>
              <w:top w:w="110" w:type="dxa"/>
              <w:bottom w:w="110" w:type="dxa"/>
              <w:left w:w="130" w:type="dxa"/>
              <w:right w:w="130" w:type="dxa"/>
            </w:tcMar>
          </w:tcPr>
          <w:p>
            <w:pPr>
              <w:jc w:val="left"/>
            </w:pPr>
            <w:r>
              <w:rPr>
                <w:rFonts w:ascii="Arial" w:hAnsi="Arial"/>
                <w:b/>
                <w:color w:val="FFFFFF"/>
                <w:sz w:val="19"/>
              </w:rPr>
              <w:t>Industry Vertical</w:t>
            </w:r>
          </w:p>
        </w:tc>
        <w:tc>
          <w:tcPr>
            <w:tcW w:type="dxa" w:w="6768"/>
            <w:shd w:fill="236EB4"/>
            <w:tcMar>
              <w:top w:w="110" w:type="dxa"/>
              <w:bottom w:w="110" w:type="dxa"/>
              <w:left w:w="130" w:type="dxa"/>
              <w:right w:w="130" w:type="dxa"/>
            </w:tcMar>
          </w:tcPr>
          <w:p>
            <w:pPr>
              <w:jc w:val="left"/>
            </w:pPr>
            <w:r>
              <w:rPr>
                <w:rFonts w:ascii="Arial" w:hAnsi="Arial"/>
                <w:b/>
                <w:color w:val="FFFFFF"/>
                <w:sz w:val="19"/>
              </w:rPr>
              <w:t>How It Is Used (Configured Operational Workflow)</w:t>
            </w:r>
          </w:p>
        </w:tc>
      </w:tr>
      <w:tr>
        <w:tc>
          <w:tcPr>
            <w:tcW w:type="dxa" w:w="3312"/>
            <w:shd w:fill="FFFFFF"/>
            <w:tcMar>
              <w:top w:w="90" w:type="dxa"/>
              <w:bottom w:w="90" w:type="dxa"/>
              <w:left w:w="130" w:type="dxa"/>
              <w:right w:w="130" w:type="dxa"/>
            </w:tcMar>
          </w:tcPr>
          <w:p>
            <w:r>
              <w:rPr>
                <w:rFonts w:ascii="Arial" w:hAnsi="Arial"/>
                <w:color w:val="334155"/>
                <w:sz w:val="18"/>
              </w:rPr>
              <w:t>1. Solar &amp; Renewable Energy EPC</w:t>
            </w:r>
          </w:p>
        </w:tc>
        <w:tc>
          <w:tcPr>
            <w:tcW w:type="dxa" w:w="6768"/>
            <w:shd w:fill="FFFFFF"/>
            <w:tcMar>
              <w:top w:w="90" w:type="dxa"/>
              <w:bottom w:w="90" w:type="dxa"/>
              <w:left w:w="130" w:type="dxa"/>
              <w:right w:w="130" w:type="dxa"/>
            </w:tcMar>
          </w:tcPr>
          <w:p>
            <w:r>
              <w:rPr>
                <w:rFonts w:ascii="Arial" w:hAnsi="Arial"/>
                <w:color w:val="334155"/>
                <w:sz w:val="18"/>
              </w:rPr>
              <w:t>Site survey milestones, civil/electrical WBS hierarchies, subcontractor sandboxed portals, and BOM cost burn tracking against project revenue.</w:t>
            </w:r>
          </w:p>
        </w:tc>
      </w:tr>
      <w:tr>
        <w:tc>
          <w:tcPr>
            <w:tcW w:type="dxa" w:w="3312"/>
            <w:shd w:fill="F8FAFC"/>
            <w:tcMar>
              <w:top w:w="90" w:type="dxa"/>
              <w:bottom w:w="90" w:type="dxa"/>
              <w:left w:w="130" w:type="dxa"/>
              <w:right w:w="130" w:type="dxa"/>
            </w:tcMar>
          </w:tcPr>
          <w:p>
            <w:r>
              <w:rPr>
                <w:rFonts w:ascii="Arial" w:hAnsi="Arial"/>
                <w:color w:val="334155"/>
                <w:sz w:val="18"/>
              </w:rPr>
              <w:t>2. Manufacturing &amp; Industrial Engineering</w:t>
            </w:r>
          </w:p>
        </w:tc>
        <w:tc>
          <w:tcPr>
            <w:tcW w:type="dxa" w:w="6768"/>
            <w:shd w:fill="F8FAFC"/>
            <w:tcMar>
              <w:top w:w="90" w:type="dxa"/>
              <w:bottom w:w="90" w:type="dxa"/>
              <w:left w:w="130" w:type="dxa"/>
              <w:right w:w="130" w:type="dxa"/>
            </w:tcMar>
          </w:tcPr>
          <w:p>
            <w:r>
              <w:rPr>
                <w:rFonts w:ascii="Arial" w:hAnsi="Arial"/>
                <w:color w:val="334155"/>
                <w:sz w:val="18"/>
              </w:rPr>
              <w:t>Stage-gate New Product Introduction (NPI), equipment lead-time dependencies, vendor submittals, and cross-plant engineering change orders (ECO).</w:t>
            </w:r>
          </w:p>
        </w:tc>
      </w:tr>
      <w:tr>
        <w:tc>
          <w:tcPr>
            <w:tcW w:type="dxa" w:w="3312"/>
            <w:shd w:fill="FFFFFF"/>
            <w:tcMar>
              <w:top w:w="90" w:type="dxa"/>
              <w:bottom w:w="90" w:type="dxa"/>
              <w:left w:w="130" w:type="dxa"/>
              <w:right w:w="130" w:type="dxa"/>
            </w:tcMar>
          </w:tcPr>
          <w:p>
            <w:r>
              <w:rPr>
                <w:rFonts w:ascii="Arial" w:hAnsi="Arial"/>
                <w:color w:val="334155"/>
                <w:sz w:val="18"/>
              </w:rPr>
              <w:t>3. Software &amp; SaaS Product Engineering</w:t>
            </w:r>
          </w:p>
        </w:tc>
        <w:tc>
          <w:tcPr>
            <w:tcW w:type="dxa" w:w="6768"/>
            <w:shd w:fill="FFFFFF"/>
            <w:tcMar>
              <w:top w:w="90" w:type="dxa"/>
              <w:bottom w:w="90" w:type="dxa"/>
              <w:left w:w="130" w:type="dxa"/>
              <w:right w:w="130" w:type="dxa"/>
            </w:tcMar>
          </w:tcPr>
          <w:p>
            <w:r>
              <w:rPr>
                <w:rFonts w:ascii="Arial" w:hAnsi="Arial"/>
                <w:color w:val="334155"/>
                <w:sz w:val="18"/>
              </w:rPr>
              <w:t>Hybrid agile sprint planning with Zoho Sprints, GitHub/GitLab commit syncing, bug SLA escalations, and billable developer timesheets.</w:t>
            </w:r>
          </w:p>
        </w:tc>
      </w:tr>
      <w:tr>
        <w:tc>
          <w:tcPr>
            <w:tcW w:type="dxa" w:w="3312"/>
            <w:shd w:fill="F8FAFC"/>
            <w:tcMar>
              <w:top w:w="90" w:type="dxa"/>
              <w:bottom w:w="90" w:type="dxa"/>
              <w:left w:w="130" w:type="dxa"/>
              <w:right w:w="130" w:type="dxa"/>
            </w:tcMar>
          </w:tcPr>
          <w:p>
            <w:r>
              <w:rPr>
                <w:rFonts w:ascii="Arial" w:hAnsi="Arial"/>
                <w:color w:val="334155"/>
                <w:sz w:val="18"/>
              </w:rPr>
              <w:t>4. Construction &amp; Infrastructure</w:t>
            </w:r>
          </w:p>
        </w:tc>
        <w:tc>
          <w:tcPr>
            <w:tcW w:type="dxa" w:w="6768"/>
            <w:shd w:fill="F8FAFC"/>
            <w:tcMar>
              <w:top w:w="90" w:type="dxa"/>
              <w:bottom w:w="90" w:type="dxa"/>
              <w:left w:w="130" w:type="dxa"/>
              <w:right w:w="130" w:type="dxa"/>
            </w:tcMar>
          </w:tcPr>
          <w:p>
            <w:r>
              <w:rPr>
                <w:rFonts w:ascii="Arial" w:hAnsi="Arial"/>
                <w:color w:val="334155"/>
                <w:sz w:val="18"/>
              </w:rPr>
              <w:t>Critical Path Method (CPM) scheduling, contractor draw milestones, RFI/Submittal custom modules, and weather delay baseline variance tracking.</w:t>
            </w:r>
          </w:p>
        </w:tc>
      </w:tr>
      <w:tr>
        <w:tc>
          <w:tcPr>
            <w:tcW w:type="dxa" w:w="3312"/>
            <w:shd w:fill="FFFFFF"/>
            <w:tcMar>
              <w:top w:w="90" w:type="dxa"/>
              <w:bottom w:w="90" w:type="dxa"/>
              <w:left w:w="130" w:type="dxa"/>
              <w:right w:w="130" w:type="dxa"/>
            </w:tcMar>
          </w:tcPr>
          <w:p>
            <w:r>
              <w:rPr>
                <w:rFonts w:ascii="Arial" w:hAnsi="Arial"/>
                <w:color w:val="334155"/>
                <w:sz w:val="18"/>
              </w:rPr>
              <w:t>5. IT Services &amp; Managed Services (MSPs)</w:t>
            </w:r>
          </w:p>
        </w:tc>
        <w:tc>
          <w:tcPr>
            <w:tcW w:type="dxa" w:w="6768"/>
            <w:shd w:fill="FFFFFF"/>
            <w:tcMar>
              <w:top w:w="90" w:type="dxa"/>
              <w:bottom w:w="90" w:type="dxa"/>
              <w:left w:w="130" w:type="dxa"/>
              <w:right w:w="130" w:type="dxa"/>
            </w:tcMar>
          </w:tcPr>
          <w:p>
            <w:r>
              <w:rPr>
                <w:rFonts w:ascii="Arial" w:hAnsi="Arial"/>
                <w:color w:val="334155"/>
                <w:sz w:val="18"/>
              </w:rPr>
              <w:t>Client deal-to-project auto-provisioning from CRM, tiered hourly billing rates, timesheet-to-invoice sync in Books, and resource capacity leveling.</w:t>
            </w:r>
          </w:p>
        </w:tc>
      </w:tr>
      <w:tr>
        <w:tc>
          <w:tcPr>
            <w:tcW w:type="dxa" w:w="3312"/>
            <w:shd w:fill="F8FAFC"/>
            <w:tcMar>
              <w:top w:w="90" w:type="dxa"/>
              <w:bottom w:w="90" w:type="dxa"/>
              <w:left w:w="130" w:type="dxa"/>
              <w:right w:w="130" w:type="dxa"/>
            </w:tcMar>
          </w:tcPr>
          <w:p>
            <w:r>
              <w:rPr>
                <w:rFonts w:ascii="Arial" w:hAnsi="Arial"/>
                <w:color w:val="334155"/>
                <w:sz w:val="18"/>
              </w:rPr>
              <w:t>6. Creative, Digital &amp; Advertising Agencies</w:t>
            </w:r>
          </w:p>
        </w:tc>
        <w:tc>
          <w:tcPr>
            <w:tcW w:type="dxa" w:w="6768"/>
            <w:shd w:fill="F8FAFC"/>
            <w:tcMar>
              <w:top w:w="90" w:type="dxa"/>
              <w:bottom w:w="90" w:type="dxa"/>
              <w:left w:w="130" w:type="dxa"/>
              <w:right w:w="130" w:type="dxa"/>
            </w:tcMar>
          </w:tcPr>
          <w:p>
            <w:r>
              <w:rPr>
                <w:rFonts w:ascii="Arial" w:hAnsi="Arial"/>
                <w:color w:val="334155"/>
                <w:sz w:val="18"/>
              </w:rPr>
              <w:t>Multi-brand campaign scheduling, asset review workflows, client digital proofing sign-offs, and creative team burnout detection heatmaps.</w:t>
            </w:r>
          </w:p>
        </w:tc>
      </w:tr>
      <w:tr>
        <w:tc>
          <w:tcPr>
            <w:tcW w:type="dxa" w:w="3312"/>
            <w:shd w:fill="FFFFFF"/>
            <w:tcMar>
              <w:top w:w="90" w:type="dxa"/>
              <w:bottom w:w="90" w:type="dxa"/>
              <w:left w:w="130" w:type="dxa"/>
              <w:right w:w="130" w:type="dxa"/>
            </w:tcMar>
          </w:tcPr>
          <w:p>
            <w:r>
              <w:rPr>
                <w:rFonts w:ascii="Arial" w:hAnsi="Arial"/>
                <w:color w:val="334155"/>
                <w:sz w:val="18"/>
              </w:rPr>
              <w:t>7. Management &amp; Strategy Consulting</w:t>
            </w:r>
          </w:p>
        </w:tc>
        <w:tc>
          <w:tcPr>
            <w:tcW w:type="dxa" w:w="6768"/>
            <w:shd w:fill="FFFFFF"/>
            <w:tcMar>
              <w:top w:w="90" w:type="dxa"/>
              <w:bottom w:w="90" w:type="dxa"/>
              <w:left w:w="130" w:type="dxa"/>
              <w:right w:w="130" w:type="dxa"/>
            </w:tcMar>
          </w:tcPr>
          <w:p>
            <w:r>
              <w:rPr>
                <w:rFonts w:ascii="Arial" w:hAnsi="Arial"/>
                <w:color w:val="334155"/>
                <w:sz w:val="18"/>
              </w:rPr>
              <w:t>Workstream deliverable tracking, partner-level timesheet approvals, travel expense ingestion, and executive profitability dashboards.</w:t>
            </w:r>
          </w:p>
        </w:tc>
      </w:tr>
      <w:tr>
        <w:tc>
          <w:tcPr>
            <w:tcW w:type="dxa" w:w="3312"/>
            <w:shd w:fill="F8FAFC"/>
            <w:tcMar>
              <w:top w:w="90" w:type="dxa"/>
              <w:bottom w:w="90" w:type="dxa"/>
              <w:left w:w="130" w:type="dxa"/>
              <w:right w:w="130" w:type="dxa"/>
            </w:tcMar>
          </w:tcPr>
          <w:p>
            <w:r>
              <w:rPr>
                <w:rFonts w:ascii="Arial" w:hAnsi="Arial"/>
                <w:color w:val="334155"/>
                <w:sz w:val="18"/>
              </w:rPr>
              <w:t>8. Healthcare &amp; Hospital Facilities</w:t>
            </w:r>
          </w:p>
        </w:tc>
        <w:tc>
          <w:tcPr>
            <w:tcW w:type="dxa" w:w="6768"/>
            <w:shd w:fill="F8FAFC"/>
            <w:tcMar>
              <w:top w:w="90" w:type="dxa"/>
              <w:bottom w:w="90" w:type="dxa"/>
              <w:left w:w="130" w:type="dxa"/>
              <w:right w:w="130" w:type="dxa"/>
            </w:tcMar>
          </w:tcPr>
          <w:p>
            <w:r>
              <w:rPr>
                <w:rFonts w:ascii="Arial" w:hAnsi="Arial"/>
                <w:color w:val="334155"/>
                <w:sz w:val="18"/>
              </w:rPr>
              <w:t>Medical equipment installation milestones, regulatory accreditation checklists, vendor credential tracking, and facility readiness sign-offs.</w:t>
            </w:r>
          </w:p>
        </w:tc>
      </w:tr>
      <w:tr>
        <w:tc>
          <w:tcPr>
            <w:tcW w:type="dxa" w:w="3312"/>
            <w:shd w:fill="FFFFFF"/>
            <w:tcMar>
              <w:top w:w="90" w:type="dxa"/>
              <w:bottom w:w="90" w:type="dxa"/>
              <w:left w:w="130" w:type="dxa"/>
              <w:right w:w="130" w:type="dxa"/>
            </w:tcMar>
          </w:tcPr>
          <w:p>
            <w:r>
              <w:rPr>
                <w:rFonts w:ascii="Arial" w:hAnsi="Arial"/>
                <w:color w:val="334155"/>
                <w:sz w:val="18"/>
              </w:rPr>
              <w:t>9. Education &amp; Campus Infrastructure</w:t>
            </w:r>
          </w:p>
        </w:tc>
        <w:tc>
          <w:tcPr>
            <w:tcW w:type="dxa" w:w="6768"/>
            <w:shd w:fill="FFFFFF"/>
            <w:tcMar>
              <w:top w:w="90" w:type="dxa"/>
              <w:bottom w:w="90" w:type="dxa"/>
              <w:left w:w="130" w:type="dxa"/>
              <w:right w:w="130" w:type="dxa"/>
            </w:tcMar>
          </w:tcPr>
          <w:p>
            <w:r>
              <w:rPr>
                <w:rFonts w:ascii="Arial" w:hAnsi="Arial"/>
                <w:color w:val="334155"/>
                <w:sz w:val="18"/>
              </w:rPr>
              <w:t>Academic program rollouts, capital works tracking, grant fund milestone reporting, and cross-departmental committee approvals.</w:t>
            </w:r>
          </w:p>
        </w:tc>
      </w:tr>
      <w:tr>
        <w:tc>
          <w:tcPr>
            <w:tcW w:type="dxa" w:w="3312"/>
            <w:shd w:fill="F8FAFC"/>
            <w:tcMar>
              <w:top w:w="90" w:type="dxa"/>
              <w:bottom w:w="90" w:type="dxa"/>
              <w:left w:w="130" w:type="dxa"/>
              <w:right w:w="130" w:type="dxa"/>
            </w:tcMar>
          </w:tcPr>
          <w:p>
            <w:r>
              <w:rPr>
                <w:rFonts w:ascii="Arial" w:hAnsi="Arial"/>
                <w:color w:val="334155"/>
                <w:sz w:val="18"/>
              </w:rPr>
              <w:t>10. Fintech &amp; Regulated Implementations</w:t>
            </w:r>
          </w:p>
        </w:tc>
        <w:tc>
          <w:tcPr>
            <w:tcW w:type="dxa" w:w="6768"/>
            <w:shd w:fill="F8FAFC"/>
            <w:tcMar>
              <w:top w:w="90" w:type="dxa"/>
              <w:bottom w:w="90" w:type="dxa"/>
              <w:left w:w="130" w:type="dxa"/>
              <w:right w:w="130" w:type="dxa"/>
            </w:tcMar>
          </w:tcPr>
          <w:p>
            <w:r>
              <w:rPr>
                <w:rFonts w:ascii="Arial" w:hAnsi="Arial"/>
                <w:color w:val="334155"/>
                <w:sz w:val="18"/>
              </w:rPr>
              <w:t>Multi-tier compliance audit trails, security policy stage-gates, tamper-proof audit logs, and SOC2/ISO milestone sign-offs.</w:t>
            </w:r>
          </w:p>
        </w:tc>
      </w:tr>
      <w:tr>
        <w:tc>
          <w:tcPr>
            <w:tcW w:type="dxa" w:w="3312"/>
            <w:shd w:fill="FFFFFF"/>
            <w:tcMar>
              <w:top w:w="90" w:type="dxa"/>
              <w:bottom w:w="90" w:type="dxa"/>
              <w:left w:w="130" w:type="dxa"/>
              <w:right w:w="130" w:type="dxa"/>
            </w:tcMar>
          </w:tcPr>
          <w:p>
            <w:r>
              <w:rPr>
                <w:rFonts w:ascii="Arial" w:hAnsi="Arial"/>
                <w:color w:val="334155"/>
                <w:sz w:val="18"/>
              </w:rPr>
              <w:t>11. Telecom &amp; Network Infrastructure</w:t>
            </w:r>
          </w:p>
        </w:tc>
        <w:tc>
          <w:tcPr>
            <w:tcW w:type="dxa" w:w="6768"/>
            <w:shd w:fill="FFFFFF"/>
            <w:tcMar>
              <w:top w:w="90" w:type="dxa"/>
              <w:bottom w:w="90" w:type="dxa"/>
              <w:left w:w="130" w:type="dxa"/>
              <w:right w:w="130" w:type="dxa"/>
            </w:tcMar>
          </w:tcPr>
          <w:p>
            <w:r>
              <w:rPr>
                <w:rFonts w:ascii="Arial" w:hAnsi="Arial"/>
                <w:color w:val="334155"/>
                <w:sz w:val="18"/>
              </w:rPr>
              <w:t>Tower rollout site trackers, fiber route deployment dependencies, field crew timesheet tracking, and contractor completion certificates.</w:t>
            </w:r>
          </w:p>
        </w:tc>
      </w:tr>
      <w:tr>
        <w:tc>
          <w:tcPr>
            <w:tcW w:type="dxa" w:w="3312"/>
            <w:shd w:fill="F8FAFC"/>
            <w:tcMar>
              <w:top w:w="90" w:type="dxa"/>
              <w:bottom w:w="90" w:type="dxa"/>
              <w:left w:w="130" w:type="dxa"/>
              <w:right w:w="130" w:type="dxa"/>
            </w:tcMar>
          </w:tcPr>
          <w:p>
            <w:r>
              <w:rPr>
                <w:rFonts w:ascii="Arial" w:hAnsi="Arial"/>
                <w:color w:val="334155"/>
                <w:sz w:val="18"/>
              </w:rPr>
              <w:t>12. Automotive &amp; Heavy Equipment</w:t>
            </w:r>
          </w:p>
        </w:tc>
        <w:tc>
          <w:tcPr>
            <w:tcW w:type="dxa" w:w="6768"/>
            <w:shd w:fill="F8FAFC"/>
            <w:tcMar>
              <w:top w:w="90" w:type="dxa"/>
              <w:bottom w:w="90" w:type="dxa"/>
              <w:left w:w="130" w:type="dxa"/>
              <w:right w:w="130" w:type="dxa"/>
            </w:tcMar>
          </w:tcPr>
          <w:p>
            <w:r>
              <w:rPr>
                <w:rFonts w:ascii="Arial" w:hAnsi="Arial"/>
                <w:color w:val="334155"/>
                <w:sz w:val="18"/>
              </w:rPr>
              <w:t>Prototype build schedules, supplier part lead times, PPAP quality documentation milestones, and engineering change request governance.</w:t>
            </w:r>
          </w:p>
        </w:tc>
      </w:tr>
      <w:tr>
        <w:tc>
          <w:tcPr>
            <w:tcW w:type="dxa" w:w="3312"/>
            <w:shd w:fill="FFFFFF"/>
            <w:tcMar>
              <w:top w:w="90" w:type="dxa"/>
              <w:bottom w:w="90" w:type="dxa"/>
              <w:left w:w="130" w:type="dxa"/>
              <w:right w:w="130" w:type="dxa"/>
            </w:tcMar>
          </w:tcPr>
          <w:p>
            <w:r>
              <w:rPr>
                <w:rFonts w:ascii="Arial" w:hAnsi="Arial"/>
                <w:color w:val="334155"/>
                <w:sz w:val="18"/>
              </w:rPr>
              <w:t>13. Retail &amp; Commercial Store Rollouts</w:t>
            </w:r>
          </w:p>
        </w:tc>
        <w:tc>
          <w:tcPr>
            <w:tcW w:type="dxa" w:w="6768"/>
            <w:shd w:fill="FFFFFF"/>
            <w:tcMar>
              <w:top w:w="90" w:type="dxa"/>
              <w:bottom w:w="90" w:type="dxa"/>
              <w:left w:w="130" w:type="dxa"/>
              <w:right w:w="130" w:type="dxa"/>
            </w:tcMar>
          </w:tcPr>
          <w:p>
            <w:r>
              <w:rPr>
                <w:rFonts w:ascii="Arial" w:hAnsi="Arial"/>
                <w:color w:val="334155"/>
                <w:sz w:val="18"/>
              </w:rPr>
              <w:t>Standardized 45-day store opening templates, fit-out contractor tracking, visual merchandising checklists, and opening day countdowns.</w:t>
            </w:r>
          </w:p>
        </w:tc>
      </w:tr>
      <w:tr>
        <w:tc>
          <w:tcPr>
            <w:tcW w:type="dxa" w:w="3312"/>
            <w:shd w:fill="F8FAFC"/>
            <w:tcMar>
              <w:top w:w="90" w:type="dxa"/>
              <w:bottom w:w="90" w:type="dxa"/>
              <w:left w:w="130" w:type="dxa"/>
              <w:right w:w="130" w:type="dxa"/>
            </w:tcMar>
          </w:tcPr>
          <w:p>
            <w:r>
              <w:rPr>
                <w:rFonts w:ascii="Arial" w:hAnsi="Arial"/>
                <w:color w:val="334155"/>
                <w:sz w:val="18"/>
              </w:rPr>
              <w:t>14. NGO &amp; Grant-Funded Programs</w:t>
            </w:r>
          </w:p>
        </w:tc>
        <w:tc>
          <w:tcPr>
            <w:tcW w:type="dxa" w:w="6768"/>
            <w:shd w:fill="F8FAFC"/>
            <w:tcMar>
              <w:top w:w="90" w:type="dxa"/>
              <w:bottom w:w="90" w:type="dxa"/>
              <w:left w:w="130" w:type="dxa"/>
              <w:right w:w="130" w:type="dxa"/>
            </w:tcMar>
          </w:tcPr>
          <w:p>
            <w:r>
              <w:rPr>
                <w:rFonts w:ascii="Arial" w:hAnsi="Arial"/>
                <w:color w:val="334155"/>
                <w:sz w:val="18"/>
              </w:rPr>
              <w:t>Donor grant deliverable accounting, field worker timesheet cost allocation, milestone progress verification, and donor-ready audit reports.</w:t>
            </w:r>
          </w:p>
        </w:tc>
      </w:tr>
      <w:tr>
        <w:tc>
          <w:tcPr>
            <w:tcW w:type="dxa" w:w="3312"/>
            <w:shd w:fill="FFFFFF"/>
            <w:tcMar>
              <w:top w:w="90" w:type="dxa"/>
              <w:bottom w:w="90" w:type="dxa"/>
              <w:left w:w="130" w:type="dxa"/>
              <w:right w:w="130" w:type="dxa"/>
            </w:tcMar>
          </w:tcPr>
          <w:p>
            <w:r>
              <w:rPr>
                <w:rFonts w:ascii="Arial" w:hAnsi="Arial"/>
                <w:color w:val="334155"/>
                <w:sz w:val="18"/>
              </w:rPr>
              <w:t>15. AI / Machine Learning &amp; Data Engineering</w:t>
            </w:r>
          </w:p>
        </w:tc>
        <w:tc>
          <w:tcPr>
            <w:tcW w:type="dxa" w:w="6768"/>
            <w:shd w:fill="FFFFFF"/>
            <w:tcMar>
              <w:top w:w="90" w:type="dxa"/>
              <w:bottom w:w="90" w:type="dxa"/>
              <w:left w:w="130" w:type="dxa"/>
              <w:right w:w="130" w:type="dxa"/>
            </w:tcMar>
          </w:tcPr>
          <w:p>
            <w:r>
              <w:rPr>
                <w:rFonts w:ascii="Arial" w:hAnsi="Arial"/>
                <w:color w:val="334155"/>
                <w:sz w:val="18"/>
              </w:rPr>
              <w:t>Data pipeline engineering milestones, GPU/infrastructure cost allocation, model training sprints, and client validation sign-offs.</w:t>
            </w:r>
          </w:p>
        </w:tc>
      </w:tr>
    </w:tbl>
    <w:p>
      <w:pPr>
        <w:spacing w:before="160"/>
      </w:pPr>
      <w:r>
        <w:rPr>
          <w:b/>
          <w:color w:val="1E293B"/>
          <w:sz w:val="20"/>
        </w:rPr>
        <w:t>Consultation Banner:</w:t>
        <w:br/>
        <w:t>Your industry has unique delivery constraints. Your projects should not run on static spreadsheets.</w:t>
        <w:br/>
      </w:r>
      <w:r>
        <w:rPr>
          <w:sz w:val="19"/>
        </w:rPr>
        <w:t>See how Zoho Projects can be configured around your contractual milestones, team rate cards, and client collaboration standards.</w:t>
        <w:br/>
        <w:t>Call-to-Action: Talk to a Project Solution Architect (Link: https://elitemeetings.elitetechcorp.com/?utm_source=zoho-projects-landing&amp;utm_medium=cta&amp;utm_campaign=zoho_projects_implementation&amp;utm_content=industry_cta#/sales-enquiries)</w:t>
      </w:r>
    </w:p>
    <w:p>
      <w:pPr>
        <w:pStyle w:val="Heading1"/>
        <w:keepNext/>
        <w:spacing w:before="320" w:after="120"/>
      </w:pPr>
      <w:r>
        <w:rPr>
          <w:rFonts w:ascii="Arial" w:hAnsi="Arial"/>
          <w:b/>
          <w:color w:val="236EB4"/>
          <w:sz w:val="34"/>
        </w:rPr>
        <w:t>Section 10: Complete Functional Scope Modules</w:t>
      </w:r>
    </w:p>
    <w:p>
      <w:r>
        <w:rPr>
          <w:b/>
          <w:color w:val="236EB4"/>
        </w:rPr>
        <w:t>Eyebrow Badge: COMPLETE SCOPE ARCHITECTURE</w:t>
        <w:br/>
      </w:r>
      <w:r>
        <w:rPr>
          <w:b/>
          <w:color w:val="1E293B"/>
          <w:sz w:val="24"/>
        </w:rPr>
        <w:t>H2 Headline: Complete Zoho Projects Functional Scope</w:t>
        <w:br/>
      </w:r>
      <w:r>
        <w:rPr>
          <w:sz w:val="19"/>
        </w:rPr>
        <w:t>Subheadline Copy: 11 integrated functional modules and up to 34 configured enterprise activities covering the entire delivery lifecycle—from initial WBS decomposition to executive BI.</w:t>
        <w:br/>
      </w:r>
    </w:p>
    <w:tbl>
      <w:tblPr>
        <w:tblW w:type="auto" w:w="0"/>
        <w:jc w:val="center"/>
        <w:tblLook w:firstColumn="1" w:firstRow="1" w:lastColumn="0" w:lastRow="0" w:noHBand="0" w:noVBand="1" w:val="04A0"/>
      </w:tblPr>
      <w:tblGrid>
        <w:gridCol w:w="5040"/>
        <w:gridCol w:w="5040"/>
      </w:tblGrid>
      <w:tr>
        <w:tc>
          <w:tcPr>
            <w:tcW w:type="dxa" w:w="3600"/>
            <w:shd w:fill="236EB4"/>
            <w:tcMar>
              <w:top w:w="110" w:type="dxa"/>
              <w:bottom w:w="110" w:type="dxa"/>
              <w:left w:w="130" w:type="dxa"/>
              <w:right w:w="130" w:type="dxa"/>
            </w:tcMar>
          </w:tcPr>
          <w:p>
            <w:pPr>
              <w:jc w:val="left"/>
            </w:pPr>
            <w:r>
              <w:rPr>
                <w:rFonts w:ascii="Arial" w:hAnsi="Arial"/>
                <w:b/>
                <w:color w:val="FFFFFF"/>
                <w:sz w:val="19"/>
              </w:rPr>
              <w:t>Functional Area / Scope Module</w:t>
            </w:r>
          </w:p>
        </w:tc>
        <w:tc>
          <w:tcPr>
            <w:tcW w:type="dxa" w:w="6480"/>
            <w:shd w:fill="236EB4"/>
            <w:tcMar>
              <w:top w:w="110" w:type="dxa"/>
              <w:bottom w:w="110" w:type="dxa"/>
              <w:left w:w="130" w:type="dxa"/>
              <w:right w:w="130" w:type="dxa"/>
            </w:tcMar>
          </w:tcPr>
          <w:p>
            <w:pPr>
              <w:jc w:val="left"/>
            </w:pPr>
            <w:r>
              <w:rPr>
                <w:rFonts w:ascii="Arial" w:hAnsi="Arial"/>
                <w:b/>
                <w:color w:val="FFFFFF"/>
                <w:sz w:val="19"/>
              </w:rPr>
              <w:t>Scope Deliverables &amp; Configuration Focus</w:t>
            </w:r>
          </w:p>
        </w:tc>
      </w:tr>
      <w:tr>
        <w:tc>
          <w:tcPr>
            <w:tcW w:type="dxa" w:w="3600"/>
            <w:shd w:fill="FFFFFF"/>
            <w:tcMar>
              <w:top w:w="90" w:type="dxa"/>
              <w:bottom w:w="90" w:type="dxa"/>
              <w:left w:w="130" w:type="dxa"/>
              <w:right w:w="130" w:type="dxa"/>
            </w:tcMar>
          </w:tcPr>
          <w:p>
            <w:r>
              <w:rPr>
                <w:rFonts w:ascii="Arial" w:hAnsi="Arial"/>
                <w:color w:val="334155"/>
                <w:sz w:val="18"/>
              </w:rPr>
              <w:t>Module 01: Workspace Architecture, Custom Domain &amp; Security</w:t>
            </w:r>
          </w:p>
        </w:tc>
        <w:tc>
          <w:tcPr>
            <w:tcW w:type="dxa" w:w="6480"/>
            <w:shd w:fill="FFFFFF"/>
            <w:tcMar>
              <w:top w:w="90" w:type="dxa"/>
              <w:bottom w:w="90" w:type="dxa"/>
              <w:left w:w="130" w:type="dxa"/>
              <w:right w:w="130" w:type="dxa"/>
            </w:tcMar>
          </w:tcPr>
          <w:p>
            <w:r>
              <w:rPr>
                <w:rFonts w:ascii="Arial" w:hAnsi="Arial"/>
                <w:color w:val="334155"/>
                <w:sz w:val="18"/>
              </w:rPr>
              <w:t>Portal profile, business hours, working calendar, custom domain mapping, SSO/SAML, custom security profiles, user groups, and sandbox security environments.</w:t>
            </w:r>
          </w:p>
        </w:tc>
      </w:tr>
      <w:tr>
        <w:tc>
          <w:tcPr>
            <w:tcW w:type="dxa" w:w="3600"/>
            <w:shd w:fill="F8FAFC"/>
            <w:tcMar>
              <w:top w:w="90" w:type="dxa"/>
              <w:bottom w:w="90" w:type="dxa"/>
              <w:left w:w="130" w:type="dxa"/>
              <w:right w:w="130" w:type="dxa"/>
            </w:tcMar>
          </w:tcPr>
          <w:p>
            <w:r>
              <w:rPr>
                <w:rFonts w:ascii="Arial" w:hAnsi="Arial"/>
                <w:color w:val="334155"/>
                <w:sz w:val="18"/>
              </w:rPr>
              <w:t>Module 02: Master Templates &amp; WBS Hierarchy</w:t>
            </w:r>
          </w:p>
        </w:tc>
        <w:tc>
          <w:tcPr>
            <w:tcW w:type="dxa" w:w="6480"/>
            <w:shd w:fill="F8FAFC"/>
            <w:tcMar>
              <w:top w:w="90" w:type="dxa"/>
              <w:bottom w:w="90" w:type="dxa"/>
              <w:left w:w="130" w:type="dxa"/>
              <w:right w:w="130" w:type="dxa"/>
            </w:tcMar>
          </w:tcPr>
          <w:p>
            <w:r>
              <w:rPr>
                <w:rFonts w:ascii="Arial" w:hAnsi="Arial"/>
                <w:color w:val="334155"/>
                <w:sz w:val="18"/>
              </w:rPr>
              <w:t>Repeatable template library (up to 20+), multi-level WBS nesting, deliverable milestone structures, and task checklist libraries.</w:t>
            </w:r>
          </w:p>
        </w:tc>
      </w:tr>
      <w:tr>
        <w:tc>
          <w:tcPr>
            <w:tcW w:type="dxa" w:w="3600"/>
            <w:shd w:fill="FFFFFF"/>
            <w:tcMar>
              <w:top w:w="90" w:type="dxa"/>
              <w:bottom w:w="90" w:type="dxa"/>
              <w:left w:w="130" w:type="dxa"/>
              <w:right w:w="130" w:type="dxa"/>
            </w:tcMar>
          </w:tcPr>
          <w:p>
            <w:r>
              <w:rPr>
                <w:rFonts w:ascii="Arial" w:hAnsi="Arial"/>
                <w:color w:val="334155"/>
                <w:sz w:val="18"/>
              </w:rPr>
              <w:t>Module 03: Custom Fields, Layouts &amp; Dynamic Rules</w:t>
            </w:r>
          </w:p>
        </w:tc>
        <w:tc>
          <w:tcPr>
            <w:tcW w:type="dxa" w:w="6480"/>
            <w:shd w:fill="FFFFFF"/>
            <w:tcMar>
              <w:top w:w="90" w:type="dxa"/>
              <w:bottom w:w="90" w:type="dxa"/>
              <w:left w:w="130" w:type="dxa"/>
              <w:right w:w="130" w:type="dxa"/>
            </w:tcMar>
          </w:tcPr>
          <w:p>
            <w:r>
              <w:rPr>
                <w:rFonts w:ascii="Arial" w:hAnsi="Arial"/>
                <w:color w:val="334155"/>
                <w:sz w:val="18"/>
              </w:rPr>
              <w:t>Custom fields across projects/tasks, dynamic layout visibility rules, custom web tabs, and stage-specific status pipelines.</w:t>
            </w:r>
          </w:p>
        </w:tc>
      </w:tr>
      <w:tr>
        <w:tc>
          <w:tcPr>
            <w:tcW w:type="dxa" w:w="3600"/>
            <w:shd w:fill="F8FAFC"/>
            <w:tcMar>
              <w:top w:w="90" w:type="dxa"/>
              <w:bottom w:w="90" w:type="dxa"/>
              <w:left w:w="130" w:type="dxa"/>
              <w:right w:w="130" w:type="dxa"/>
            </w:tcMar>
          </w:tcPr>
          <w:p>
            <w:r>
              <w:rPr>
                <w:rFonts w:ascii="Arial" w:hAnsi="Arial"/>
                <w:color w:val="334155"/>
                <w:sz w:val="18"/>
              </w:rPr>
              <w:t>Module 04: Milestone &amp; Task Blueprints (Process Governance)</w:t>
            </w:r>
          </w:p>
        </w:tc>
        <w:tc>
          <w:tcPr>
            <w:tcW w:type="dxa" w:w="6480"/>
            <w:shd w:fill="F8FAFC"/>
            <w:tcMar>
              <w:top w:w="90" w:type="dxa"/>
              <w:bottom w:w="90" w:type="dxa"/>
              <w:left w:w="130" w:type="dxa"/>
              <w:right w:w="130" w:type="dxa"/>
            </w:tcMar>
          </w:tcPr>
          <w:p>
            <w:r>
              <w:rPr>
                <w:rFonts w:ascii="Arial" w:hAnsi="Arial"/>
                <w:color w:val="334155"/>
                <w:sz w:val="18"/>
              </w:rPr>
              <w:t>Visual state machine Blueprints, mandatory field validations, digital approval gates, and automated status transitions.</w:t>
            </w:r>
          </w:p>
        </w:tc>
      </w:tr>
      <w:tr>
        <w:tc>
          <w:tcPr>
            <w:tcW w:type="dxa" w:w="3600"/>
            <w:shd w:fill="FFFFFF"/>
            <w:tcMar>
              <w:top w:w="90" w:type="dxa"/>
              <w:bottom w:w="90" w:type="dxa"/>
              <w:left w:w="130" w:type="dxa"/>
              <w:right w:w="130" w:type="dxa"/>
            </w:tcMar>
          </w:tcPr>
          <w:p>
            <w:r>
              <w:rPr>
                <w:rFonts w:ascii="Arial" w:hAnsi="Arial"/>
                <w:color w:val="334155"/>
                <w:sz w:val="18"/>
              </w:rPr>
              <w:t>Module 05: Interactive Gantt, Dependencies &amp; CPM Engine</w:t>
            </w:r>
          </w:p>
        </w:tc>
        <w:tc>
          <w:tcPr>
            <w:tcW w:type="dxa" w:w="6480"/>
            <w:shd w:fill="FFFFFF"/>
            <w:tcMar>
              <w:top w:w="90" w:type="dxa"/>
              <w:bottom w:w="90" w:type="dxa"/>
              <w:left w:w="130" w:type="dxa"/>
              <w:right w:w="130" w:type="dxa"/>
            </w:tcMar>
          </w:tcPr>
          <w:p>
            <w:r>
              <w:rPr>
                <w:rFonts w:ascii="Arial" w:hAnsi="Arial"/>
                <w:color w:val="334155"/>
                <w:sz w:val="18"/>
              </w:rPr>
              <w:t>4 dependency logic models (FS/SS/FF/SF), Critical Path calculation, slack time tracking, and schedule risk alerts.</w:t>
            </w:r>
          </w:p>
        </w:tc>
      </w:tr>
      <w:tr>
        <w:tc>
          <w:tcPr>
            <w:tcW w:type="dxa" w:w="3600"/>
            <w:shd w:fill="F8FAFC"/>
            <w:tcMar>
              <w:top w:w="90" w:type="dxa"/>
              <w:bottom w:w="90" w:type="dxa"/>
              <w:left w:w="130" w:type="dxa"/>
              <w:right w:w="130" w:type="dxa"/>
            </w:tcMar>
          </w:tcPr>
          <w:p>
            <w:r>
              <w:rPr>
                <w:rFonts w:ascii="Arial" w:hAnsi="Arial"/>
                <w:color w:val="334155"/>
                <w:sz w:val="18"/>
              </w:rPr>
              <w:t>Module 06: Multi-Version Baseline Variance Engine</w:t>
            </w:r>
          </w:p>
        </w:tc>
        <w:tc>
          <w:tcPr>
            <w:tcW w:type="dxa" w:w="6480"/>
            <w:shd w:fill="F8FAFC"/>
            <w:tcMar>
              <w:top w:w="90" w:type="dxa"/>
              <w:bottom w:w="90" w:type="dxa"/>
              <w:left w:w="130" w:type="dxa"/>
              <w:right w:w="130" w:type="dxa"/>
            </w:tcMar>
          </w:tcPr>
          <w:p>
            <w:r>
              <w:rPr>
                <w:rFonts w:ascii="Arial" w:hAnsi="Arial"/>
                <w:color w:val="334155"/>
                <w:sz w:val="18"/>
              </w:rPr>
              <w:t>Unlimited baseline snapshots (Original Contract vs. Approved Scope Changes), Gantt baseline overlays, and variance tracking.</w:t>
            </w:r>
          </w:p>
        </w:tc>
      </w:tr>
      <w:tr>
        <w:tc>
          <w:tcPr>
            <w:tcW w:type="dxa" w:w="3600"/>
            <w:shd w:fill="FFFFFF"/>
            <w:tcMar>
              <w:top w:w="90" w:type="dxa"/>
              <w:bottom w:w="90" w:type="dxa"/>
              <w:left w:w="130" w:type="dxa"/>
              <w:right w:w="130" w:type="dxa"/>
            </w:tcMar>
          </w:tcPr>
          <w:p>
            <w:r>
              <w:rPr>
                <w:rFonts w:ascii="Arial" w:hAnsi="Arial"/>
                <w:color w:val="334155"/>
                <w:sz w:val="18"/>
              </w:rPr>
              <w:t>Module 07: Resource Capacity Planning &amp; Workload Balancing</w:t>
            </w:r>
          </w:p>
        </w:tc>
        <w:tc>
          <w:tcPr>
            <w:tcW w:type="dxa" w:w="6480"/>
            <w:shd w:fill="FFFFFF"/>
            <w:tcMar>
              <w:top w:w="90" w:type="dxa"/>
              <w:bottom w:w="90" w:type="dxa"/>
              <w:left w:w="130" w:type="dxa"/>
              <w:right w:w="130" w:type="dxa"/>
            </w:tcMar>
          </w:tcPr>
          <w:p>
            <w:r>
              <w:rPr>
                <w:rFonts w:ascii="Arial" w:hAnsi="Arial"/>
                <w:color w:val="334155"/>
                <w:sz w:val="18"/>
              </w:rPr>
              <w:t>Cross-project utilization heatmaps, daily/weekly capacity allocation limits, burnout detection, and Zoho People leave/shift sync.</w:t>
            </w:r>
          </w:p>
        </w:tc>
      </w:tr>
      <w:tr>
        <w:tc>
          <w:tcPr>
            <w:tcW w:type="dxa" w:w="3600"/>
            <w:shd w:fill="F8FAFC"/>
            <w:tcMar>
              <w:top w:w="90" w:type="dxa"/>
              <w:bottom w:w="90" w:type="dxa"/>
              <w:left w:w="130" w:type="dxa"/>
              <w:right w:w="130" w:type="dxa"/>
            </w:tcMar>
          </w:tcPr>
          <w:p>
            <w:r>
              <w:rPr>
                <w:rFonts w:ascii="Arial" w:hAnsi="Arial"/>
                <w:color w:val="334155"/>
                <w:sz w:val="18"/>
              </w:rPr>
              <w:t>Module 08: Advanced Timesheets &amp; Multi-Tier Billing Rates</w:t>
            </w:r>
          </w:p>
        </w:tc>
        <w:tc>
          <w:tcPr>
            <w:tcW w:type="dxa" w:w="6480"/>
            <w:shd w:fill="F8FAFC"/>
            <w:tcMar>
              <w:top w:w="90" w:type="dxa"/>
              <w:bottom w:w="90" w:type="dxa"/>
              <w:left w:w="130" w:type="dxa"/>
              <w:right w:w="130" w:type="dxa"/>
            </w:tcMar>
          </w:tcPr>
          <w:p>
            <w:r>
              <w:rPr>
                <w:rFonts w:ascii="Arial" w:hAnsi="Arial"/>
                <w:color w:val="334155"/>
                <w:sz w:val="18"/>
              </w:rPr>
              <w:t>Live multi-timer stopwatch, Staff/Role/Project billing rates, multi-stage approval workflows, and payroll lock periods.</w:t>
            </w:r>
          </w:p>
        </w:tc>
      </w:tr>
      <w:tr>
        <w:tc>
          <w:tcPr>
            <w:tcW w:type="dxa" w:w="3600"/>
            <w:shd w:fill="FFFFFF"/>
            <w:tcMar>
              <w:top w:w="90" w:type="dxa"/>
              <w:bottom w:w="90" w:type="dxa"/>
              <w:left w:w="130" w:type="dxa"/>
              <w:right w:w="130" w:type="dxa"/>
            </w:tcMar>
          </w:tcPr>
          <w:p>
            <w:r>
              <w:rPr>
                <w:rFonts w:ascii="Arial" w:hAnsi="Arial"/>
                <w:color w:val="334155"/>
                <w:sz w:val="18"/>
              </w:rPr>
              <w:t>Module 09: Enterprise Project Budgeting &amp; EVM Financial Flow</w:t>
            </w:r>
          </w:p>
        </w:tc>
        <w:tc>
          <w:tcPr>
            <w:tcW w:type="dxa" w:w="6480"/>
            <w:shd w:fill="FFFFFF"/>
            <w:tcMar>
              <w:top w:w="90" w:type="dxa"/>
              <w:bottom w:w="90" w:type="dxa"/>
              <w:left w:w="130" w:type="dxa"/>
              <w:right w:w="130" w:type="dxa"/>
            </w:tcMar>
          </w:tcPr>
          <w:p>
            <w:r>
              <w:rPr>
                <w:rFonts w:ascii="Arial" w:hAnsi="Arial"/>
                <w:color w:val="334155"/>
                <w:sz w:val="18"/>
              </w:rPr>
              <w:t>Exclusive to Elite: Project/milestone amount and hour budgets, real-time cost burn tracking, hard-stop freeze triggers, and Earned Value Management (CPI/SPI).</w:t>
            </w:r>
          </w:p>
        </w:tc>
      </w:tr>
      <w:tr>
        <w:tc>
          <w:tcPr>
            <w:tcW w:type="dxa" w:w="3600"/>
            <w:shd w:fill="F8FAFC"/>
            <w:tcMar>
              <w:top w:w="90" w:type="dxa"/>
              <w:bottom w:w="90" w:type="dxa"/>
              <w:left w:w="130" w:type="dxa"/>
              <w:right w:w="130" w:type="dxa"/>
            </w:tcMar>
          </w:tcPr>
          <w:p>
            <w:r>
              <w:rPr>
                <w:rFonts w:ascii="Arial" w:hAnsi="Arial"/>
                <w:color w:val="334155"/>
                <w:sz w:val="18"/>
              </w:rPr>
              <w:t>Module 10: Client &amp; Subcontractor Sandboxed Portals</w:t>
            </w:r>
          </w:p>
        </w:tc>
        <w:tc>
          <w:tcPr>
            <w:tcW w:type="dxa" w:w="6480"/>
            <w:shd w:fill="F8FAFC"/>
            <w:tcMar>
              <w:top w:w="90" w:type="dxa"/>
              <w:bottom w:w="90" w:type="dxa"/>
              <w:left w:w="130" w:type="dxa"/>
              <w:right w:w="130" w:type="dxa"/>
            </w:tcMar>
          </w:tcPr>
          <w:p>
            <w:r>
              <w:rPr>
                <w:rFonts w:ascii="Arial" w:hAnsi="Arial"/>
                <w:color w:val="334155"/>
                <w:sz w:val="18"/>
              </w:rPr>
              <w:t>Restricted external client collaboration, subcontractor sandboxes, deliverable digital approvals, and Pages/Wiki forums.</w:t>
            </w:r>
          </w:p>
        </w:tc>
      </w:tr>
      <w:tr>
        <w:tc>
          <w:tcPr>
            <w:tcW w:type="dxa" w:w="3600"/>
            <w:shd w:fill="FFFFFF"/>
            <w:tcMar>
              <w:top w:w="90" w:type="dxa"/>
              <w:bottom w:w="90" w:type="dxa"/>
              <w:left w:w="130" w:type="dxa"/>
              <w:right w:w="130" w:type="dxa"/>
            </w:tcMar>
          </w:tcPr>
          <w:p>
            <w:r>
              <w:rPr>
                <w:rFonts w:ascii="Arial" w:hAnsi="Arial"/>
                <w:color w:val="334155"/>
                <w:sz w:val="18"/>
              </w:rPr>
              <w:t>Module 11: Custom Deluge Scripting, DevOps &amp; Analytics BI</w:t>
            </w:r>
          </w:p>
        </w:tc>
        <w:tc>
          <w:tcPr>
            <w:tcW w:type="dxa" w:w="6480"/>
            <w:shd w:fill="FFFFFF"/>
            <w:tcMar>
              <w:top w:w="90" w:type="dxa"/>
              <w:bottom w:w="90" w:type="dxa"/>
              <w:left w:w="130" w:type="dxa"/>
              <w:right w:w="130" w:type="dxa"/>
            </w:tcMar>
          </w:tcPr>
          <w:p>
            <w:r>
              <w:rPr>
                <w:rFonts w:ascii="Arial" w:hAnsi="Arial"/>
                <w:color w:val="334155"/>
                <w:sz w:val="18"/>
              </w:rPr>
              <w:t>Serverless Deluge scripts, GitHub/GitLab commit linking, REST APIs, and Zoho Analytics executive portfolio BI dashboards.</w:t>
            </w:r>
          </w:p>
        </w:tc>
      </w:tr>
    </w:tbl>
    <w:p>
      <w:pPr>
        <w:spacing w:before="120"/>
      </w:pPr>
    </w:p>
    <w:p>
      <w:pPr>
        <w:pStyle w:val="Heading1"/>
        <w:keepNext/>
        <w:spacing w:before="320" w:after="120"/>
      </w:pPr>
      <w:r>
        <w:rPr>
          <w:rFonts w:ascii="Arial" w:hAnsi="Arial"/>
          <w:b/>
          <w:color w:val="236EB4"/>
          <w:sz w:val="34"/>
        </w:rPr>
        <w:t>Section 11: Comparative Analysis Matrix</w:t>
      </w:r>
    </w:p>
    <w:p>
      <w:r>
        <w:rPr>
          <w:b/>
          <w:color w:val="236EB4"/>
        </w:rPr>
        <w:t>Eyebrow Badge: STRATEGIC EVALUATION MATRIX</w:t>
        <w:br/>
      </w:r>
      <w:r>
        <w:rPr>
          <w:b/>
          <w:color w:val="1E293B"/>
          <w:sz w:val="24"/>
        </w:rPr>
        <w:t>H2 Headline: Zoho Projects + Elite Tech Corp vs Alternative Solutions</w:t>
        <w:br/>
      </w:r>
      <w:r>
        <w:rPr>
          <w:sz w:val="19"/>
        </w:rPr>
        <w:t>Subheadline Copy: Compare platform capability, process governance, financial controls, and turnkey implementation depth.</w:t>
        <w:br/>
      </w:r>
    </w:p>
    <w:tbl>
      <w:tblPr>
        <w:tblW w:type="auto" w:w="0"/>
        <w:jc w:val="center"/>
        <w:tblLook w:firstColumn="1" w:firstRow="1" w:lastColumn="0" w:lastRow="0" w:noHBand="0" w:noVBand="1" w:val="04A0"/>
      </w:tblPr>
      <w:tblGrid>
        <w:gridCol w:w="2520"/>
        <w:gridCol w:w="2520"/>
        <w:gridCol w:w="2520"/>
        <w:gridCol w:w="2520"/>
      </w:tblGrid>
      <w:tr>
        <w:tc>
          <w:tcPr>
            <w:tcW w:type="dxa" w:w="2160"/>
            <w:shd w:fill="236EB4"/>
            <w:tcMar>
              <w:top w:w="110" w:type="dxa"/>
              <w:bottom w:w="110" w:type="dxa"/>
              <w:left w:w="130" w:type="dxa"/>
              <w:right w:w="130" w:type="dxa"/>
            </w:tcMar>
          </w:tcPr>
          <w:p>
            <w:pPr>
              <w:jc w:val="left"/>
            </w:pPr>
            <w:r>
              <w:rPr>
                <w:rFonts w:ascii="Arial" w:hAnsi="Arial"/>
                <w:b/>
                <w:color w:val="FFFFFF"/>
                <w:sz w:val="19"/>
              </w:rPr>
              <w:t>Evaluation Dimension</w:t>
            </w:r>
          </w:p>
        </w:tc>
        <w:tc>
          <w:tcPr>
            <w:tcW w:type="dxa" w:w="2736"/>
            <w:shd w:fill="236EB4"/>
            <w:tcMar>
              <w:top w:w="110" w:type="dxa"/>
              <w:bottom w:w="110" w:type="dxa"/>
              <w:left w:w="130" w:type="dxa"/>
              <w:right w:w="130" w:type="dxa"/>
            </w:tcMar>
          </w:tcPr>
          <w:p>
            <w:pPr>
              <w:jc w:val="left"/>
            </w:pPr>
            <w:r>
              <w:rPr>
                <w:rFonts w:ascii="Arial" w:hAnsi="Arial"/>
                <w:b/>
                <w:color w:val="FFFFFF"/>
                <w:sz w:val="19"/>
              </w:rPr>
              <w:t>Zoho Projects + Elite Tech Corp</w:t>
            </w:r>
          </w:p>
        </w:tc>
        <w:tc>
          <w:tcPr>
            <w:tcW w:type="dxa" w:w="2592"/>
            <w:shd w:fill="236EB4"/>
            <w:tcMar>
              <w:top w:w="110" w:type="dxa"/>
              <w:bottom w:w="110" w:type="dxa"/>
              <w:left w:w="130" w:type="dxa"/>
              <w:right w:w="130" w:type="dxa"/>
            </w:tcMar>
          </w:tcPr>
          <w:p>
            <w:pPr>
              <w:jc w:val="left"/>
            </w:pPr>
            <w:r>
              <w:rPr>
                <w:rFonts w:ascii="Arial" w:hAnsi="Arial"/>
                <w:b/>
                <w:color w:val="FFFFFF"/>
                <w:sz w:val="19"/>
              </w:rPr>
              <w:t>Spreadsheets / Trello / Asana</w:t>
            </w:r>
          </w:p>
        </w:tc>
        <w:tc>
          <w:tcPr>
            <w:tcW w:type="dxa" w:w="2592"/>
            <w:shd w:fill="236EB4"/>
            <w:tcMar>
              <w:top w:w="110" w:type="dxa"/>
              <w:bottom w:w="110" w:type="dxa"/>
              <w:left w:w="130" w:type="dxa"/>
              <w:right w:w="130" w:type="dxa"/>
            </w:tcMar>
          </w:tcPr>
          <w:p>
            <w:pPr>
              <w:jc w:val="left"/>
            </w:pPr>
            <w:r>
              <w:rPr>
                <w:rFonts w:ascii="Arial" w:hAnsi="Arial"/>
                <w:b/>
                <w:color w:val="FFFFFF"/>
                <w:sz w:val="19"/>
              </w:rPr>
              <w:t>Complex Legacy PM (Jira / MS Project)</w:t>
            </w:r>
          </w:p>
        </w:tc>
      </w:tr>
      <w:tr>
        <w:tc>
          <w:tcPr>
            <w:tcW w:type="dxa" w:w="2160"/>
            <w:shd w:fill="FFFFFF"/>
            <w:tcMar>
              <w:top w:w="90" w:type="dxa"/>
              <w:bottom w:w="90" w:type="dxa"/>
              <w:left w:w="130" w:type="dxa"/>
              <w:right w:w="130" w:type="dxa"/>
            </w:tcMar>
          </w:tcPr>
          <w:p>
            <w:r>
              <w:rPr>
                <w:rFonts w:ascii="Arial" w:hAnsi="Arial"/>
                <w:color w:val="334155"/>
                <w:sz w:val="18"/>
              </w:rPr>
              <w:t>Project Budgeting &amp; EVM Financial Flow</w:t>
            </w:r>
          </w:p>
        </w:tc>
        <w:tc>
          <w:tcPr>
            <w:tcW w:type="dxa" w:w="2736"/>
            <w:shd w:fill="FFFFFF"/>
            <w:tcMar>
              <w:top w:w="90" w:type="dxa"/>
              <w:bottom w:w="90" w:type="dxa"/>
              <w:left w:w="130" w:type="dxa"/>
              <w:right w:w="130" w:type="dxa"/>
            </w:tcMar>
          </w:tcPr>
          <w:p>
            <w:r>
              <w:rPr>
                <w:rFonts w:ascii="Arial" w:hAnsi="Arial"/>
                <w:color w:val="334155"/>
                <w:sz w:val="18"/>
              </w:rPr>
              <w:t>Full Native Support: Amount &amp; hour budgets, live cost burn, and EVM (PV, EV, AC, CPI, SPI).</w:t>
            </w:r>
          </w:p>
        </w:tc>
        <w:tc>
          <w:tcPr>
            <w:tcW w:type="dxa" w:w="2592"/>
            <w:shd w:fill="FFFFFF"/>
            <w:tcMar>
              <w:top w:w="90" w:type="dxa"/>
              <w:bottom w:w="90" w:type="dxa"/>
              <w:left w:w="130" w:type="dxa"/>
              <w:right w:w="130" w:type="dxa"/>
            </w:tcMar>
          </w:tcPr>
          <w:p>
            <w:r>
              <w:rPr>
                <w:rFonts w:ascii="Arial" w:hAnsi="Arial"/>
                <w:color w:val="334155"/>
                <w:sz w:val="18"/>
              </w:rPr>
              <w:t>Manual: Requires error-prone side spreadsheets that drift out of sync.</w:t>
            </w:r>
          </w:p>
        </w:tc>
        <w:tc>
          <w:tcPr>
            <w:tcW w:type="dxa" w:w="2592"/>
            <w:shd w:fill="FFFFFF"/>
            <w:tcMar>
              <w:top w:w="90" w:type="dxa"/>
              <w:bottom w:w="90" w:type="dxa"/>
              <w:left w:w="130" w:type="dxa"/>
              <w:right w:w="130" w:type="dxa"/>
            </w:tcMar>
          </w:tcPr>
          <w:p>
            <w:r>
              <w:rPr>
                <w:rFonts w:ascii="Arial" w:hAnsi="Arial"/>
                <w:color w:val="334155"/>
                <w:sz w:val="18"/>
              </w:rPr>
              <w:t>Complex / Add-on: High configuration cost, requires expensive third-party plugins.</w:t>
            </w:r>
          </w:p>
        </w:tc>
      </w:tr>
      <w:tr>
        <w:tc>
          <w:tcPr>
            <w:tcW w:type="dxa" w:w="2160"/>
            <w:shd w:fill="F8FAFC"/>
            <w:tcMar>
              <w:top w:w="90" w:type="dxa"/>
              <w:bottom w:w="90" w:type="dxa"/>
              <w:left w:w="130" w:type="dxa"/>
              <w:right w:w="130" w:type="dxa"/>
            </w:tcMar>
          </w:tcPr>
          <w:p>
            <w:r>
              <w:rPr>
                <w:rFonts w:ascii="Arial" w:hAnsi="Arial"/>
                <w:color w:val="334155"/>
                <w:sz w:val="18"/>
              </w:rPr>
              <w:t>Stage-Gate Blueprints (Process Governance)</w:t>
            </w:r>
          </w:p>
        </w:tc>
        <w:tc>
          <w:tcPr>
            <w:tcW w:type="dxa" w:w="2736"/>
            <w:shd w:fill="F8FAFC"/>
            <w:tcMar>
              <w:top w:w="90" w:type="dxa"/>
              <w:bottom w:w="90" w:type="dxa"/>
              <w:left w:w="130" w:type="dxa"/>
              <w:right w:w="130" w:type="dxa"/>
            </w:tcMar>
          </w:tcPr>
          <w:p>
            <w:r>
              <w:rPr>
                <w:rFonts w:ascii="Arial" w:hAnsi="Arial"/>
                <w:color w:val="334155"/>
                <w:sz w:val="18"/>
              </w:rPr>
              <w:t>Built-in Visual State Machine: Mandates checklist completion &amp; sign-offs before stage change.</w:t>
            </w:r>
          </w:p>
        </w:tc>
        <w:tc>
          <w:tcPr>
            <w:tcW w:type="dxa" w:w="2592"/>
            <w:shd w:fill="F8FAFC"/>
            <w:tcMar>
              <w:top w:w="90" w:type="dxa"/>
              <w:bottom w:w="90" w:type="dxa"/>
              <w:left w:w="130" w:type="dxa"/>
              <w:right w:w="130" w:type="dxa"/>
            </w:tcMar>
          </w:tcPr>
          <w:p>
            <w:r>
              <w:rPr>
                <w:rFonts w:ascii="Arial" w:hAnsi="Arial"/>
                <w:color w:val="334155"/>
                <w:sz w:val="18"/>
              </w:rPr>
              <w:t>None: Relies entirely on human memory and voluntary compliance.</w:t>
            </w:r>
          </w:p>
        </w:tc>
        <w:tc>
          <w:tcPr>
            <w:tcW w:type="dxa" w:w="2592"/>
            <w:shd w:fill="F8FAFC"/>
            <w:tcMar>
              <w:top w:w="90" w:type="dxa"/>
              <w:bottom w:w="90" w:type="dxa"/>
              <w:left w:w="130" w:type="dxa"/>
              <w:right w:w="130" w:type="dxa"/>
            </w:tcMar>
          </w:tcPr>
          <w:p>
            <w:r>
              <w:rPr>
                <w:rFonts w:ascii="Arial" w:hAnsi="Arial"/>
                <w:color w:val="334155"/>
                <w:sz w:val="18"/>
              </w:rPr>
              <w:t>Complex Scripting: Requires custom workflow scripting and heavy administrative overhead.</w:t>
            </w:r>
          </w:p>
        </w:tc>
      </w:tr>
      <w:tr>
        <w:tc>
          <w:tcPr>
            <w:tcW w:type="dxa" w:w="2160"/>
            <w:shd w:fill="FFFFFF"/>
            <w:tcMar>
              <w:top w:w="90" w:type="dxa"/>
              <w:bottom w:w="90" w:type="dxa"/>
              <w:left w:w="130" w:type="dxa"/>
              <w:right w:w="130" w:type="dxa"/>
            </w:tcMar>
          </w:tcPr>
          <w:p>
            <w:r>
              <w:rPr>
                <w:rFonts w:ascii="Arial" w:hAnsi="Arial"/>
                <w:color w:val="334155"/>
                <w:sz w:val="18"/>
              </w:rPr>
              <w:t>Critical Path Method (CPM) &amp; Baselines</w:t>
            </w:r>
          </w:p>
        </w:tc>
        <w:tc>
          <w:tcPr>
            <w:tcW w:type="dxa" w:w="2736"/>
            <w:shd w:fill="FFFFFF"/>
            <w:tcMar>
              <w:top w:w="90" w:type="dxa"/>
              <w:bottom w:w="90" w:type="dxa"/>
              <w:left w:w="130" w:type="dxa"/>
              <w:right w:w="130" w:type="dxa"/>
            </w:tcMar>
          </w:tcPr>
          <w:p>
            <w:r>
              <w:rPr>
                <w:rFonts w:ascii="Arial" w:hAnsi="Arial"/>
                <w:color w:val="334155"/>
                <w:sz w:val="18"/>
              </w:rPr>
              <w:t>Native Dynamic CPM: Zero-slack identification, automated compression, and unlimited baseline versions.</w:t>
            </w:r>
          </w:p>
        </w:tc>
        <w:tc>
          <w:tcPr>
            <w:tcW w:type="dxa" w:w="2592"/>
            <w:shd w:fill="FFFFFF"/>
            <w:tcMar>
              <w:top w:w="90" w:type="dxa"/>
              <w:bottom w:w="90" w:type="dxa"/>
              <w:left w:w="130" w:type="dxa"/>
              <w:right w:w="130" w:type="dxa"/>
            </w:tcMar>
          </w:tcPr>
          <w:p>
            <w:r>
              <w:rPr>
                <w:rFonts w:ascii="Arial" w:hAnsi="Arial"/>
                <w:color w:val="334155"/>
                <w:sz w:val="18"/>
              </w:rPr>
              <w:t>None: Spreadsheets cannot dynamically compute critical paths or baseline shifts.</w:t>
            </w:r>
          </w:p>
        </w:tc>
        <w:tc>
          <w:tcPr>
            <w:tcW w:type="dxa" w:w="2592"/>
            <w:shd w:fill="FFFFFF"/>
            <w:tcMar>
              <w:top w:w="90" w:type="dxa"/>
              <w:bottom w:w="90" w:type="dxa"/>
              <w:left w:w="130" w:type="dxa"/>
              <w:right w:w="130" w:type="dxa"/>
            </w:tcMar>
          </w:tcPr>
          <w:p>
            <w:r>
              <w:rPr>
                <w:rFonts w:ascii="Arial" w:hAnsi="Arial"/>
                <w:color w:val="334155"/>
                <w:sz w:val="18"/>
              </w:rPr>
              <w:t>Available: Functional in MS Project but siloed and disconnected from team collaboration.</w:t>
            </w:r>
          </w:p>
        </w:tc>
      </w:tr>
      <w:tr>
        <w:tc>
          <w:tcPr>
            <w:tcW w:type="dxa" w:w="2160"/>
            <w:shd w:fill="F8FAFC"/>
            <w:tcMar>
              <w:top w:w="90" w:type="dxa"/>
              <w:bottom w:w="90" w:type="dxa"/>
              <w:left w:w="130" w:type="dxa"/>
              <w:right w:w="130" w:type="dxa"/>
            </w:tcMar>
          </w:tcPr>
          <w:p>
            <w:r>
              <w:rPr>
                <w:rFonts w:ascii="Arial" w:hAnsi="Arial"/>
                <w:color w:val="334155"/>
                <w:sz w:val="18"/>
              </w:rPr>
              <w:t>Resource Capacity Planning &amp; Heatmaps</w:t>
            </w:r>
          </w:p>
        </w:tc>
        <w:tc>
          <w:tcPr>
            <w:tcW w:type="dxa" w:w="2736"/>
            <w:shd w:fill="F8FAFC"/>
            <w:tcMar>
              <w:top w:w="90" w:type="dxa"/>
              <w:bottom w:w="90" w:type="dxa"/>
              <w:left w:w="130" w:type="dxa"/>
              <w:right w:w="130" w:type="dxa"/>
            </w:tcMar>
          </w:tcPr>
          <w:p>
            <w:r>
              <w:rPr>
                <w:rFonts w:ascii="Arial" w:hAnsi="Arial"/>
                <w:color w:val="334155"/>
                <w:sz w:val="18"/>
              </w:rPr>
              <w:t>Real-Time Heatmap: Cross-project utilization views, capacity leveling, and Zoho People leave sync.</w:t>
            </w:r>
          </w:p>
        </w:tc>
        <w:tc>
          <w:tcPr>
            <w:tcW w:type="dxa" w:w="2592"/>
            <w:shd w:fill="F8FAFC"/>
            <w:tcMar>
              <w:top w:w="90" w:type="dxa"/>
              <w:bottom w:w="90" w:type="dxa"/>
              <w:left w:w="130" w:type="dxa"/>
              <w:right w:w="130" w:type="dxa"/>
            </w:tcMar>
          </w:tcPr>
          <w:p>
            <w:r>
              <w:rPr>
                <w:rFonts w:ascii="Arial" w:hAnsi="Arial"/>
                <w:color w:val="334155"/>
                <w:sz w:val="18"/>
              </w:rPr>
              <w:t>Manual / Static: No live multi-project visibility across concurrent accounts.</w:t>
            </w:r>
          </w:p>
        </w:tc>
        <w:tc>
          <w:tcPr>
            <w:tcW w:type="dxa" w:w="2592"/>
            <w:shd w:fill="F8FAFC"/>
            <w:tcMar>
              <w:top w:w="90" w:type="dxa"/>
              <w:bottom w:w="90" w:type="dxa"/>
              <w:left w:w="130" w:type="dxa"/>
              <w:right w:w="130" w:type="dxa"/>
            </w:tcMar>
          </w:tcPr>
          <w:p>
            <w:r>
              <w:rPr>
                <w:rFonts w:ascii="Arial" w:hAnsi="Arial"/>
                <w:color w:val="334155"/>
                <w:sz w:val="18"/>
              </w:rPr>
              <w:t>Fragmented: Requires separate resource management add-on modules.</w:t>
            </w:r>
          </w:p>
        </w:tc>
      </w:tr>
      <w:tr>
        <w:tc>
          <w:tcPr>
            <w:tcW w:type="dxa" w:w="2160"/>
            <w:shd w:fill="FFFFFF"/>
            <w:tcMar>
              <w:top w:w="90" w:type="dxa"/>
              <w:bottom w:w="90" w:type="dxa"/>
              <w:left w:w="130" w:type="dxa"/>
              <w:right w:w="130" w:type="dxa"/>
            </w:tcMar>
          </w:tcPr>
          <w:p>
            <w:r>
              <w:rPr>
                <w:rFonts w:ascii="Arial" w:hAnsi="Arial"/>
                <w:color w:val="334155"/>
                <w:sz w:val="18"/>
              </w:rPr>
              <w:t>Native ERP &amp; Accounting Integration</w:t>
            </w:r>
          </w:p>
        </w:tc>
        <w:tc>
          <w:tcPr>
            <w:tcW w:type="dxa" w:w="2736"/>
            <w:shd w:fill="FFFFFF"/>
            <w:tcMar>
              <w:top w:w="90" w:type="dxa"/>
              <w:bottom w:w="90" w:type="dxa"/>
              <w:left w:w="130" w:type="dxa"/>
              <w:right w:w="130" w:type="dxa"/>
            </w:tcMar>
          </w:tcPr>
          <w:p>
            <w:r>
              <w:rPr>
                <w:rFonts w:ascii="Arial" w:hAnsi="Arial"/>
                <w:color w:val="334155"/>
                <w:sz w:val="18"/>
              </w:rPr>
              <w:t>1-Click Sync: Approved timesheets and milestone sign-offs push directly into Zoho Books/Invoice.</w:t>
            </w:r>
          </w:p>
        </w:tc>
        <w:tc>
          <w:tcPr>
            <w:tcW w:type="dxa" w:w="2592"/>
            <w:shd w:fill="FFFFFF"/>
            <w:tcMar>
              <w:top w:w="90" w:type="dxa"/>
              <w:bottom w:w="90" w:type="dxa"/>
              <w:left w:w="130" w:type="dxa"/>
              <w:right w:w="130" w:type="dxa"/>
            </w:tcMar>
          </w:tcPr>
          <w:p>
            <w:r>
              <w:rPr>
                <w:rFonts w:ascii="Arial" w:hAnsi="Arial"/>
                <w:color w:val="334155"/>
                <w:sz w:val="18"/>
              </w:rPr>
              <w:t>Manual Re-keying: Finance re-types hours from spreadsheets, creating billing errors.</w:t>
            </w:r>
          </w:p>
        </w:tc>
        <w:tc>
          <w:tcPr>
            <w:tcW w:type="dxa" w:w="2592"/>
            <w:shd w:fill="FFFFFF"/>
            <w:tcMar>
              <w:top w:w="90" w:type="dxa"/>
              <w:bottom w:w="90" w:type="dxa"/>
              <w:left w:w="130" w:type="dxa"/>
              <w:right w:w="130" w:type="dxa"/>
            </w:tcMar>
          </w:tcPr>
          <w:p>
            <w:r>
              <w:rPr>
                <w:rFonts w:ascii="Arial" w:hAnsi="Arial"/>
                <w:color w:val="334155"/>
                <w:sz w:val="18"/>
              </w:rPr>
              <w:t>Custom Middleware: Requires expensive third-party connectors (Boomi, Zapier, MuleSoft).</w:t>
            </w:r>
          </w:p>
        </w:tc>
      </w:tr>
      <w:tr>
        <w:tc>
          <w:tcPr>
            <w:tcW w:type="dxa" w:w="2160"/>
            <w:shd w:fill="F8FAFC"/>
            <w:tcMar>
              <w:top w:w="90" w:type="dxa"/>
              <w:bottom w:w="90" w:type="dxa"/>
              <w:left w:w="130" w:type="dxa"/>
              <w:right w:w="130" w:type="dxa"/>
            </w:tcMar>
          </w:tcPr>
          <w:p>
            <w:r>
              <w:rPr>
                <w:rFonts w:ascii="Arial" w:hAnsi="Arial"/>
                <w:color w:val="334155"/>
                <w:sz w:val="18"/>
              </w:rPr>
              <w:t>Multi-Tier Timesheet Approvals &amp; Stopwatch</w:t>
            </w:r>
          </w:p>
        </w:tc>
        <w:tc>
          <w:tcPr>
            <w:tcW w:type="dxa" w:w="2736"/>
            <w:shd w:fill="F8FAFC"/>
            <w:tcMar>
              <w:top w:w="90" w:type="dxa"/>
              <w:bottom w:w="90" w:type="dxa"/>
              <w:left w:w="130" w:type="dxa"/>
              <w:right w:w="130" w:type="dxa"/>
            </w:tcMar>
          </w:tcPr>
          <w:p>
            <w:r>
              <w:rPr>
                <w:rFonts w:ascii="Arial" w:hAnsi="Arial"/>
                <w:color w:val="334155"/>
                <w:sz w:val="18"/>
              </w:rPr>
              <w:t>Integrated: Live multi-timer stopwatch, mobile time tracking, and multi-stage managerial approval chains.</w:t>
            </w:r>
          </w:p>
        </w:tc>
        <w:tc>
          <w:tcPr>
            <w:tcW w:type="dxa" w:w="2592"/>
            <w:shd w:fill="F8FAFC"/>
            <w:tcMar>
              <w:top w:w="90" w:type="dxa"/>
              <w:bottom w:w="90" w:type="dxa"/>
              <w:left w:w="130" w:type="dxa"/>
              <w:right w:w="130" w:type="dxa"/>
            </w:tcMar>
          </w:tcPr>
          <w:p>
            <w:r>
              <w:rPr>
                <w:rFonts w:ascii="Arial" w:hAnsi="Arial"/>
                <w:color w:val="334155"/>
                <w:sz w:val="18"/>
              </w:rPr>
              <w:t>Retrospective: Self-reported at week end with zero live stopwatch validation.</w:t>
            </w:r>
          </w:p>
        </w:tc>
        <w:tc>
          <w:tcPr>
            <w:tcW w:type="dxa" w:w="2592"/>
            <w:shd w:fill="F8FAFC"/>
            <w:tcMar>
              <w:top w:w="90" w:type="dxa"/>
              <w:bottom w:w="90" w:type="dxa"/>
              <w:left w:w="130" w:type="dxa"/>
              <w:right w:w="130" w:type="dxa"/>
            </w:tcMar>
          </w:tcPr>
          <w:p>
            <w:r>
              <w:rPr>
                <w:rFonts w:ascii="Arial" w:hAnsi="Arial"/>
                <w:color w:val="334155"/>
                <w:sz w:val="18"/>
              </w:rPr>
              <w:t>Developer-Focused: Often clunky for non-technical team members; separate time-tracking apps needed.</w:t>
            </w:r>
          </w:p>
        </w:tc>
      </w:tr>
      <w:tr>
        <w:tc>
          <w:tcPr>
            <w:tcW w:type="dxa" w:w="2160"/>
            <w:shd w:fill="FFFFFF"/>
            <w:tcMar>
              <w:top w:w="90" w:type="dxa"/>
              <w:bottom w:w="90" w:type="dxa"/>
              <w:left w:w="130" w:type="dxa"/>
              <w:right w:w="130" w:type="dxa"/>
            </w:tcMar>
          </w:tcPr>
          <w:p>
            <w:r>
              <w:rPr>
                <w:rFonts w:ascii="Arial" w:hAnsi="Arial"/>
                <w:color w:val="334155"/>
                <w:sz w:val="18"/>
              </w:rPr>
              <w:t>Sandboxed Client &amp; Subcontractor Portals</w:t>
            </w:r>
          </w:p>
        </w:tc>
        <w:tc>
          <w:tcPr>
            <w:tcW w:type="dxa" w:w="2736"/>
            <w:shd w:fill="FFFFFF"/>
            <w:tcMar>
              <w:top w:w="90" w:type="dxa"/>
              <w:bottom w:w="90" w:type="dxa"/>
              <w:left w:w="130" w:type="dxa"/>
              <w:right w:w="130" w:type="dxa"/>
            </w:tcMar>
          </w:tcPr>
          <w:p>
            <w:r>
              <w:rPr>
                <w:rFonts w:ascii="Arial" w:hAnsi="Arial"/>
                <w:color w:val="334155"/>
                <w:sz w:val="18"/>
              </w:rPr>
              <w:t>Dedicated Portals: Branded client portals and restricted subcontractor task sandboxes.</w:t>
            </w:r>
          </w:p>
        </w:tc>
        <w:tc>
          <w:tcPr>
            <w:tcW w:type="dxa" w:w="2592"/>
            <w:shd w:fill="FFFFFF"/>
            <w:tcMar>
              <w:top w:w="90" w:type="dxa"/>
              <w:bottom w:w="90" w:type="dxa"/>
              <w:left w:w="130" w:type="dxa"/>
              <w:right w:w="130" w:type="dxa"/>
            </w:tcMar>
          </w:tcPr>
          <w:p>
            <w:r>
              <w:rPr>
                <w:rFonts w:ascii="Arial" w:hAnsi="Arial"/>
                <w:color w:val="334155"/>
                <w:sz w:val="18"/>
              </w:rPr>
              <w:t>Unsafe: Sharing spreadsheets risks exposing internal margins and client data.</w:t>
            </w:r>
          </w:p>
        </w:tc>
        <w:tc>
          <w:tcPr>
            <w:tcW w:type="dxa" w:w="2592"/>
            <w:shd w:fill="FFFFFF"/>
            <w:tcMar>
              <w:top w:w="90" w:type="dxa"/>
              <w:bottom w:w="90" w:type="dxa"/>
              <w:left w:w="130" w:type="dxa"/>
              <w:right w:w="130" w:type="dxa"/>
            </w:tcMar>
          </w:tcPr>
          <w:p>
            <w:r>
              <w:rPr>
                <w:rFonts w:ascii="Arial" w:hAnsi="Arial"/>
                <w:color w:val="334155"/>
                <w:sz w:val="18"/>
              </w:rPr>
              <w:t>Expensive: Requires purchasing full user licenses for external subcontractors.</w:t>
            </w:r>
          </w:p>
        </w:tc>
      </w:tr>
      <w:tr>
        <w:tc>
          <w:tcPr>
            <w:tcW w:type="dxa" w:w="2160"/>
            <w:shd w:fill="F8FAFC"/>
            <w:tcMar>
              <w:top w:w="90" w:type="dxa"/>
              <w:bottom w:w="90" w:type="dxa"/>
              <w:left w:w="130" w:type="dxa"/>
              <w:right w:w="130" w:type="dxa"/>
            </w:tcMar>
          </w:tcPr>
          <w:p>
            <w:r>
              <w:rPr>
                <w:rFonts w:ascii="Arial" w:hAnsi="Arial"/>
                <w:color w:val="334155"/>
                <w:sz w:val="18"/>
              </w:rPr>
              <w:t>Custom Deluge Scripting &amp; Serverless APIs</w:t>
            </w:r>
          </w:p>
        </w:tc>
        <w:tc>
          <w:tcPr>
            <w:tcW w:type="dxa" w:w="2736"/>
            <w:shd w:fill="F8FAFC"/>
            <w:tcMar>
              <w:top w:w="90" w:type="dxa"/>
              <w:bottom w:w="90" w:type="dxa"/>
              <w:left w:w="130" w:type="dxa"/>
              <w:right w:w="130" w:type="dxa"/>
            </w:tcMar>
          </w:tcPr>
          <w:p>
            <w:r>
              <w:rPr>
                <w:rFonts w:ascii="Arial" w:hAnsi="Arial"/>
                <w:color w:val="334155"/>
                <w:sz w:val="18"/>
              </w:rPr>
              <w:t>Native Deluge Engine: Serverless custom functions, dynamic deadline rollups, and webhooks.</w:t>
            </w:r>
          </w:p>
        </w:tc>
        <w:tc>
          <w:tcPr>
            <w:tcW w:type="dxa" w:w="2592"/>
            <w:shd w:fill="F8FAFC"/>
            <w:tcMar>
              <w:top w:w="90" w:type="dxa"/>
              <w:bottom w:w="90" w:type="dxa"/>
              <w:left w:w="130" w:type="dxa"/>
              <w:right w:w="130" w:type="dxa"/>
            </w:tcMar>
          </w:tcPr>
          <w:p>
            <w:r>
              <w:rPr>
                <w:rFonts w:ascii="Arial" w:hAnsi="Arial"/>
                <w:color w:val="334155"/>
                <w:sz w:val="18"/>
              </w:rPr>
              <w:t>None: Limited to basic macros or manual updates.</w:t>
            </w:r>
          </w:p>
        </w:tc>
        <w:tc>
          <w:tcPr>
            <w:tcW w:type="dxa" w:w="2592"/>
            <w:shd w:fill="F8FAFC"/>
            <w:tcMar>
              <w:top w:w="90" w:type="dxa"/>
              <w:bottom w:w="90" w:type="dxa"/>
              <w:left w:w="130" w:type="dxa"/>
              <w:right w:w="130" w:type="dxa"/>
            </w:tcMar>
          </w:tcPr>
          <w:p>
            <w:r>
              <w:rPr>
                <w:rFonts w:ascii="Arial" w:hAnsi="Arial"/>
                <w:color w:val="334155"/>
                <w:sz w:val="18"/>
              </w:rPr>
              <w:t>High Maintenance: Requires specialized Java/Python developers to maintain scripts.</w:t>
            </w:r>
          </w:p>
        </w:tc>
      </w:tr>
      <w:tr>
        <w:tc>
          <w:tcPr>
            <w:tcW w:type="dxa" w:w="2160"/>
            <w:shd w:fill="FFFFFF"/>
            <w:tcMar>
              <w:top w:w="90" w:type="dxa"/>
              <w:bottom w:w="90" w:type="dxa"/>
              <w:left w:w="130" w:type="dxa"/>
              <w:right w:w="130" w:type="dxa"/>
            </w:tcMar>
          </w:tcPr>
          <w:p>
            <w:r>
              <w:rPr>
                <w:rFonts w:ascii="Arial" w:hAnsi="Arial"/>
                <w:color w:val="334155"/>
                <w:sz w:val="18"/>
              </w:rPr>
              <w:t>Turnkey Implementation &amp; Hypercare</w:t>
            </w:r>
          </w:p>
        </w:tc>
        <w:tc>
          <w:tcPr>
            <w:tcW w:type="dxa" w:w="2736"/>
            <w:shd w:fill="FFFFFF"/>
            <w:tcMar>
              <w:top w:w="90" w:type="dxa"/>
              <w:bottom w:w="90" w:type="dxa"/>
              <w:left w:w="130" w:type="dxa"/>
              <w:right w:w="130" w:type="dxa"/>
            </w:tcMar>
          </w:tcPr>
          <w:p>
            <w:r>
              <w:rPr>
                <w:rFonts w:ascii="Arial" w:hAnsi="Arial"/>
                <w:color w:val="334155"/>
                <w:sz w:val="18"/>
              </w:rPr>
              <w:t>Full Turnkey Partner: Delivered by Elite Tech Corp in 7 to 45 days with 25+ UAT scenarios &amp; hypercare.</w:t>
            </w:r>
          </w:p>
        </w:tc>
        <w:tc>
          <w:tcPr>
            <w:tcW w:type="dxa" w:w="2592"/>
            <w:shd w:fill="FFFFFF"/>
            <w:tcMar>
              <w:top w:w="90" w:type="dxa"/>
              <w:bottom w:w="90" w:type="dxa"/>
              <w:left w:w="130" w:type="dxa"/>
              <w:right w:w="130" w:type="dxa"/>
            </w:tcMar>
          </w:tcPr>
          <w:p>
            <w:r>
              <w:rPr>
                <w:rFonts w:ascii="Arial" w:hAnsi="Arial"/>
                <w:color w:val="334155"/>
                <w:sz w:val="18"/>
              </w:rPr>
              <w:t>Do-It-Yourself: No structured process architecture or governance models.</w:t>
            </w:r>
          </w:p>
        </w:tc>
        <w:tc>
          <w:tcPr>
            <w:tcW w:type="dxa" w:w="2592"/>
            <w:shd w:fill="FFFFFF"/>
            <w:tcMar>
              <w:top w:w="90" w:type="dxa"/>
              <w:bottom w:w="90" w:type="dxa"/>
              <w:left w:w="130" w:type="dxa"/>
              <w:right w:w="130" w:type="dxa"/>
            </w:tcMar>
          </w:tcPr>
          <w:p>
            <w:r>
              <w:rPr>
                <w:rFonts w:ascii="Arial" w:hAnsi="Arial"/>
                <w:color w:val="334155"/>
                <w:sz w:val="18"/>
              </w:rPr>
              <w:t>Heavy Consulting: 6 to 12 months rollout by large IT consultancies at massive expense.</w:t>
            </w:r>
          </w:p>
        </w:tc>
      </w:tr>
      <w:tr>
        <w:tc>
          <w:tcPr>
            <w:tcW w:type="dxa" w:w="2160"/>
            <w:shd w:fill="F8FAFC"/>
            <w:tcMar>
              <w:top w:w="90" w:type="dxa"/>
              <w:bottom w:w="90" w:type="dxa"/>
              <w:left w:w="130" w:type="dxa"/>
              <w:right w:w="130" w:type="dxa"/>
            </w:tcMar>
          </w:tcPr>
          <w:p>
            <w:r>
              <w:rPr>
                <w:rFonts w:ascii="Arial" w:hAnsi="Arial"/>
                <w:color w:val="334155"/>
                <w:sz w:val="18"/>
              </w:rPr>
              <w:t>Total Cost of Ownership (TCO)</w:t>
            </w:r>
          </w:p>
        </w:tc>
        <w:tc>
          <w:tcPr>
            <w:tcW w:type="dxa" w:w="2736"/>
            <w:shd w:fill="F8FAFC"/>
            <w:tcMar>
              <w:top w:w="90" w:type="dxa"/>
              <w:bottom w:w="90" w:type="dxa"/>
              <w:left w:w="130" w:type="dxa"/>
              <w:right w:w="130" w:type="dxa"/>
            </w:tcMar>
          </w:tcPr>
          <w:p>
            <w:r>
              <w:rPr>
                <w:rFonts w:ascii="Arial" w:hAnsi="Arial"/>
                <w:color w:val="334155"/>
                <w:sz w:val="18"/>
              </w:rPr>
              <w:t>High ROI / Low TCO: Transparent per-user subscription with all core modules included.</w:t>
            </w:r>
          </w:p>
        </w:tc>
        <w:tc>
          <w:tcPr>
            <w:tcW w:type="dxa" w:w="2592"/>
            <w:shd w:fill="F8FAFC"/>
            <w:tcMar>
              <w:top w:w="90" w:type="dxa"/>
              <w:bottom w:w="90" w:type="dxa"/>
              <w:left w:w="130" w:type="dxa"/>
              <w:right w:w="130" w:type="dxa"/>
            </w:tcMar>
          </w:tcPr>
          <w:p>
            <w:r>
              <w:rPr>
                <w:rFonts w:ascii="Arial" w:hAnsi="Arial"/>
                <w:color w:val="334155"/>
                <w:sz w:val="18"/>
              </w:rPr>
              <w:t>Hidden Costs: Hundreds of lost billable hours, untracked scope creep, and churn.</w:t>
            </w:r>
          </w:p>
        </w:tc>
        <w:tc>
          <w:tcPr>
            <w:tcW w:type="dxa" w:w="2592"/>
            <w:shd w:fill="F8FAFC"/>
            <w:tcMar>
              <w:top w:w="90" w:type="dxa"/>
              <w:bottom w:w="90" w:type="dxa"/>
              <w:left w:w="130" w:type="dxa"/>
              <w:right w:w="130" w:type="dxa"/>
            </w:tcMar>
          </w:tcPr>
          <w:p>
            <w:r>
              <w:rPr>
                <w:rFonts w:ascii="Arial" w:hAnsi="Arial"/>
                <w:color w:val="334155"/>
                <w:sz w:val="18"/>
              </w:rPr>
              <w:t>Excessive TCO: Expensive base tiers plus paid add-on plugins for budgeting and Gantt.</w:t>
            </w:r>
          </w:p>
        </w:tc>
      </w:tr>
    </w:tbl>
    <w:p>
      <w:pPr>
        <w:spacing w:before="120"/>
      </w:pPr>
    </w:p>
    <w:p>
      <w:pPr>
        <w:pStyle w:val="Heading1"/>
        <w:keepNext/>
        <w:spacing w:before="320" w:after="120"/>
      </w:pPr>
      <w:r>
        <w:rPr>
          <w:rFonts w:ascii="Arial" w:hAnsi="Arial"/>
          <w:b/>
          <w:color w:val="236EB4"/>
          <w:sz w:val="34"/>
        </w:rPr>
        <w:t>Section 12: Implementation Packages &amp; Scope Tiers</w:t>
      </w:r>
    </w:p>
    <w:p>
      <w:r>
        <w:rPr>
          <w:b/>
          <w:color w:val="236EB4"/>
        </w:rPr>
        <w:t>Eyebrow Badge: TRANSPARENT SCOPE TIERS</w:t>
        <w:br/>
      </w:r>
      <w:r>
        <w:rPr>
          <w:b/>
          <w:color w:val="1E293B"/>
          <w:sz w:val="24"/>
        </w:rPr>
        <w:t>H2 Headline: Zoho Projects Implementation Packages</w:t>
        <w:br/>
      </w:r>
      <w:r>
        <w:rPr>
          <w:sz w:val="19"/>
        </w:rPr>
        <w:t>Subheadline Copy: Three turnkey, fixed-scope implementation packages. Select any package to review every module, activity, and delivery timeline before you commit.</w:t>
        <w:br/>
      </w:r>
    </w:p>
    <w:tbl>
      <w:tblPr>
        <w:tblW w:type="auto" w:w="0"/>
        <w:jc w:val="center"/>
        <w:tblLook w:firstColumn="1" w:firstRow="1" w:lastColumn="0" w:lastRow="0" w:noHBand="0" w:noVBand="1" w:val="04A0"/>
      </w:tblPr>
      <w:tblGrid>
        <w:gridCol w:w="2520"/>
        <w:gridCol w:w="2520"/>
        <w:gridCol w:w="2520"/>
        <w:gridCol w:w="2520"/>
      </w:tblGrid>
      <w:tr>
        <w:tc>
          <w:tcPr>
            <w:tcW w:type="dxa" w:w="2160"/>
            <w:shd w:fill="236EB4"/>
            <w:tcMar>
              <w:top w:w="110" w:type="dxa"/>
              <w:bottom w:w="110" w:type="dxa"/>
              <w:left w:w="130" w:type="dxa"/>
              <w:right w:w="130" w:type="dxa"/>
            </w:tcMar>
          </w:tcPr>
          <w:p>
            <w:pPr>
              <w:jc w:val="left"/>
            </w:pPr>
            <w:r>
              <w:rPr>
                <w:rFonts w:ascii="Arial" w:hAnsi="Arial"/>
                <w:b/>
                <w:color w:val="FFFFFF"/>
                <w:sz w:val="19"/>
              </w:rPr>
              <w:t>Tier / Package Name</w:t>
            </w:r>
          </w:p>
        </w:tc>
        <w:tc>
          <w:tcPr>
            <w:tcW w:type="dxa" w:w="2592"/>
            <w:shd w:fill="236EB4"/>
            <w:tcMar>
              <w:top w:w="110" w:type="dxa"/>
              <w:bottom w:w="110" w:type="dxa"/>
              <w:left w:w="130" w:type="dxa"/>
              <w:right w:w="130" w:type="dxa"/>
            </w:tcMar>
          </w:tcPr>
          <w:p>
            <w:pPr>
              <w:jc w:val="left"/>
            </w:pPr>
            <w:r>
              <w:rPr>
                <w:rFonts w:ascii="Arial" w:hAnsi="Arial"/>
                <w:b/>
                <w:color w:val="FFFFFF"/>
                <w:sz w:val="19"/>
              </w:rPr>
              <w:t>Basic Package</w:t>
            </w:r>
          </w:p>
        </w:tc>
        <w:tc>
          <w:tcPr>
            <w:tcW w:type="dxa" w:w="2736"/>
            <w:shd w:fill="236EB4"/>
            <w:tcMar>
              <w:top w:w="110" w:type="dxa"/>
              <w:bottom w:w="110" w:type="dxa"/>
              <w:left w:w="130" w:type="dxa"/>
              <w:right w:w="130" w:type="dxa"/>
            </w:tcMar>
          </w:tcPr>
          <w:p>
            <w:pPr>
              <w:jc w:val="left"/>
            </w:pPr>
            <w:r>
              <w:rPr>
                <w:rFonts w:ascii="Arial" w:hAnsi="Arial"/>
                <w:b/>
                <w:color w:val="FFFFFF"/>
                <w:sz w:val="19"/>
              </w:rPr>
              <w:t>Professional Package (Most Popular)</w:t>
            </w:r>
          </w:p>
        </w:tc>
        <w:tc>
          <w:tcPr>
            <w:tcW w:type="dxa" w:w="2592"/>
            <w:shd w:fill="236EB4"/>
            <w:tcMar>
              <w:top w:w="110" w:type="dxa"/>
              <w:bottom w:w="110" w:type="dxa"/>
              <w:left w:w="130" w:type="dxa"/>
              <w:right w:w="130" w:type="dxa"/>
            </w:tcMar>
          </w:tcPr>
          <w:p>
            <w:pPr>
              <w:jc w:val="left"/>
            </w:pPr>
            <w:r>
              <w:rPr>
                <w:rFonts w:ascii="Arial" w:hAnsi="Arial"/>
                <w:b/>
                <w:color w:val="FFFFFF"/>
                <w:sz w:val="19"/>
              </w:rPr>
              <w:t>Elite Package (Enterprise Flagship)</w:t>
            </w:r>
          </w:p>
        </w:tc>
      </w:tr>
      <w:tr>
        <w:tc>
          <w:tcPr>
            <w:tcW w:type="dxa" w:w="2160"/>
            <w:shd w:fill="FFFFFF"/>
            <w:tcMar>
              <w:top w:w="90" w:type="dxa"/>
              <w:bottom w:w="90" w:type="dxa"/>
              <w:left w:w="130" w:type="dxa"/>
              <w:right w:w="130" w:type="dxa"/>
            </w:tcMar>
          </w:tcPr>
          <w:p>
            <w:r>
              <w:rPr>
                <w:rFonts w:ascii="Arial" w:hAnsi="Arial"/>
                <w:color w:val="334155"/>
                <w:sz w:val="18"/>
              </w:rPr>
              <w:t>Target Timeline</w:t>
            </w:r>
          </w:p>
        </w:tc>
        <w:tc>
          <w:tcPr>
            <w:tcW w:type="dxa" w:w="2592"/>
            <w:shd w:fill="FFFFFF"/>
            <w:tcMar>
              <w:top w:w="90" w:type="dxa"/>
              <w:bottom w:w="90" w:type="dxa"/>
              <w:left w:w="130" w:type="dxa"/>
              <w:right w:w="130" w:type="dxa"/>
            </w:tcMar>
          </w:tcPr>
          <w:p>
            <w:r>
              <w:rPr>
                <w:rFonts w:ascii="Arial" w:hAnsi="Arial"/>
                <w:color w:val="334155"/>
                <w:sz w:val="18"/>
              </w:rPr>
              <w:t>7–10 Working Days</w:t>
            </w:r>
          </w:p>
        </w:tc>
        <w:tc>
          <w:tcPr>
            <w:tcW w:type="dxa" w:w="2736"/>
            <w:shd w:fill="FFFFFF"/>
            <w:tcMar>
              <w:top w:w="90" w:type="dxa"/>
              <w:bottom w:w="90" w:type="dxa"/>
              <w:left w:w="130" w:type="dxa"/>
              <w:right w:w="130" w:type="dxa"/>
            </w:tcMar>
          </w:tcPr>
          <w:p>
            <w:r>
              <w:rPr>
                <w:rFonts w:ascii="Arial" w:hAnsi="Arial"/>
                <w:color w:val="334155"/>
                <w:sz w:val="18"/>
              </w:rPr>
              <w:t>15–20 Working Days</w:t>
            </w:r>
          </w:p>
        </w:tc>
        <w:tc>
          <w:tcPr>
            <w:tcW w:type="dxa" w:w="2592"/>
            <w:shd w:fill="FFFFFF"/>
            <w:tcMar>
              <w:top w:w="90" w:type="dxa"/>
              <w:bottom w:w="90" w:type="dxa"/>
              <w:left w:w="130" w:type="dxa"/>
              <w:right w:w="130" w:type="dxa"/>
            </w:tcMar>
          </w:tcPr>
          <w:p>
            <w:r>
              <w:rPr>
                <w:rFonts w:ascii="Arial" w:hAnsi="Arial"/>
                <w:color w:val="334155"/>
                <w:sz w:val="18"/>
              </w:rPr>
              <w:t>30–45 Working Days</w:t>
            </w:r>
          </w:p>
        </w:tc>
      </w:tr>
      <w:tr>
        <w:tc>
          <w:tcPr>
            <w:tcW w:type="dxa" w:w="2160"/>
            <w:shd w:fill="F8FAFC"/>
            <w:tcMar>
              <w:top w:w="90" w:type="dxa"/>
              <w:bottom w:w="90" w:type="dxa"/>
              <w:left w:w="130" w:type="dxa"/>
              <w:right w:w="130" w:type="dxa"/>
            </w:tcMar>
          </w:tcPr>
          <w:p>
            <w:r>
              <w:rPr>
                <w:rFonts w:ascii="Arial" w:hAnsi="Arial"/>
                <w:color w:val="334155"/>
                <w:sz w:val="18"/>
              </w:rPr>
              <w:t>Scope Metrics</w:t>
            </w:r>
          </w:p>
        </w:tc>
        <w:tc>
          <w:tcPr>
            <w:tcW w:type="dxa" w:w="2592"/>
            <w:shd w:fill="F8FAFC"/>
            <w:tcMar>
              <w:top w:w="90" w:type="dxa"/>
              <w:bottom w:w="90" w:type="dxa"/>
              <w:left w:w="130" w:type="dxa"/>
              <w:right w:w="130" w:type="dxa"/>
            </w:tcMar>
          </w:tcPr>
          <w:p>
            <w:r>
              <w:rPr>
                <w:rFonts w:ascii="Arial" w:hAnsi="Arial"/>
                <w:color w:val="334155"/>
                <w:sz w:val="18"/>
              </w:rPr>
              <w:t>10 Modules | 28 Activities</w:t>
            </w:r>
          </w:p>
        </w:tc>
        <w:tc>
          <w:tcPr>
            <w:tcW w:type="dxa" w:w="2736"/>
            <w:shd w:fill="F8FAFC"/>
            <w:tcMar>
              <w:top w:w="90" w:type="dxa"/>
              <w:bottom w:w="90" w:type="dxa"/>
              <w:left w:w="130" w:type="dxa"/>
              <w:right w:w="130" w:type="dxa"/>
            </w:tcMar>
          </w:tcPr>
          <w:p>
            <w:r>
              <w:rPr>
                <w:rFonts w:ascii="Arial" w:hAnsi="Arial"/>
                <w:color w:val="334155"/>
                <w:sz w:val="18"/>
              </w:rPr>
              <w:t>11 Modules | 33 Activities</w:t>
            </w:r>
          </w:p>
        </w:tc>
        <w:tc>
          <w:tcPr>
            <w:tcW w:type="dxa" w:w="2592"/>
            <w:shd w:fill="F8FAFC"/>
            <w:tcMar>
              <w:top w:w="90" w:type="dxa"/>
              <w:bottom w:w="90" w:type="dxa"/>
              <w:left w:w="130" w:type="dxa"/>
              <w:right w:w="130" w:type="dxa"/>
            </w:tcMar>
          </w:tcPr>
          <w:p>
            <w:r>
              <w:rPr>
                <w:rFonts w:ascii="Arial" w:hAnsi="Arial"/>
                <w:color w:val="334155"/>
                <w:sz w:val="18"/>
              </w:rPr>
              <w:t>11 Modules | 34 Activities</w:t>
            </w:r>
          </w:p>
        </w:tc>
      </w:tr>
      <w:tr>
        <w:tc>
          <w:tcPr>
            <w:tcW w:type="dxa" w:w="2160"/>
            <w:shd w:fill="FFFFFF"/>
            <w:tcMar>
              <w:top w:w="90" w:type="dxa"/>
              <w:bottom w:w="90" w:type="dxa"/>
              <w:left w:w="130" w:type="dxa"/>
              <w:right w:w="130" w:type="dxa"/>
            </w:tcMar>
          </w:tcPr>
          <w:p>
            <w:r>
              <w:rPr>
                <w:rFonts w:ascii="Arial" w:hAnsi="Arial"/>
                <w:color w:val="334155"/>
                <w:sz w:val="18"/>
              </w:rPr>
              <w:t>Estimated Effort</w:t>
            </w:r>
          </w:p>
        </w:tc>
        <w:tc>
          <w:tcPr>
            <w:tcW w:type="dxa" w:w="2592"/>
            <w:shd w:fill="FFFFFF"/>
            <w:tcMar>
              <w:top w:w="90" w:type="dxa"/>
              <w:bottom w:w="90" w:type="dxa"/>
              <w:left w:w="130" w:type="dxa"/>
              <w:right w:w="130" w:type="dxa"/>
            </w:tcMar>
          </w:tcPr>
          <w:p>
            <w:r>
              <w:rPr>
                <w:rFonts w:ascii="Arial" w:hAnsi="Arial"/>
                <w:color w:val="334155"/>
                <w:sz w:val="18"/>
              </w:rPr>
              <w:t>26.0 Hours</w:t>
            </w:r>
          </w:p>
        </w:tc>
        <w:tc>
          <w:tcPr>
            <w:tcW w:type="dxa" w:w="2736"/>
            <w:shd w:fill="FFFFFF"/>
            <w:tcMar>
              <w:top w:w="90" w:type="dxa"/>
              <w:bottom w:w="90" w:type="dxa"/>
              <w:left w:w="130" w:type="dxa"/>
              <w:right w:w="130" w:type="dxa"/>
            </w:tcMar>
          </w:tcPr>
          <w:p>
            <w:r>
              <w:rPr>
                <w:rFonts w:ascii="Arial" w:hAnsi="Arial"/>
                <w:color w:val="334155"/>
                <w:sz w:val="18"/>
              </w:rPr>
              <w:t>63.0 Hours</w:t>
            </w:r>
          </w:p>
        </w:tc>
        <w:tc>
          <w:tcPr>
            <w:tcW w:type="dxa" w:w="2592"/>
            <w:shd w:fill="FFFFFF"/>
            <w:tcMar>
              <w:top w:w="90" w:type="dxa"/>
              <w:bottom w:w="90" w:type="dxa"/>
              <w:left w:w="130" w:type="dxa"/>
              <w:right w:w="130" w:type="dxa"/>
            </w:tcMar>
          </w:tcPr>
          <w:p>
            <w:r>
              <w:rPr>
                <w:rFonts w:ascii="Arial" w:hAnsi="Arial"/>
                <w:color w:val="334155"/>
                <w:sz w:val="18"/>
              </w:rPr>
              <w:t>115.0 Hours</w:t>
            </w:r>
          </w:p>
        </w:tc>
      </w:tr>
      <w:tr>
        <w:tc>
          <w:tcPr>
            <w:tcW w:type="dxa" w:w="2160"/>
            <w:shd w:fill="F8FAFC"/>
            <w:tcMar>
              <w:top w:w="90" w:type="dxa"/>
              <w:bottom w:w="90" w:type="dxa"/>
              <w:left w:w="130" w:type="dxa"/>
              <w:right w:w="130" w:type="dxa"/>
            </w:tcMar>
          </w:tcPr>
          <w:p>
            <w:r>
              <w:rPr>
                <w:rFonts w:ascii="Arial" w:hAnsi="Arial"/>
                <w:color w:val="334155"/>
                <w:sz w:val="18"/>
              </w:rPr>
              <w:t>Target Business Profile</w:t>
            </w:r>
          </w:p>
        </w:tc>
        <w:tc>
          <w:tcPr>
            <w:tcW w:type="dxa" w:w="2592"/>
            <w:shd w:fill="F8FAFC"/>
            <w:tcMar>
              <w:top w:w="90" w:type="dxa"/>
              <w:bottom w:w="90" w:type="dxa"/>
              <w:left w:w="130" w:type="dxa"/>
              <w:right w:w="130" w:type="dxa"/>
            </w:tcMar>
          </w:tcPr>
          <w:p>
            <w:r>
              <w:rPr>
                <w:rFonts w:ascii="Arial" w:hAnsi="Arial"/>
                <w:color w:val="334155"/>
                <w:sz w:val="18"/>
              </w:rPr>
              <w:t>Early-stage teams, creative agencies &amp; startups needing structured task tracking, milestones, basic timesheets &amp; templates.</w:t>
            </w:r>
          </w:p>
        </w:tc>
        <w:tc>
          <w:tcPr>
            <w:tcW w:type="dxa" w:w="2736"/>
            <w:shd w:fill="F8FAFC"/>
            <w:tcMar>
              <w:top w:w="90" w:type="dxa"/>
              <w:bottom w:w="90" w:type="dxa"/>
              <w:left w:w="130" w:type="dxa"/>
              <w:right w:w="130" w:type="dxa"/>
            </w:tcMar>
          </w:tcPr>
          <w:p>
            <w:r>
              <w:rPr>
                <w:rFonts w:ascii="Arial" w:hAnsi="Arial"/>
                <w:color w:val="334155"/>
                <w:sz w:val="18"/>
              </w:rPr>
              <w:t>Growing mid-market enterprises, IT services &amp; engineering firms needing custom layouts, Blueprints, resource leveling &amp; Books/CRM sync.</w:t>
            </w:r>
          </w:p>
        </w:tc>
        <w:tc>
          <w:tcPr>
            <w:tcW w:type="dxa" w:w="2592"/>
            <w:shd w:fill="F8FAFC"/>
            <w:tcMar>
              <w:top w:w="90" w:type="dxa"/>
              <w:bottom w:w="90" w:type="dxa"/>
              <w:left w:w="130" w:type="dxa"/>
              <w:right w:w="130" w:type="dxa"/>
            </w:tcMar>
          </w:tcPr>
          <w:p>
            <w:r>
              <w:rPr>
                <w:rFonts w:ascii="Arial" w:hAnsi="Arial"/>
                <w:color w:val="334155"/>
                <w:sz w:val="18"/>
              </w:rPr>
              <w:t>High-growth enterprises, EPC/construction corporations &amp; PMOs requiring multi-entity governance, Project Budgeting Flow, EVM, Portals &amp; Deluge.</w:t>
            </w:r>
          </w:p>
        </w:tc>
      </w:tr>
      <w:tr>
        <w:tc>
          <w:tcPr>
            <w:tcW w:type="dxa" w:w="2160"/>
            <w:shd w:fill="FFFFFF"/>
            <w:tcMar>
              <w:top w:w="90" w:type="dxa"/>
              <w:bottom w:w="90" w:type="dxa"/>
              <w:left w:w="130" w:type="dxa"/>
              <w:right w:w="130" w:type="dxa"/>
            </w:tcMar>
          </w:tcPr>
          <w:p>
            <w:r>
              <w:rPr>
                <w:rFonts w:ascii="Arial" w:hAnsi="Arial"/>
                <w:color w:val="334155"/>
                <w:sz w:val="18"/>
              </w:rPr>
              <w:t>Included Scope Modules</w:t>
            </w:r>
          </w:p>
        </w:tc>
        <w:tc>
          <w:tcPr>
            <w:tcW w:type="dxa" w:w="2592"/>
            <w:shd w:fill="FFFFFF"/>
            <w:tcMar>
              <w:top w:w="90" w:type="dxa"/>
              <w:bottom w:w="90" w:type="dxa"/>
              <w:left w:w="130" w:type="dxa"/>
              <w:right w:w="130" w:type="dxa"/>
            </w:tcMar>
          </w:tcPr>
          <w:p>
            <w:r>
              <w:rPr>
                <w:rFonts w:ascii="Arial" w:hAnsi="Arial"/>
                <w:color w:val="334155"/>
                <w:sz w:val="18"/>
              </w:rPr>
              <w:t>• Organization &amp; Portal Setup</w:t>
              <w:br/>
              <w:t>• User Profiles &amp; Roles</w:t>
              <w:br/>
              <w:t>• Project Work Calendar</w:t>
              <w:br/>
              <w:t>• Master Project Templates</w:t>
              <w:br/>
              <w:t>• Milestone &amp; WBS</w:t>
              <w:br/>
              <w:t>• Task &amp; Checklist Management</w:t>
              <w:br/>
              <w:t>• Gantt Charts &amp; Dependencies</w:t>
              <w:br/>
              <w:t>• Work Logging &amp; Timesheets</w:t>
              <w:br/>
              <w:t>• Meeting, Mail &amp; Cliq Sync</w:t>
              <w:br/>
              <w:t>• End-User Training &amp; Handover</w:t>
            </w:r>
          </w:p>
        </w:tc>
        <w:tc>
          <w:tcPr>
            <w:tcW w:type="dxa" w:w="2736"/>
            <w:shd w:fill="FFFFFF"/>
            <w:tcMar>
              <w:top w:w="90" w:type="dxa"/>
              <w:bottom w:w="90" w:type="dxa"/>
              <w:left w:w="130" w:type="dxa"/>
              <w:right w:w="130" w:type="dxa"/>
            </w:tcMar>
          </w:tcPr>
          <w:p>
            <w:r>
              <w:rPr>
                <w:rFonts w:ascii="Arial" w:hAnsi="Arial"/>
                <w:color w:val="334155"/>
                <w:sz w:val="18"/>
              </w:rPr>
              <w:t>• Custom Layouts &amp; Dynamic Rules</w:t>
              <w:br/>
              <w:t>• Milestone &amp; Task Blueprints</w:t>
              <w:br/>
              <w:t>• CPM &amp; Baseline Variance Engine</w:t>
              <w:br/>
              <w:t>• Resource Capacity &amp; Heatmap</w:t>
              <w:br/>
              <w:t>• Zoho People Leave &amp; Shift Sync</w:t>
              <w:br/>
              <w:t>• Advanced Timesheets &amp; Billing Rates</w:t>
              <w:br/>
              <w:t>• Issue SLA Management &amp; Rules</w:t>
              <w:br/>
              <w:t>• Zoho Books Timesheet-to-Invoice</w:t>
              <w:br/>
              <w:t>• Zoho CRM Deal-to-Project Sync</w:t>
              <w:br/>
              <w:t>• MS 365 &amp; Google Workspace</w:t>
              <w:br/>
              <w:t>• 30-Day Post Go-Live Hypercare</w:t>
            </w:r>
          </w:p>
        </w:tc>
        <w:tc>
          <w:tcPr>
            <w:tcW w:type="dxa" w:w="2592"/>
            <w:shd w:fill="FFFFFF"/>
            <w:tcMar>
              <w:top w:w="90" w:type="dxa"/>
              <w:bottom w:w="90" w:type="dxa"/>
              <w:left w:w="130" w:type="dxa"/>
              <w:right w:w="130" w:type="dxa"/>
            </w:tcMar>
          </w:tcPr>
          <w:p>
            <w:r>
              <w:rPr>
                <w:rFonts w:ascii="Arial" w:hAnsi="Arial"/>
                <w:color w:val="334155"/>
                <w:sz w:val="18"/>
              </w:rPr>
              <w:t>• CPM, Schedule Risk &amp; Baselines</w:t>
              <w:br/>
              <w:t>• Multi-Project Resource Forecasting</w:t>
              <w:br/>
              <w:t>• Project Budgeting &amp; EVM Flow</w:t>
              <w:br/>
              <w:t>• Custom Modules &amp; Issue Governance</w:t>
              <w:br/>
              <w:t>• Subcontractor Sandboxed Portals</w:t>
              <w:br/>
              <w:t>• Client Collaboration Portal &amp; Wiki</w:t>
              <w:br/>
              <w:t>• Zoho Ecosystem (Desk/People/Sprints)</w:t>
              <w:br/>
              <w:t>• Custom Deluge Scripting</w:t>
              <w:br/>
              <w:t>• DevOps Webhooks &amp; APIs (GitHub)</w:t>
              <w:br/>
              <w:t>• Zoho Analytics Executive BI</w:t>
              <w:br/>
              <w:t>• 50+ UAT Simulation &amp; 45-Day Hypercare</w:t>
            </w:r>
          </w:p>
        </w:tc>
      </w:tr>
      <w:tr>
        <w:tc>
          <w:tcPr>
            <w:tcW w:type="dxa" w:w="2160"/>
            <w:shd w:fill="F8FAFC"/>
            <w:tcMar>
              <w:top w:w="90" w:type="dxa"/>
              <w:bottom w:w="90" w:type="dxa"/>
              <w:left w:w="130" w:type="dxa"/>
              <w:right w:w="130" w:type="dxa"/>
            </w:tcMar>
          </w:tcPr>
          <w:p>
            <w:r>
              <w:rPr>
                <w:rFonts w:ascii="Arial" w:hAnsi="Arial"/>
                <w:color w:val="334155"/>
                <w:sz w:val="18"/>
              </w:rPr>
              <w:t>Primary CTA Button</w:t>
            </w:r>
          </w:p>
        </w:tc>
        <w:tc>
          <w:tcPr>
            <w:tcW w:type="dxa" w:w="2592"/>
            <w:shd w:fill="F8FAFC"/>
            <w:tcMar>
              <w:top w:w="90" w:type="dxa"/>
              <w:bottom w:w="90" w:type="dxa"/>
              <w:left w:w="130" w:type="dxa"/>
              <w:right w:w="130" w:type="dxa"/>
            </w:tcMar>
          </w:tcPr>
          <w:p>
            <w:r>
              <w:rPr>
                <w:rFonts w:ascii="Arial" w:hAnsi="Arial"/>
                <w:color w:val="334155"/>
                <w:sz w:val="18"/>
              </w:rPr>
              <w:t>Schedule a Demo</w:t>
            </w:r>
          </w:p>
        </w:tc>
        <w:tc>
          <w:tcPr>
            <w:tcW w:type="dxa" w:w="2736"/>
            <w:shd w:fill="F8FAFC"/>
            <w:tcMar>
              <w:top w:w="90" w:type="dxa"/>
              <w:bottom w:w="90" w:type="dxa"/>
              <w:left w:w="130" w:type="dxa"/>
              <w:right w:w="130" w:type="dxa"/>
            </w:tcMar>
          </w:tcPr>
          <w:p>
            <w:r>
              <w:rPr>
                <w:rFonts w:ascii="Arial" w:hAnsi="Arial"/>
                <w:color w:val="334155"/>
                <w:sz w:val="18"/>
              </w:rPr>
              <w:t>Schedule a Demo</w:t>
            </w:r>
          </w:p>
        </w:tc>
        <w:tc>
          <w:tcPr>
            <w:tcW w:type="dxa" w:w="2592"/>
            <w:shd w:fill="F8FAFC"/>
            <w:tcMar>
              <w:top w:w="90" w:type="dxa"/>
              <w:bottom w:w="90" w:type="dxa"/>
              <w:left w:w="130" w:type="dxa"/>
              <w:right w:w="130" w:type="dxa"/>
            </w:tcMar>
          </w:tcPr>
          <w:p>
            <w:r>
              <w:rPr>
                <w:rFonts w:ascii="Arial" w:hAnsi="Arial"/>
                <w:color w:val="334155"/>
                <w:sz w:val="18"/>
              </w:rPr>
              <w:t>Schedule a Demo</w:t>
            </w:r>
          </w:p>
        </w:tc>
      </w:tr>
    </w:tbl>
    <w:p>
      <w:pPr>
        <w:spacing w:before="160"/>
      </w:pPr>
      <w:r>
        <w:rPr>
          <w:i/>
          <w:color w:val="64748B"/>
          <w:sz w:val="17"/>
        </w:rPr>
        <w:t>Commercial Proposal Footnote:</w:t>
        <w:br/>
        <w:t>*Note: Pricing is shared on request and depends on organizational size, active project volume, and process complexity. Implementation effort is calculated based on verified scope hours. Local taxes (VAT, GST, etc.) will be charged in addition to the prices mentioned. Zoho Projects application subscription licenses are billed separately by Zoho.*</w:t>
      </w:r>
    </w:p>
    <w:p>
      <w:pPr>
        <w:pStyle w:val="Heading1"/>
        <w:keepNext/>
        <w:spacing w:before="320" w:after="120"/>
      </w:pPr>
      <w:r>
        <w:rPr>
          <w:rFonts w:ascii="Arial" w:hAnsi="Arial"/>
          <w:b/>
          <w:color w:val="236EB4"/>
          <w:sz w:val="34"/>
        </w:rPr>
        <w:t>Section 13: Frequently Asked Questions (FAQ)</w:t>
      </w:r>
    </w:p>
    <w:p>
      <w:r>
        <w:rPr>
          <w:b/>
          <w:color w:val="236EB4"/>
        </w:rPr>
        <w:t>Eyebrow Badge: KNOWLEDGE BASE &amp; FAQS</w:t>
        <w:br/>
      </w:r>
      <w:r>
        <w:rPr>
          <w:b/>
          <w:color w:val="1E293B"/>
          <w:sz w:val="24"/>
        </w:rPr>
        <w:t>H2 Headline: Zoho Projects Implementation FAQ</w:t>
        <w:br/>
      </w:r>
      <w:r>
        <w:rPr>
          <w:sz w:val="19"/>
        </w:rPr>
        <w:t>Subheadline Copy: Straight, authoritative answers to the operational, technical, licensing, and migration questions project directors ask us first.</w:t>
        <w:br/>
      </w:r>
    </w:p>
    <w:p>
      <w:pPr>
        <w:keepNext/>
        <w:spacing w:before="160" w:after="40"/>
      </w:pPr>
      <w:r>
        <w:rPr>
          <w:rFonts w:ascii="Arial" w:hAnsi="Arial"/>
          <w:b/>
          <w:color w:val="1E293B"/>
          <w:sz w:val="21"/>
        </w:rPr>
        <w:t>1. What is Zoho Projects and how does it compare to basic task managers like Trello or Asana?</w:t>
      </w:r>
    </w:p>
    <w:p>
      <w:pPr>
        <w:spacing w:before="0" w:after="120"/>
      </w:pPr>
      <w:r>
        <w:rPr>
          <w:rFonts w:ascii="Arial" w:hAnsi="Arial"/>
          <w:color w:val="475569"/>
          <w:sz w:val="19"/>
        </w:rPr>
        <w:t>Zoho Projects is a complete enterprise-grade project management and PMO platform, not just a task board. While tools like Trello or basic Asana handle simple to-do lists, Zoho Projects provides native Work Breakdown Structures (WBS), 4-tier Gantt dependencies, Critical Path Method (CPM) schedule risk calculation, multi-version baseline comparisons, live stopwatch timesheets, multi-tier billing rate cards, and deep integration with accounting (Zoho Books) and CRM (Zoho CRM).</w:t>
      </w:r>
    </w:p>
    <w:p>
      <w:pPr>
        <w:keepNext/>
        <w:spacing w:before="160" w:after="40"/>
      </w:pPr>
      <w:r>
        <w:rPr>
          <w:rFonts w:ascii="Arial" w:hAnsi="Arial"/>
          <w:b/>
          <w:color w:val="1E293B"/>
          <w:sz w:val="21"/>
        </w:rPr>
        <w:t>2. How long does a turnkey Zoho Projects implementation take?</w:t>
      </w:r>
    </w:p>
    <w:p>
      <w:pPr>
        <w:spacing w:before="0" w:after="120"/>
      </w:pPr>
      <w:r>
        <w:rPr>
          <w:rFonts w:ascii="Arial" w:hAnsi="Arial"/>
          <w:color w:val="475569"/>
          <w:sz w:val="19"/>
        </w:rPr>
        <w:t>Implementation timelines depend on your selected scope: Basic Package takes 7 to 10 working days (26.0 hours), Professional Package takes 15 to 20 working days (63.0 hours), and Elite Package takes 30 to 45 working days (115.0 hours). Timelines are counted from the completion of the discovery audit and receipt of master templates and rate cards.</w:t>
      </w:r>
    </w:p>
    <w:p>
      <w:pPr>
        <w:keepNext/>
        <w:spacing w:before="160" w:after="40"/>
      </w:pPr>
      <w:r>
        <w:rPr>
          <w:rFonts w:ascii="Arial" w:hAnsi="Arial"/>
          <w:b/>
          <w:color w:val="1E293B"/>
          <w:sz w:val="21"/>
        </w:rPr>
        <w:t>3. Can we migrate active projects and historical data from Jira, Asana, Monday.com, Basecamp, or MS Project?</w:t>
      </w:r>
    </w:p>
    <w:p>
      <w:pPr>
        <w:spacing w:before="0" w:after="120"/>
      </w:pPr>
      <w:r>
        <w:rPr>
          <w:rFonts w:ascii="Arial" w:hAnsi="Arial"/>
          <w:color w:val="475569"/>
          <w:sz w:val="19"/>
        </w:rPr>
        <w:t>Yes. We regularly migrate clients from Jira Cloud, Basecamp, Monday.com, Asana, and Microsoft Project (.mpp). In the Professional and Elite implementations, we cleanse, map, and import project templates, active task hierarchies, milestones, historical completion logs, and rate cards to ensure zero operational downtime during cutover.</w:t>
      </w:r>
    </w:p>
    <w:p>
      <w:pPr>
        <w:keepNext/>
        <w:spacing w:before="160" w:after="40"/>
      </w:pPr>
      <w:r>
        <w:rPr>
          <w:rFonts w:ascii="Arial" w:hAnsi="Arial"/>
          <w:b/>
          <w:color w:val="1E293B"/>
          <w:sz w:val="21"/>
        </w:rPr>
        <w:t>4. How does the Project Budgeting and Earned Value Management (EVM) flow work in the Elite Package?</w:t>
      </w:r>
    </w:p>
    <w:p>
      <w:pPr>
        <w:spacing w:before="0" w:after="120"/>
      </w:pPr>
      <w:r>
        <w:rPr>
          <w:rFonts w:ascii="Arial" w:hAnsi="Arial"/>
          <w:color w:val="475569"/>
          <w:sz w:val="19"/>
        </w:rPr>
        <w:t>The Elite Package includes our proprietary End-to-End Enterprise Project Budgeting Flow. We configure hierarchical amount and hour budgets at the project, milestone, and task levels. Internal staff cost rate cards are compared against client billing rates to compute real-time gross margin burn. Multi-tier alert thresholds (50%, 80%, 100%) warn leadership, and Deluge/Blueprint hard-stop validation locks freeze work logging when budget caps are reached until formal scope change orders are digitally signed.</w:t>
      </w:r>
    </w:p>
    <w:p>
      <w:pPr>
        <w:keepNext/>
        <w:spacing w:before="160" w:after="40"/>
      </w:pPr>
      <w:r>
        <w:rPr>
          <w:rFonts w:ascii="Arial" w:hAnsi="Arial"/>
          <w:b/>
          <w:color w:val="1E293B"/>
          <w:sz w:val="21"/>
        </w:rPr>
        <w:t>5. How does Zoho Projects integrate with Zoho CRM and Zoho Books?</w:t>
      </w:r>
    </w:p>
    <w:p>
      <w:pPr>
        <w:spacing w:before="0" w:after="120"/>
      </w:pPr>
      <w:r>
        <w:rPr>
          <w:rFonts w:ascii="Arial" w:hAnsi="Arial"/>
          <w:color w:val="475569"/>
          <w:sz w:val="19"/>
        </w:rPr>
        <w:t>The integration provides a seamless closed loop: Marking a Deal as 'Closed Won' in Zoho CRM automatically triggers the instantiation of the corresponding project template in Zoho Projects, copying client details, scope deliverables, and milestone dates. Approved timesheets and signed-off milestones in Zoho Projects sync directly into Zoho Books/Invoice, allowing your finance team to generate accurate client invoices with a single click without manual re-keying.</w:t>
      </w:r>
    </w:p>
    <w:p>
      <w:pPr>
        <w:keepNext/>
        <w:spacing w:before="160" w:after="40"/>
      </w:pPr>
      <w:r>
        <w:rPr>
          <w:rFonts w:ascii="Arial" w:hAnsi="Arial"/>
          <w:b/>
          <w:color w:val="1E293B"/>
          <w:sz w:val="21"/>
        </w:rPr>
        <w:t>6. Can external clients and third-party subcontractors access Zoho Projects securely?</w:t>
      </w:r>
    </w:p>
    <w:p>
      <w:pPr>
        <w:spacing w:before="0" w:after="120"/>
      </w:pPr>
      <w:r>
        <w:rPr>
          <w:rFonts w:ascii="Arial" w:hAnsi="Arial"/>
          <w:color w:val="475569"/>
          <w:sz w:val="19"/>
        </w:rPr>
        <w:t>Yes. Zoho Projects features dedicated, segmented external portals: Client Portals provide external stakeholders with branded, restricted visibility limited strictly to designated deliverables, milestones, and status reports, enabling digital sign-offs. Subcontractor Sandboxes enable external vendor crews and freelancers to log work and submit timesheets within strictly confined tasks, without visibility into internal billing rates, overall project budgets, or client communications.</w:t>
      </w:r>
    </w:p>
    <w:p>
      <w:pPr>
        <w:keepNext/>
        <w:spacing w:before="160" w:after="40"/>
      </w:pPr>
      <w:r>
        <w:rPr>
          <w:rFonts w:ascii="Arial" w:hAnsi="Arial"/>
          <w:b/>
          <w:color w:val="1E293B"/>
          <w:sz w:val="21"/>
        </w:rPr>
        <w:t>7. How does resource capacity planning prevent team over-allocation and burnout?</w:t>
      </w:r>
    </w:p>
    <w:p>
      <w:pPr>
        <w:spacing w:before="0" w:after="120"/>
      </w:pPr>
      <w:r>
        <w:rPr>
          <w:rFonts w:ascii="Arial" w:hAnsi="Arial"/>
          <w:color w:val="475569"/>
          <w:sz w:val="19"/>
        </w:rPr>
        <w:t>Zoho Projects includes an interactive Resource Utilization Heatmap. We configure daily and weekly working hour limits per team member and link Zoho People to automatically ingest employee leaves, holidays, and shift schedules. When a project manager attempts to assign tasks that exceed 100% capacity, the system displays visual over-allocation alerts, allowing managers to re-level workloads with simple drag-and-drop actions.</w:t>
      </w:r>
    </w:p>
    <w:p>
      <w:pPr>
        <w:keepNext/>
        <w:spacing w:before="160" w:after="40"/>
      </w:pPr>
      <w:r>
        <w:rPr>
          <w:rFonts w:ascii="Arial" w:hAnsi="Arial"/>
          <w:b/>
          <w:color w:val="1E293B"/>
          <w:sz w:val="21"/>
        </w:rPr>
        <w:t>8. What are Stage-Gate Blueprints and how do they enforce process compliance?</w:t>
      </w:r>
    </w:p>
    <w:p>
      <w:pPr>
        <w:spacing w:before="0" w:after="120"/>
      </w:pPr>
      <w:r>
        <w:rPr>
          <w:rFonts w:ascii="Arial" w:hAnsi="Arial"/>
          <w:color w:val="475569"/>
          <w:sz w:val="19"/>
        </w:rPr>
        <w:t>Blueprints are visual state machines within Zoho Projects that mandate standard operating procedures. Tasks cannot move arbitrarily from one status to another. The Blueprint enforces mandatory conditions before transitioning—such as requiring test execution logs, QA checklist verification, design file attachments, or digital manager approval—eliminating skipped steps and quality defects.</w:t>
      </w:r>
    </w:p>
    <w:p>
      <w:pPr>
        <w:keepNext/>
        <w:spacing w:before="160" w:after="40"/>
      </w:pPr>
      <w:r>
        <w:rPr>
          <w:rFonts w:ascii="Arial" w:hAnsi="Arial"/>
          <w:b/>
          <w:color w:val="1E293B"/>
          <w:sz w:val="21"/>
        </w:rPr>
        <w:t>9. Can we automate custom business logic and integrations using Deluge and APIs?</w:t>
      </w:r>
    </w:p>
    <w:p>
      <w:pPr>
        <w:spacing w:before="0" w:after="120"/>
      </w:pPr>
      <w:r>
        <w:rPr>
          <w:rFonts w:ascii="Arial" w:hAnsi="Arial"/>
          <w:color w:val="475569"/>
          <w:sz w:val="19"/>
        </w:rPr>
        <w:t>Yes. In the Elite Package, our certified Zoho developers build serverless Deluge scripts and custom webhooks. Common automations include dynamic parent task deadline recalculation, automated milestone progression triggers, bi-directional issue syncing with Zoho Desk, GitHub/GitLab commit linking, and custom REST API endpoints connecting Zoho Projects to third-party ERPs or legacy data warehouses.</w:t>
      </w:r>
    </w:p>
    <w:p>
      <w:pPr>
        <w:keepNext/>
        <w:spacing w:before="160" w:after="40"/>
      </w:pPr>
      <w:r>
        <w:rPr>
          <w:rFonts w:ascii="Arial" w:hAnsi="Arial"/>
          <w:b/>
          <w:color w:val="1E293B"/>
          <w:sz w:val="21"/>
        </w:rPr>
        <w:t>10. What training and post go-live hypercare support does Elite Tech Corp provide?</w:t>
      </w:r>
    </w:p>
    <w:p>
      <w:pPr>
        <w:spacing w:before="0" w:after="120"/>
      </w:pPr>
      <w:r>
        <w:rPr>
          <w:rFonts w:ascii="Arial" w:hAnsi="Arial"/>
          <w:color w:val="475569"/>
          <w:sz w:val="19"/>
        </w:rPr>
        <w:t>We deliver role-based interactive training academies with recorded video SOPs for Project Managers, Resource Planners, Engineers, and Finance Admins. We then conduct 25+ (Pro) or 50+ (Elite) real-data UAT simulations. Post go-live, our Senior Solution Architect remains dedicated on-call for 30 days (Pro) or 45 days (Elite) through two full monthly billing runs and milestone reviews.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