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146C" w14:textId="77777777" w:rsidR="00E26915" w:rsidRDefault="00E26915">
      <w:pPr>
        <w:pStyle w:val="Heading1"/>
        <w:rPr>
          <w:rFonts w:ascii="Calibri" w:eastAsia="Times New Roman" w:hAnsi="Calibri" w:cs="Calibri"/>
          <w:color w:val="1A1A1A"/>
        </w:rPr>
      </w:pPr>
      <w:r>
        <w:rPr>
          <w:rFonts w:ascii="Calibri" w:eastAsia="Times New Roman" w:hAnsi="Calibri" w:cs="Calibri"/>
          <w:color w:val="1A1A1A"/>
        </w:rPr>
        <w:t>Brandon Robinson</w:t>
      </w:r>
    </w:p>
    <w:p w14:paraId="10C527EA" w14:textId="77777777" w:rsidR="00E26915" w:rsidRDefault="00E26915">
      <w:pPr>
        <w:pStyle w:val="contact"/>
        <w:rPr>
          <w:rFonts w:ascii="Calibri" w:hAnsi="Calibri" w:cs="Calibri"/>
          <w:color w:val="1A1A1A"/>
        </w:rPr>
      </w:pPr>
      <w:r>
        <w:rPr>
          <w:rFonts w:ascii="Calibri" w:hAnsi="Calibri" w:cs="Calibri"/>
          <w:color w:val="1A1A1A"/>
        </w:rPr>
        <w:t>zohto.ai@gmail.com | (413) 433-6459 | linkedin.com/in/brandon-robinson-ai | github.com/zohto | Springfield, MA | Remote · open to Miami / South Florida in person</w:t>
      </w:r>
    </w:p>
    <w:p w14:paraId="7698E3B8"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Operations Leadership · AI Adoption · Governed Automation</w:t>
      </w:r>
    </w:p>
    <w:p w14:paraId="6264EE05" w14:textId="77777777" w:rsidR="00E26915" w:rsidRDefault="00E26915">
      <w:pPr>
        <w:pStyle w:val="NormalWeb"/>
        <w:rPr>
          <w:rFonts w:ascii="Calibri" w:hAnsi="Calibri" w:cs="Calibri"/>
          <w:color w:val="1A1A1A"/>
          <w:sz w:val="19"/>
          <w:szCs w:val="19"/>
        </w:rPr>
      </w:pPr>
      <w:r>
        <w:rPr>
          <w:rFonts w:ascii="Calibri" w:hAnsi="Calibri" w:cs="Calibri"/>
          <w:color w:val="1A1A1A"/>
          <w:sz w:val="19"/>
          <w:szCs w:val="19"/>
        </w:rPr>
        <w:t>Operations leader who makes change stick. Seventeen years in accuracy-critical, high-volume operations, responsible for people from 2009 and in titled leadership roles from 2013, including an evaluation program handling ~20,000 submissions a year, and its transition from in-person to remote self-guided workflows, designed and delivered across teams and contributors who preferred the existing way of working.</w:t>
      </w:r>
    </w:p>
    <w:p w14:paraId="550C3079" w14:textId="77777777" w:rsidR="00E26915" w:rsidRDefault="00E26915">
      <w:pPr>
        <w:pStyle w:val="NormalWeb"/>
        <w:rPr>
          <w:rFonts w:ascii="Calibri" w:hAnsi="Calibri" w:cs="Calibri"/>
          <w:color w:val="1A1A1A"/>
          <w:sz w:val="19"/>
          <w:szCs w:val="19"/>
        </w:rPr>
      </w:pPr>
      <w:r>
        <w:rPr>
          <w:rFonts w:ascii="Calibri" w:hAnsi="Calibri" w:cs="Calibri"/>
          <w:color w:val="1A1A1A"/>
          <w:sz w:val="19"/>
          <w:szCs w:val="19"/>
        </w:rPr>
        <w:t>Now pairs that operating history with hands-on generative AI practice: prompt engineering, LLM-integrated workflow automation, and AI-assisted process redesign on production infrastructure, under governance, with human-in-the-loop control, structured discovery before any build, and operator handoff so efficiency gains are measured rather than assumed.</w:t>
      </w:r>
    </w:p>
    <w:p w14:paraId="4FAC790F" w14:textId="77777777" w:rsidR="00E26915" w:rsidRDefault="00E26915">
      <w:pPr>
        <w:pStyle w:val="NormalWeb"/>
        <w:rPr>
          <w:rFonts w:ascii="Calibri" w:hAnsi="Calibri" w:cs="Calibri"/>
          <w:color w:val="1A1A1A"/>
          <w:sz w:val="19"/>
          <w:szCs w:val="19"/>
        </w:rPr>
      </w:pPr>
      <w:r>
        <w:rPr>
          <w:rFonts w:ascii="Calibri" w:hAnsi="Calibri" w:cs="Calibri"/>
          <w:color w:val="1A1A1A"/>
          <w:sz w:val="19"/>
          <w:szCs w:val="19"/>
        </w:rPr>
        <w:t>Business judgment first: communicates across executives, operators, and engineers, comfortable in ambiguity, and makes the shutdown call when the data demands it. Bilingual English/Spanish.</w:t>
      </w:r>
    </w:p>
    <w:p w14:paraId="26AD0BE4" w14:textId="77777777" w:rsidR="00E26915" w:rsidRDefault="00E26915">
      <w:pPr>
        <w:pStyle w:val="Heading2"/>
        <w:rPr>
          <w:rFonts w:ascii="Calibri" w:eastAsia="Times New Roman" w:hAnsi="Calibri" w:cs="Calibri"/>
          <w:color w:val="1A1A1A"/>
        </w:rPr>
      </w:pPr>
      <w:r>
        <w:rPr>
          <w:rFonts w:ascii="Calibri" w:eastAsia="Times New Roman" w:hAnsi="Calibri" w:cs="Calibri"/>
          <w:color w:val="1A1A1A"/>
        </w:rPr>
        <w:t>Core Strengths</w:t>
      </w:r>
    </w:p>
    <w:p w14:paraId="57AE02B1"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Change Management &amp; Adoption:</w:t>
      </w:r>
      <w:r>
        <w:rPr>
          <w:rFonts w:ascii="Calibri" w:hAnsi="Calibri" w:cs="Calibri"/>
          <w:color w:val="1A1A1A"/>
          <w:sz w:val="19"/>
          <w:szCs w:val="19"/>
        </w:rPr>
        <w:t xml:space="preserve"> </w:t>
      </w:r>
      <w:r>
        <w:rPr>
          <w:rFonts w:ascii="Calibri" w:hAnsi="Calibri" w:cs="Calibri"/>
          <w:color w:val="1A1A1A"/>
          <w:sz w:val="19"/>
          <w:szCs w:val="19"/>
        </w:rPr>
        <w:t>process redesign, workflow transition leadership (in-person → remote self-guided), evaluation criteria design, training and SME leadership, mentorship without formal authority, operator handoff and documentation, adoption-focused delivery, outcome instrumentation, high-volume intake and evaluation operations, process standardization, structured discovery, requirements translation, cross-functional coordination, stakeholder communication, operating in ambiguity</w:t>
      </w:r>
    </w:p>
    <w:p w14:paraId="49AA2A79"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AI Operations &amp; Governance:</w:t>
      </w:r>
      <w:r>
        <w:rPr>
          <w:rFonts w:ascii="Calibri" w:hAnsi="Calibri" w:cs="Calibri"/>
          <w:color w:val="1A1A1A"/>
          <w:sz w:val="19"/>
          <w:szCs w:val="19"/>
        </w:rPr>
        <w:t xml:space="preserve"> </w:t>
      </w:r>
      <w:r>
        <w:rPr>
          <w:rFonts w:ascii="Calibri" w:hAnsi="Calibri" w:cs="Calibri"/>
          <w:color w:val="1A1A1A"/>
          <w:sz w:val="19"/>
          <w:szCs w:val="19"/>
        </w:rPr>
        <w:t>workflow cataloguing (every automation with state, risk tier, and owner), structured intake and dispatch, workflow tier classification, build specifications, review gates, append-only audit logging, lifecycle management of automations, human-in-the-loop control design, failure-mode documentation, secure credential handling, post-deployment monitoring; spend ledgers, per-run and monthly cost ceilings, vendor credit/balance monitoring, controlled pilots with pre-committed stop conditions, evidence-based conti</w:t>
      </w:r>
      <w:r>
        <w:rPr>
          <w:rFonts w:ascii="Calibri" w:hAnsi="Calibri" w:cs="Calibri"/>
          <w:color w:val="1A1A1A"/>
          <w:sz w:val="19"/>
          <w:szCs w:val="19"/>
        </w:rPr>
        <w:t>nue/kill decisions</w:t>
      </w:r>
    </w:p>
    <w:p w14:paraId="202C4C8F"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AI &amp; Intelligent Automation:</w:t>
      </w:r>
      <w:r>
        <w:rPr>
          <w:rFonts w:ascii="Calibri" w:hAnsi="Calibri" w:cs="Calibri"/>
          <w:color w:val="1A1A1A"/>
          <w:sz w:val="19"/>
          <w:szCs w:val="19"/>
        </w:rPr>
        <w:t xml:space="preserve"> LLM integration (Anthropic Claude API, OpenAI, Gemini), Claude Code (agentic coding), MCP (Model Context Protocol) server integration, prompt engineering, AI agent design, multi-agent system design, retrieval-augmented generation (RAG), hybrid LLM + rule-based classification, bounded autonomy, local model serving (Ollama)</w:t>
      </w:r>
    </w:p>
    <w:p w14:paraId="5E81D34D"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Platforms &amp; Infrastructure:</w:t>
      </w:r>
      <w:r>
        <w:rPr>
          <w:rFonts w:ascii="Calibri" w:hAnsi="Calibri" w:cs="Calibri"/>
          <w:color w:val="1A1A1A"/>
          <w:sz w:val="19"/>
          <w:szCs w:val="19"/>
        </w:rPr>
        <w:t xml:space="preserve"> </w:t>
      </w:r>
      <w:r>
        <w:rPr>
          <w:rFonts w:ascii="Calibri" w:hAnsi="Calibri" w:cs="Calibri"/>
          <w:color w:val="1A1A1A"/>
          <w:sz w:val="19"/>
          <w:szCs w:val="19"/>
        </w:rPr>
        <w:t>n8n (self-hosted, multi-instance), Make (Integromat), Zapier, UiPath; REST APIs, webhooks, OAuth 2.0, FastAPI, JSON data handling, error handling; Hetzner Cloud, Docker, Postgres, Cloudflare, DNS records (SPF, DKIM, DMARC), Git and GitHub</w:t>
      </w:r>
    </w:p>
    <w:p w14:paraId="35942A82" w14:textId="77777777" w:rsidR="00E26915" w:rsidRDefault="00E26915">
      <w:pPr>
        <w:pStyle w:val="Heading2"/>
        <w:rPr>
          <w:rFonts w:ascii="Calibri" w:eastAsia="Times New Roman" w:hAnsi="Calibri" w:cs="Calibri"/>
          <w:color w:val="1A1A1A"/>
        </w:rPr>
      </w:pPr>
      <w:r>
        <w:rPr>
          <w:rFonts w:ascii="Calibri" w:eastAsia="Times New Roman" w:hAnsi="Calibri" w:cs="Calibri"/>
          <w:color w:val="1A1A1A"/>
        </w:rPr>
        <w:t>Professional Experience</w:t>
      </w:r>
    </w:p>
    <w:p w14:paraId="102F8888" w14:textId="77777777" w:rsidR="00E26915" w:rsidRDefault="00E26915">
      <w:pPr>
        <w:pStyle w:val="Heading3"/>
        <w:rPr>
          <w:rFonts w:ascii="Calibri" w:eastAsia="Times New Roman" w:hAnsi="Calibri" w:cs="Calibri"/>
          <w:color w:val="1A1A1A"/>
        </w:rPr>
      </w:pPr>
      <w:r>
        <w:rPr>
          <w:rFonts w:ascii="Calibri" w:eastAsia="Times New Roman" w:hAnsi="Calibri" w:cs="Calibri"/>
          <w:color w:val="1A1A1A"/>
        </w:rPr>
        <w:t>BREALLE · Founder (independent AI-automation practice) · Remote · 04/2026–Present</w:t>
      </w:r>
    </w:p>
    <w:p w14:paraId="0A9591F1" w14:textId="77777777" w:rsidR="00E26915" w:rsidRDefault="00E26915">
      <w:pPr>
        <w:numPr>
          <w:ilvl w:val="0"/>
          <w:numId w:val="1"/>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Architected and operates production AI automation under a maintained governance framework (tier classification, build specifications, review gates, audit logging, and codified failure-mode controls), with a catalogue of workflow records as the system of record.</w:t>
      </w:r>
    </w:p>
    <w:p w14:paraId="270C776F" w14:textId="77777777" w:rsidR="00E26915" w:rsidRDefault="00E26915">
      <w:pPr>
        <w:numPr>
          <w:ilvl w:val="0"/>
          <w:numId w:val="1"/>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Designed and operates the multi-agent AI operating system that runs the practice: multiple AI agents with defined roles, a written division of authority, and an escalation seam separating reversible decisions from owner-approval decisions.</w:t>
      </w:r>
    </w:p>
    <w:p w14:paraId="244EAF99" w14:textId="77777777" w:rsidR="00E26915" w:rsidRDefault="00E26915">
      <w:pPr>
        <w:numPr>
          <w:ilvl w:val="0"/>
          <w:numId w:val="1"/>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Owns AI technology spend end-to-end at the practice's scale: a spend ledger, per-run and monthly cost ceilings, vendor credit/balance monitoring, and a governor that halts on unreadable quota, with cost quantified against output volume.</w:t>
      </w:r>
    </w:p>
    <w:p w14:paraId="79B344FD" w14:textId="77777777" w:rsidR="00E26915" w:rsidRDefault="00E26915">
      <w:pPr>
        <w:numPr>
          <w:ilvl w:val="0"/>
          <w:numId w:val="1"/>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Runs structured discovery to map current-state processes and scope the problem before any build; delivers documentation and a live walkthrough so the operating team can run, monitor, and adjust the system without ongoing builder dependency: adoption designed in, not assumed.</w:t>
      </w:r>
    </w:p>
    <w:p w14:paraId="6D6A97E4" w14:textId="77777777" w:rsidR="00E26915" w:rsidRDefault="00E26915">
      <w:pPr>
        <w:numPr>
          <w:ilvl w:val="0"/>
          <w:numId w:val="1"/>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Instruments outcomes end-to-end and acts on the evidence, including diagnosing a measured zero-result outbound program to its root cause and shutting it down rather than letting sunk cost keep it alive (see Technical Projects).</w:t>
      </w:r>
    </w:p>
    <w:p w14:paraId="2D51FAF1" w14:textId="77777777" w:rsidR="00E26915" w:rsidRDefault="00E26915">
      <w:pPr>
        <w:pStyle w:val="Heading3"/>
        <w:rPr>
          <w:rFonts w:ascii="Calibri" w:eastAsia="Times New Roman" w:hAnsi="Calibri" w:cs="Calibri"/>
          <w:color w:val="1A1A1A"/>
        </w:rPr>
      </w:pPr>
      <w:r>
        <w:rPr>
          <w:rFonts w:ascii="Calibri" w:eastAsia="Times New Roman" w:hAnsi="Calibri" w:cs="Calibri"/>
          <w:color w:val="1A1A1A"/>
        </w:rPr>
        <w:lastRenderedPageBreak/>
        <w:t>WATCHTOWER BIBLE AND TRACT SOCIETY OF NEW YORK, INC. · Patterson, NY · 02/2009–01/2026</w:t>
      </w:r>
    </w:p>
    <w:p w14:paraId="3D14C5CB" w14:textId="77777777" w:rsidR="00E26915" w:rsidRDefault="00E26915">
      <w:pPr>
        <w:pStyle w:val="NormalWeb"/>
        <w:rPr>
          <w:rFonts w:ascii="Calibri" w:hAnsi="Calibri" w:cs="Calibri"/>
          <w:color w:val="1A1A1A"/>
          <w:sz w:val="19"/>
          <w:szCs w:val="19"/>
        </w:rPr>
      </w:pPr>
      <w:r>
        <w:rPr>
          <w:rStyle w:val="Emphasis"/>
          <w:rFonts w:ascii="Calibri" w:hAnsi="Calibri" w:cs="Calibri"/>
          <w:color w:val="1A1A1A"/>
          <w:sz w:val="19"/>
          <w:szCs w:val="19"/>
        </w:rPr>
        <w:t>Global nonprofit media production and publishing organization; the Patterson campus supports multi-team video production at scale.</w:t>
      </w:r>
    </w:p>
    <w:p w14:paraId="60F4D935" w14:textId="77777777" w:rsidR="00E26915" w:rsidRDefault="00E26915">
      <w:pPr>
        <w:pStyle w:val="NormalWeb"/>
        <w:rPr>
          <w:rFonts w:ascii="Calibri" w:hAnsi="Calibri" w:cs="Calibri"/>
          <w:color w:val="1A1A1A"/>
          <w:sz w:val="19"/>
          <w:szCs w:val="19"/>
        </w:rPr>
      </w:pPr>
      <w:r>
        <w:rPr>
          <w:rFonts w:ascii="Calibri" w:hAnsi="Calibri" w:cs="Calibri"/>
          <w:color w:val="1A1A1A"/>
          <w:sz w:val="19"/>
          <w:szCs w:val="19"/>
        </w:rPr>
        <w:t>Seventeen years in accuracy-critical, high-volume operations, responsible for people from 2009 and in titled leadership roles from 2013, spanning process standardization, change leadership, stakeholder translation, and training across non-technical teams. Built and maintained the reporting, tracking, and communication mechanism each successive role required: dashboards, recurring reports, newsletters, and email updates. Adopted the organization's approved AI tooling on rollout and used it across the operati</w:t>
      </w:r>
      <w:r>
        <w:rPr>
          <w:rFonts w:ascii="Calibri" w:hAnsi="Calibri" w:cs="Calibri"/>
          <w:color w:val="1A1A1A"/>
          <w:sz w:val="19"/>
          <w:szCs w:val="19"/>
        </w:rPr>
        <w:t>ons role (troubleshooting, drafting, meeting infographics, department events, and reasoning through problems), including AI-assisted development of internal Office Scripts tooling under the same standards; automation-platform and production client work began through TripleTen and BREALLE.</w:t>
      </w:r>
    </w:p>
    <w:p w14:paraId="2C3DA5A4"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Auditions and Casting Coordinator | 08/2019–01/2026</w:t>
      </w:r>
      <w:r>
        <w:rPr>
          <w:rFonts w:ascii="Calibri" w:hAnsi="Calibri" w:cs="Calibri"/>
          <w:color w:val="1A1A1A"/>
          <w:sz w:val="19"/>
          <w:szCs w:val="19"/>
        </w:rPr>
        <w:t xml:space="preserve"> </w:t>
      </w:r>
      <w:r>
        <w:rPr>
          <w:rStyle w:val="Emphasis"/>
          <w:rFonts w:ascii="Calibri" w:hAnsi="Calibri" w:cs="Calibri"/>
          <w:color w:val="1A1A1A"/>
          <w:sz w:val="19"/>
          <w:szCs w:val="19"/>
        </w:rPr>
        <w:t>(concurrent with the role below from 12/2020)</w:t>
      </w:r>
    </w:p>
    <w:p w14:paraId="540840D2" w14:textId="77777777" w:rsidR="00E26915" w:rsidRDefault="00E26915">
      <w:pPr>
        <w:numPr>
          <w:ilvl w:val="0"/>
          <w:numId w:val="2"/>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Owned audition intake and evaluation workflows for multiple teams handling ~20,000 submissions annually: program-level accountability for accuracy, fairness, and timely decision-making at sustained volume.</w:t>
      </w:r>
    </w:p>
    <w:p w14:paraId="5BAB93A0" w14:textId="77777777" w:rsidR="00E26915" w:rsidRDefault="00E26915">
      <w:pPr>
        <w:numPr>
          <w:ilvl w:val="0"/>
          <w:numId w:val="2"/>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Designed and led the program's transition from in-person auditions to remote, self-guided workflows (new evaluation criteria, retooled process, and retraining across teams and contributors who preferred the existing way of working), improving scalability, accessibility, and review consistency through the change.</w:t>
      </w:r>
    </w:p>
    <w:p w14:paraId="604B4B12" w14:textId="77777777" w:rsidR="00E26915" w:rsidRDefault="00E26915">
      <w:pPr>
        <w:numPr>
          <w:ilvl w:val="0"/>
          <w:numId w:val="2"/>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Served as subject-matter expert for Auditions and Casting on the migration of audition records from a legacy system into the organization's enterprise data platform: specified record structure against two distinct workflows, model entry and casting review, resolving free-text versus controlled-vocabulary field decisions on downstream searchability; acceptance-tested what was delivered and was the gate changes passed through before release.</w:t>
      </w:r>
    </w:p>
    <w:p w14:paraId="438BEB99" w14:textId="77777777" w:rsidR="00E26915" w:rsidRDefault="00E26915">
      <w:pPr>
        <w:numPr>
          <w:ilvl w:val="0"/>
          <w:numId w:val="2"/>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Directed audition teams across assigned territories: weekly working meetings with auditioners and monthly per-team progress check-ins; made team-composition decisions, reviewed and approved by a supervisor.</w:t>
      </w:r>
    </w:p>
    <w:p w14:paraId="69DA224C"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Operations Specialist &amp; Systems Coordinator (Video Production Operations) | 12/2020–01/2026</w:t>
      </w:r>
    </w:p>
    <w:p w14:paraId="7062B604" w14:textId="77777777" w:rsidR="00E26915" w:rsidRDefault="00E26915">
      <w:pPr>
        <w:numPr>
          <w:ilvl w:val="0"/>
          <w:numId w:val="3"/>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Designed and built the department-wide talent assessment program (11 disciplines, ~100 personnel, ~20 trainers, and a 4-manager review panel): a required-field Microsoft Form feeding Excel Online, AI-assisted Office Scripts processing, and two query views inside the workbook managers already used, one per person per skill and one per class to test whether the class itself was working. Adopted into regular use and run each cycle.</w:t>
      </w:r>
    </w:p>
    <w:p w14:paraId="15EDB3B0" w14:textId="77777777" w:rsidR="00E26915" w:rsidRDefault="00E26915">
      <w:pPr>
        <w:numPr>
          <w:ilvl w:val="0"/>
          <w:numId w:val="3"/>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Rebuilt the department's undefined onboarding into a scheduled, repeatable orientation delivered by the people doing the work, planned far enough ahead to avoid impact on production, connecting new arrivals to the teams they would work with and shortening time to productivity; trained backups and handed it off to run independently.</w:t>
      </w:r>
    </w:p>
    <w:p w14:paraId="5B1320B5" w14:textId="77777777" w:rsidR="00E26915" w:rsidRDefault="00E26915">
      <w:pPr>
        <w:numPr>
          <w:ilvl w:val="0"/>
          <w:numId w:val="3"/>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Turned meetings into execution: wrote and distributed notes after every meeting attended, tailored to what each stakeholder needed, and translated production scripts into actionable task assignments.</w:t>
      </w:r>
    </w:p>
    <w:p w14:paraId="07DA9B52" w14:textId="77777777" w:rsidR="00E26915" w:rsidRDefault="00E26915">
      <w:pPr>
        <w:numPr>
          <w:ilvl w:val="0"/>
          <w:numId w:val="3"/>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Provided executive-level operational support for video production leadership, managing schedules, documents, and information flow during high-volume production cycles.</w:t>
      </w:r>
    </w:p>
    <w:p w14:paraId="68854AEA"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First Assistant Director | 06/2018–08/2019</w:t>
      </w:r>
    </w:p>
    <w:p w14:paraId="5C97E0B4" w14:textId="77777777" w:rsidR="00E26915" w:rsidRDefault="00E26915">
      <w:pPr>
        <w:numPr>
          <w:ilvl w:val="0"/>
          <w:numId w:val="4"/>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Coordinated end-to-end production workflows across multi-role teams; served as an operational bridge between directors, performers, and support staff, translating creative intent into clear plans, timelines, and task assignments.</w:t>
      </w:r>
    </w:p>
    <w:p w14:paraId="4994303B"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Main Lobby Coordinator | 2013–06/2018</w:t>
      </w:r>
      <w:r>
        <w:rPr>
          <w:rFonts w:ascii="Calibri" w:hAnsi="Calibri" w:cs="Calibri"/>
          <w:color w:val="1A1A1A"/>
          <w:sz w:val="19"/>
          <w:szCs w:val="19"/>
        </w:rPr>
        <w:t xml:space="preserve"> </w:t>
      </w:r>
      <w:r>
        <w:rPr>
          <w:rStyle w:val="Emphasis"/>
          <w:rFonts w:ascii="Calibri" w:hAnsi="Calibri" w:cs="Calibri"/>
          <w:color w:val="1A1A1A"/>
          <w:sz w:val="19"/>
          <w:szCs w:val="19"/>
        </w:rPr>
        <w:t>(reception, training, and operations support from 02/2009)</w:t>
      </w:r>
    </w:p>
    <w:p w14:paraId="550B3547" w14:textId="77777777" w:rsidR="00E26915" w:rsidRDefault="00E26915">
      <w:pPr>
        <w:numPr>
          <w:ilvl w:val="0"/>
          <w:numId w:val="5"/>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One of two coordinators running the main lobby operation through sustained growth in visitor volume, from ~48,000 annual guests in 2009 to ~120,000 by 2018, with responsibility for tours, training, and a 24/7 reception desk from 02/2009.</w:t>
      </w:r>
    </w:p>
    <w:p w14:paraId="2A07C993" w14:textId="77777777" w:rsidR="00E26915" w:rsidRDefault="00E26915">
      <w:pPr>
        <w:numPr>
          <w:ilvl w:val="0"/>
          <w:numId w:val="5"/>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Responsible for roughly 20–30 lobby desk personnel and part-time tour guides at a given time: their workload, meeting cadence, scheduling, and retention across a rotating cohort.</w:t>
      </w:r>
    </w:p>
    <w:p w14:paraId="07CCCBA5" w14:textId="77777777" w:rsidR="00E26915" w:rsidRDefault="00E26915">
      <w:pPr>
        <w:numPr>
          <w:ilvl w:val="0"/>
          <w:numId w:val="5"/>
        </w:numPr>
        <w:spacing w:after="40"/>
        <w:rPr>
          <w:rFonts w:ascii="Calibri" w:eastAsia="Times New Roman" w:hAnsi="Calibri" w:cs="Calibri"/>
          <w:color w:val="1A1A1A"/>
          <w:sz w:val="19"/>
          <w:szCs w:val="19"/>
        </w:rPr>
      </w:pPr>
      <w:r>
        <w:rPr>
          <w:rFonts w:ascii="Calibri" w:eastAsia="Times New Roman" w:hAnsi="Calibri" w:cs="Calibri"/>
          <w:color w:val="1A1A1A"/>
          <w:sz w:val="19"/>
          <w:szCs w:val="19"/>
        </w:rPr>
        <w:t>Operationalized a part-time tour-guide staffing arrangement directed from above: involved in selection, training, daily workload, communication, and scheduling for facility-wide tour operations.</w:t>
      </w:r>
    </w:p>
    <w:p w14:paraId="56AD381B" w14:textId="77777777" w:rsidR="00E26915" w:rsidRDefault="00E26915">
      <w:pPr>
        <w:pStyle w:val="Heading2"/>
        <w:rPr>
          <w:rFonts w:ascii="Calibri" w:eastAsia="Times New Roman" w:hAnsi="Calibri" w:cs="Calibri"/>
          <w:color w:val="1A1A1A"/>
        </w:rPr>
      </w:pPr>
      <w:r>
        <w:rPr>
          <w:rFonts w:ascii="Calibri" w:eastAsia="Times New Roman" w:hAnsi="Calibri" w:cs="Calibri"/>
          <w:color w:val="1A1A1A"/>
        </w:rPr>
        <w:t>Technical Projects</w:t>
      </w:r>
    </w:p>
    <w:p w14:paraId="4E4E425E" w14:textId="77777777" w:rsidR="00E26915" w:rsidRDefault="00E26915">
      <w:pPr>
        <w:pStyle w:val="NormalWeb"/>
        <w:rPr>
          <w:rFonts w:ascii="Calibri" w:hAnsi="Calibri" w:cs="Calibri"/>
          <w:color w:val="1A1A1A"/>
          <w:sz w:val="19"/>
          <w:szCs w:val="19"/>
        </w:rPr>
      </w:pPr>
      <w:r>
        <w:rPr>
          <w:rStyle w:val="Emphasis"/>
          <w:rFonts w:ascii="Calibri" w:hAnsi="Calibri" w:cs="Calibri"/>
          <w:color w:val="1A1A1A"/>
          <w:sz w:val="19"/>
          <w:szCs w:val="19"/>
        </w:rPr>
        <w:t>Portfolio: github.com/zohto/ai-automation-portfolio</w:t>
      </w:r>
    </w:p>
    <w:p w14:paraId="2B54F2D5" w14:textId="77777777" w:rsidR="00E26915" w:rsidRDefault="00E26915">
      <w:pPr>
        <w:pStyle w:val="Heading3"/>
        <w:rPr>
          <w:rFonts w:ascii="Calibri" w:eastAsia="Times New Roman" w:hAnsi="Calibri" w:cs="Calibri"/>
          <w:color w:val="1A1A1A"/>
        </w:rPr>
      </w:pPr>
      <w:r>
        <w:rPr>
          <w:rFonts w:ascii="Calibri" w:eastAsia="Times New Roman" w:hAnsi="Calibri" w:cs="Calibri"/>
          <w:color w:val="1A1A1A"/>
        </w:rPr>
        <w:lastRenderedPageBreak/>
        <w:t>Regional Distributor Applicant Pipeline (Production, delivered · 2026)</w:t>
      </w:r>
    </w:p>
    <w:p w14:paraId="74F49152" w14:textId="77777777" w:rsidR="00E26915" w:rsidRDefault="00E26915">
      <w:pPr>
        <w:pStyle w:val="NormalWeb"/>
        <w:rPr>
          <w:rFonts w:ascii="Calibri" w:hAnsi="Calibri" w:cs="Calibri"/>
          <w:color w:val="1A1A1A"/>
          <w:sz w:val="19"/>
          <w:szCs w:val="19"/>
        </w:rPr>
      </w:pPr>
      <w:r>
        <w:rPr>
          <w:rFonts w:ascii="Calibri" w:hAnsi="Calibri" w:cs="Calibri"/>
          <w:color w:val="1A1A1A"/>
          <w:sz w:val="19"/>
          <w:szCs w:val="19"/>
        </w:rPr>
        <w:t>Tier 3 production applicant intake and re-engagement pipeline for a client: 10,580+ applicants processed across a 3-chain architecture with audit logging on every routing decision; 100% classification coverage, 71% auto-filtered before human review. Deterministic classification with human-in-the-loop approval gates; delivered with a workflow map, an operator-facing Google Sheets interface, and a live walkthrough, leaving the client team able to operate, monitor, and adjust it without the builder.</w:t>
      </w:r>
    </w:p>
    <w:p w14:paraId="6577DC9D" w14:textId="77777777" w:rsidR="00E26915" w:rsidRDefault="00E26915">
      <w:pPr>
        <w:pStyle w:val="Heading3"/>
        <w:rPr>
          <w:rFonts w:ascii="Calibri" w:eastAsia="Times New Roman" w:hAnsi="Calibri" w:cs="Calibri"/>
          <w:color w:val="1A1A1A"/>
        </w:rPr>
      </w:pPr>
      <w:r>
        <w:rPr>
          <w:rFonts w:ascii="Calibri" w:eastAsia="Times New Roman" w:hAnsi="Calibri" w:cs="Calibri"/>
          <w:color w:val="1A1A1A"/>
        </w:rPr>
        <w:t>AI Operations Governance System (operating daily · 2026–present)</w:t>
      </w:r>
    </w:p>
    <w:p w14:paraId="42576D8B" w14:textId="77777777" w:rsidR="00E26915" w:rsidRDefault="00E26915">
      <w:pPr>
        <w:pStyle w:val="NormalWeb"/>
        <w:rPr>
          <w:rFonts w:ascii="Calibri" w:hAnsi="Calibri" w:cs="Calibri"/>
          <w:color w:val="1A1A1A"/>
          <w:sz w:val="19"/>
          <w:szCs w:val="19"/>
        </w:rPr>
      </w:pPr>
      <w:r>
        <w:rPr>
          <w:rFonts w:ascii="Calibri" w:hAnsi="Calibri" w:cs="Calibri"/>
          <w:color w:val="1A1A1A"/>
          <w:sz w:val="19"/>
          <w:szCs w:val="19"/>
        </w:rPr>
        <w:t>The multi-agent AI operating system that runs BREALLE, a one-person company: defined agent roles, a written division of authority, a workflow catalogue with risk tiers and owners, an append-only governance audit trail carrying the reasoning behind each decision, structured intake and dispatch, spend ceilings with vendor balance monitoring, and controlled pilots with pre-committed stop conditions: adoption and governance practiced daily, not theorized.</w:t>
      </w:r>
    </w:p>
    <w:p w14:paraId="2F1246AA" w14:textId="77777777" w:rsidR="00E26915" w:rsidRDefault="00E26915">
      <w:pPr>
        <w:pStyle w:val="Heading3"/>
        <w:rPr>
          <w:rFonts w:ascii="Calibri" w:eastAsia="Times New Roman" w:hAnsi="Calibri" w:cs="Calibri"/>
          <w:color w:val="1A1A1A"/>
        </w:rPr>
      </w:pPr>
      <w:r>
        <w:rPr>
          <w:rFonts w:ascii="Calibri" w:eastAsia="Times New Roman" w:hAnsi="Calibri" w:cs="Calibri"/>
          <w:color w:val="1A1A1A"/>
        </w:rPr>
        <w:t>Outbound Email System: Compliance, Instrumentation, and an Evidence-Based Shutdown (Production · 2026)</w:t>
      </w:r>
    </w:p>
    <w:p w14:paraId="6B2DA113" w14:textId="77777777" w:rsidR="00E26915" w:rsidRDefault="00E26915">
      <w:pPr>
        <w:pStyle w:val="NormalWeb"/>
        <w:rPr>
          <w:rFonts w:ascii="Calibri" w:hAnsi="Calibri" w:cs="Calibri"/>
          <w:color w:val="1A1A1A"/>
          <w:sz w:val="19"/>
          <w:szCs w:val="19"/>
        </w:rPr>
      </w:pPr>
      <w:r>
        <w:rPr>
          <w:rFonts w:ascii="Calibri" w:hAnsi="Calibri" w:cs="Calibri"/>
          <w:color w:val="1A1A1A"/>
          <w:sz w:val="19"/>
          <w:szCs w:val="19"/>
        </w:rPr>
        <w:t>Production outbound email system on self-hosted n8n with a complete compliance and audit chain: CAN-SPAM controls verified at the destination (238/238 verified sent bodies carried the postal address and opt-out line), deterministic reply classification with opt-out capture to a permanent suppression ledger, NDR sweep with per-address reconciliation, enforced send windows, caps, kill switch, and fail-closed guards; daily replenishment loop under a spend ledger and cost ceiling. Its instrumentation proved the</w:t>
      </w:r>
      <w:r>
        <w:rPr>
          <w:rFonts w:ascii="Calibri" w:hAnsi="Calibri" w:cs="Calibri"/>
          <w:color w:val="1A1A1A"/>
          <w:sz w:val="19"/>
          <w:szCs w:val="19"/>
        </w:rPr>
        <w:t xml:space="preserve"> program had failed (242 real sends, zero genuine replies), and the root-cause diagnostic eliminated authentication, blacklisting, domain age, and volume on evidence, isolating content filtering. Shut it down on that finding: measurable outcomes over sunk cost.</w:t>
      </w:r>
    </w:p>
    <w:p w14:paraId="50895461" w14:textId="77777777" w:rsidR="00E26915" w:rsidRDefault="00E26915">
      <w:pPr>
        <w:pStyle w:val="Heading2"/>
        <w:rPr>
          <w:rFonts w:ascii="Calibri" w:eastAsia="Times New Roman" w:hAnsi="Calibri" w:cs="Calibri"/>
          <w:color w:val="1A1A1A"/>
        </w:rPr>
      </w:pPr>
      <w:r>
        <w:rPr>
          <w:rFonts w:ascii="Calibri" w:eastAsia="Times New Roman" w:hAnsi="Calibri" w:cs="Calibri"/>
          <w:color w:val="1A1A1A"/>
        </w:rPr>
        <w:t>Education &amp; Training</w:t>
      </w:r>
    </w:p>
    <w:p w14:paraId="3F76FE75"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TripleTen | AI Automation Specialist Program</w:t>
      </w:r>
      <w:r>
        <w:rPr>
          <w:rFonts w:ascii="Calibri" w:hAnsi="Calibri" w:cs="Calibri"/>
          <w:color w:val="1A1A1A"/>
          <w:sz w:val="19"/>
          <w:szCs w:val="19"/>
        </w:rPr>
        <w:t xml:space="preserve"> · Remote · 12/2025–03/2026</w:t>
      </w:r>
    </w:p>
    <w:p w14:paraId="530C9396" w14:textId="77777777" w:rsidR="00E26915" w:rsidRDefault="00E26915">
      <w:pPr>
        <w:pStyle w:val="NormalWeb"/>
        <w:rPr>
          <w:rFonts w:ascii="Calibri" w:hAnsi="Calibri" w:cs="Calibri"/>
          <w:color w:val="1A1A1A"/>
          <w:sz w:val="19"/>
          <w:szCs w:val="19"/>
        </w:rPr>
      </w:pPr>
      <w:r>
        <w:rPr>
          <w:rFonts w:ascii="Calibri" w:hAnsi="Calibri" w:cs="Calibri"/>
          <w:color w:val="1A1A1A"/>
          <w:sz w:val="19"/>
          <w:szCs w:val="19"/>
        </w:rPr>
        <w:t>Intensive project-based program: Make, Zapier, n8n, UiPath, API integration, webhooks, prompt engineering, LLM-powered workflows, AI agent fundamentals, and human-in-the-loop system design; documented system logic, assumptions, and failure modes in production-oriented artifacts.</w:t>
      </w:r>
    </w:p>
    <w:p w14:paraId="2486CD77" w14:textId="77777777" w:rsidR="00E26915" w:rsidRDefault="00E26915">
      <w:pPr>
        <w:pStyle w:val="NormalWeb"/>
        <w:rPr>
          <w:rFonts w:ascii="Calibri" w:hAnsi="Calibri" w:cs="Calibri"/>
          <w:color w:val="1A1A1A"/>
          <w:sz w:val="19"/>
          <w:szCs w:val="19"/>
        </w:rPr>
      </w:pPr>
      <w:r>
        <w:rPr>
          <w:rStyle w:val="Strong"/>
          <w:rFonts w:ascii="Calibri" w:hAnsi="Calibri" w:cs="Calibri"/>
          <w:color w:val="1A1A1A"/>
          <w:sz w:val="19"/>
          <w:szCs w:val="19"/>
        </w:rPr>
        <w:t>Watchtower Bible and Tract Society | Professional Development</w:t>
      </w:r>
      <w:r>
        <w:rPr>
          <w:rFonts w:ascii="Calibri" w:hAnsi="Calibri" w:cs="Calibri"/>
          <w:color w:val="1A1A1A"/>
          <w:sz w:val="19"/>
          <w:szCs w:val="19"/>
        </w:rPr>
        <w:t xml:space="preserve"> · Patterson, NY</w:t>
      </w:r>
    </w:p>
    <w:p w14:paraId="62851E41" w14:textId="77777777" w:rsidR="00E26915" w:rsidRDefault="00E26915">
      <w:pPr>
        <w:pStyle w:val="NormalWeb"/>
        <w:rPr>
          <w:rFonts w:ascii="Calibri" w:hAnsi="Calibri" w:cs="Calibri"/>
          <w:color w:val="1A1A1A"/>
          <w:sz w:val="19"/>
          <w:szCs w:val="19"/>
        </w:rPr>
      </w:pPr>
      <w:r>
        <w:rPr>
          <w:rFonts w:ascii="Calibri" w:hAnsi="Calibri" w:cs="Calibri"/>
          <w:color w:val="1A1A1A"/>
          <w:sz w:val="19"/>
          <w:szCs w:val="19"/>
        </w:rPr>
        <w:t>Project Coordination (two weeks, 2018): balancing scope, budget, and time; principles of communication; scheduling; resolving conflicts; and working with the team. Principles of Management.</w:t>
      </w:r>
    </w:p>
    <w:sectPr w:rsidR="00E26915" w:rsidSect="00B27173">
      <w:pgSz w:w="12240" w:h="15840"/>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05A"/>
    <w:multiLevelType w:val="multilevel"/>
    <w:tmpl w:val="37A2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54910"/>
    <w:multiLevelType w:val="multilevel"/>
    <w:tmpl w:val="755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B331E"/>
    <w:multiLevelType w:val="multilevel"/>
    <w:tmpl w:val="89B8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A5089B"/>
    <w:multiLevelType w:val="multilevel"/>
    <w:tmpl w:val="B0E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63BBC"/>
    <w:multiLevelType w:val="multilevel"/>
    <w:tmpl w:val="B91A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936634">
    <w:abstractNumId w:val="2"/>
  </w:num>
  <w:num w:numId="2" w16cid:durableId="458108070">
    <w:abstractNumId w:val="4"/>
  </w:num>
  <w:num w:numId="3" w16cid:durableId="396392463">
    <w:abstractNumId w:val="0"/>
  </w:num>
  <w:num w:numId="4" w16cid:durableId="1355382651">
    <w:abstractNumId w:val="1"/>
  </w:num>
  <w:num w:numId="5" w16cid:durableId="1105809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7173"/>
    <w:rsid w:val="00563215"/>
    <w:rsid w:val="00B27173"/>
    <w:rsid w:val="00E26915"/>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B0E0D"/>
  <w15:chartTrackingRefBased/>
  <w15:docId w15:val="{18CDCEF5-1FF5-44FB-9890-D3DAB6B4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R" w:eastAsia="es-P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0"/>
      <w:outlineLvl w:val="0"/>
    </w:pPr>
    <w:rPr>
      <w:b/>
      <w:bCs/>
      <w:kern w:val="36"/>
      <w:sz w:val="32"/>
      <w:szCs w:val="32"/>
    </w:rPr>
  </w:style>
  <w:style w:type="paragraph" w:styleId="Heading2">
    <w:name w:val="heading 2"/>
    <w:basedOn w:val="Normal"/>
    <w:link w:val="Heading2Char"/>
    <w:uiPriority w:val="9"/>
    <w:qFormat/>
    <w:pPr>
      <w:pBdr>
        <w:bottom w:val="single" w:sz="8" w:space="1" w:color="444444"/>
      </w:pBdr>
      <w:spacing w:before="120" w:after="40"/>
      <w:outlineLvl w:val="1"/>
    </w:pPr>
    <w:rPr>
      <w:b/>
      <w:bCs/>
      <w:sz w:val="22"/>
      <w:szCs w:val="22"/>
    </w:rPr>
  </w:style>
  <w:style w:type="paragraph" w:styleId="Heading3">
    <w:name w:val="heading 3"/>
    <w:basedOn w:val="Normal"/>
    <w:link w:val="Heading3Char"/>
    <w:uiPriority w:val="9"/>
    <w:qFormat/>
    <w:pPr>
      <w:spacing w:before="80" w:after="2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60"/>
    </w:pPr>
  </w:style>
  <w:style w:type="paragraph" w:styleId="NormalWeb">
    <w:name w:val="Normal (Web)"/>
    <w:basedOn w:val="Normal"/>
    <w:uiPriority w:val="99"/>
    <w:semiHidden/>
    <w:unhideWhenUsed/>
    <w:pPr>
      <w:spacing w:after="60"/>
    </w:pPr>
  </w:style>
  <w:style w:type="paragraph" w:customStyle="1" w:styleId="contact">
    <w:name w:val="contact"/>
    <w:basedOn w:val="Normal"/>
    <w:pPr>
      <w:spacing w:after="80"/>
    </w:pPr>
    <w:rPr>
      <w:sz w:val="17"/>
      <w:szCs w:val="17"/>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1755</Words>
  <Characters>9656</Characters>
  <Application>Microsoft Office Word</Application>
  <DocSecurity>0</DocSecurity>
  <Lines>80</Lines>
  <Paragraphs>22</Paragraphs>
  <ScaleCrop>false</ScaleCrop>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Robinson</dc:creator>
  <cp:keywords/>
  <dc:description/>
  <cp:lastModifiedBy>Brandon Robinson</cp:lastModifiedBy>
  <cp:revision>2</cp:revision>
  <dcterms:created xsi:type="dcterms:W3CDTF">2026-08-21T20:11:00Z</dcterms:created>
  <dcterms:modified xsi:type="dcterms:W3CDTF">2026-08-21T20:11:00Z</dcterms:modified>
</cp:coreProperties>
</file>