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t xml:space="preserve"/>
      </w:r>
    </w:p>
    <w:p>
      <w:pPr>
        <w:spacing w:after="60"/>
      </w:pPr>
      <w:r>
        <w:t xml:space="preserve"/>
      </w:r>
    </w:p>
    <w:p>
      <w:pPr>
        <w:spacing w:after="60"/>
      </w:pPr>
      <w:r>
        <w:t xml:space="preserve"/>
      </w:r>
    </w:p>
    <w:p>
      <w:pPr>
        <w:spacing w:after="80"/>
        <w:jc w:val="center"/>
      </w:pPr>
      <w:r>
        <w:rPr>
          <w:rFonts w:ascii="Arial" w:cs="Arial" w:eastAsia="Arial" w:hAnsi="Arial"/>
          <w:b/>
          <w:bCs/>
          <w:color w:val="2E6DB4"/>
          <w:sz w:val="26"/>
          <w:szCs w:val="26"/>
        </w:rPr>
        <w:t xml:space="preserve">MAGNA FOODSERVICE</w:t>
      </w:r>
    </w:p>
    <w:p>
      <w:pPr>
        <w:spacing w:after="120"/>
        <w:jc w:val="center"/>
      </w:pPr>
      <w:r>
        <w:rPr>
          <w:rFonts w:ascii="Arial" w:cs="Arial" w:eastAsia="Arial" w:hAnsi="Arial"/>
          <w:b/>
          <w:bCs/>
          <w:color w:val="555555"/>
          <w:sz w:val="18"/>
          <w:szCs w:val="18"/>
        </w:rPr>
        <w:t xml:space="preserve">VOLUME 1 OF 4</w:t>
      </w:r>
    </w:p>
    <w:p>
      <w:pPr>
        <w:spacing w:after="80"/>
        <w:jc w:val="center"/>
      </w:pPr>
      <w:r>
        <w:rPr>
          <w:rFonts w:ascii="Arial" w:cs="Arial" w:eastAsia="Arial" w:hAnsi="Arial"/>
          <w:b/>
          <w:bCs/>
          <w:color w:val="1F3A6E"/>
          <w:sz w:val="56"/>
          <w:szCs w:val="56"/>
        </w:rPr>
        <w:t xml:space="preserve">Business Case</w:t>
      </w:r>
    </w:p>
    <w:p>
      <w:pPr>
        <w:spacing w:after="60"/>
        <w:jc w:val="center"/>
      </w:pPr>
      <w:r>
        <w:rPr>
          <w:rFonts w:ascii="Arial" w:cs="Arial" w:eastAsia="Arial" w:hAnsi="Arial"/>
          <w:color w:val="555555"/>
          <w:sz w:val="24"/>
          <w:szCs w:val="24"/>
        </w:rPr>
        <w:t xml:space="preserve">Strategic Overview &amp; Investment Rationale</w:t>
      </w:r>
    </w:p>
    <w:p>
      <w:pPr>
        <w:spacing w:after="200"/>
        <w:jc w:val="center"/>
      </w:pPr>
      <w:r>
        <w:rPr>
          <w:rFonts w:ascii="Arial" w:cs="Arial" w:eastAsia="Arial" w:hAnsi="Arial"/>
          <w:i/>
          <w:iCs/>
          <w:color w:val="555555"/>
          <w:sz w:val="20"/>
          <w:szCs w:val="20"/>
        </w:rPr>
        <w:t xml:space="preserve">Why this project exists, what it achieves, and why it is critical to Magna’s survival and growth</w:t>
      </w:r>
    </w:p>
    <w:p>
      <w:pPr>
        <w:spacing w:after="40"/>
        <w:jc w:val="center"/>
      </w:pPr>
      <w:r>
        <w:rPr>
          <w:rFonts w:ascii="Arial" w:cs="Arial" w:eastAsia="Arial" w:hAnsi="Arial"/>
          <w:color w:val="555555"/>
          <w:sz w:val="18"/>
          <w:szCs w:val="18"/>
        </w:rPr>
        <w:t xml:space="preserve">Lead Intelligence System — Complete Project Document Set</w:t>
      </w:r>
    </w:p>
    <w:p>
      <w:pPr>
        <w:jc w:val="center"/>
      </w:pPr>
      <w:r>
        <w:rPr>
          <w:rFonts w:ascii="Arial" w:cs="Arial" w:eastAsia="Arial" w:hAnsi="Arial"/>
          <w:color w:val="555555"/>
          <w:sz w:val="18"/>
          <w:szCs w:val="18"/>
        </w:rPr>
        <w:t xml:space="preserve">July 2026  ·  Owner: Zoeb</w:t>
      </w:r>
    </w:p>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Contents</w:t>
      </w:r>
    </w:p>
    <w:p>
      <w:pPr>
        <w:tabs>
          <w:tab w:val="right" w:pos="9026"/>
        </w:tabs>
        <w:spacing w:after="100"/>
      </w:pPr>
      <w:r>
        <w:rPr>
          <w:rFonts w:ascii="Arial" w:cs="Arial" w:eastAsia="Arial" w:hAnsi="Arial"/>
          <w:color w:val="555555"/>
          <w:sz w:val="20"/>
          <w:szCs w:val="20"/>
        </w:rPr>
        <w:t xml:space="preserve">1. Executive Summary</w:t>
      </w:r>
      <w:r>
        <w:rPr>
          <w:rFonts w:ascii="Arial" w:cs="Arial" w:eastAsia="Arial" w:hAnsi="Arial"/>
          <w:color w:val="555555"/>
          <w:sz w:val="20"/>
          <w:szCs w:val="20"/>
        </w:rPr>
        <w:t xml:space="preserve">	3</w:t>
      </w:r>
    </w:p>
    <w:p>
      <w:pPr>
        <w:tabs>
          <w:tab w:val="right" w:pos="9026"/>
        </w:tabs>
        <w:spacing w:after="100"/>
      </w:pPr>
      <w:r>
        <w:rPr>
          <w:rFonts w:ascii="Arial" w:cs="Arial" w:eastAsia="Arial" w:hAnsi="Arial"/>
          <w:color w:val="555555"/>
          <w:sz w:val="20"/>
          <w:szCs w:val="20"/>
        </w:rPr>
        <w:t xml:space="preserve">2. The Business Problem</w:t>
      </w:r>
      <w:r>
        <w:rPr>
          <w:rFonts w:ascii="Arial" w:cs="Arial" w:eastAsia="Arial" w:hAnsi="Arial"/>
          <w:color w:val="555555"/>
          <w:sz w:val="20"/>
          <w:szCs w:val="20"/>
        </w:rPr>
        <w:t xml:space="preserve">	4</w:t>
      </w:r>
    </w:p>
    <w:p>
      <w:pPr>
        <w:tabs>
          <w:tab w:val="right" w:pos="9026"/>
        </w:tabs>
        <w:spacing w:after="100"/>
      </w:pPr>
      <w:r>
        <w:rPr>
          <w:rFonts w:ascii="Arial" w:cs="Arial" w:eastAsia="Arial" w:hAnsi="Arial"/>
          <w:color w:val="555555"/>
          <w:sz w:val="20"/>
          <w:szCs w:val="20"/>
        </w:rPr>
        <w:t xml:space="preserve">3. The Evidence</w:t>
      </w:r>
      <w:r>
        <w:rPr>
          <w:rFonts w:ascii="Arial" w:cs="Arial" w:eastAsia="Arial" w:hAnsi="Arial"/>
          <w:color w:val="555555"/>
          <w:sz w:val="20"/>
          <w:szCs w:val="20"/>
        </w:rPr>
        <w:t xml:space="preserve">	5</w:t>
      </w:r>
    </w:p>
    <w:p>
      <w:pPr>
        <w:tabs>
          <w:tab w:val="right" w:pos="9026"/>
        </w:tabs>
        <w:spacing w:after="100"/>
      </w:pPr>
      <w:r>
        <w:rPr>
          <w:rFonts w:ascii="Arial" w:cs="Arial" w:eastAsia="Arial" w:hAnsi="Arial"/>
          <w:color w:val="555555"/>
          <w:sz w:val="20"/>
          <w:szCs w:val="20"/>
        </w:rPr>
        <w:t xml:space="preserve">4. What This Project Delivers</w:t>
      </w:r>
      <w:r>
        <w:rPr>
          <w:rFonts w:ascii="Arial" w:cs="Arial" w:eastAsia="Arial" w:hAnsi="Arial"/>
          <w:color w:val="555555"/>
          <w:sz w:val="20"/>
          <w:szCs w:val="20"/>
        </w:rPr>
        <w:t xml:space="preserve">	7</w:t>
      </w:r>
    </w:p>
    <w:p>
      <w:pPr>
        <w:tabs>
          <w:tab w:val="right" w:pos="9026"/>
        </w:tabs>
        <w:spacing w:after="100"/>
      </w:pPr>
      <w:r>
        <w:rPr>
          <w:rFonts w:ascii="Arial" w:cs="Arial" w:eastAsia="Arial" w:hAnsi="Arial"/>
          <w:color w:val="555555"/>
          <w:sz w:val="20"/>
          <w:szCs w:val="20"/>
        </w:rPr>
        <w:t xml:space="preserve">5. The Ideal Customer Profile</w:t>
      </w:r>
      <w:r>
        <w:rPr>
          <w:rFonts w:ascii="Arial" w:cs="Arial" w:eastAsia="Arial" w:hAnsi="Arial"/>
          <w:color w:val="555555"/>
          <w:sz w:val="20"/>
          <w:szCs w:val="20"/>
        </w:rPr>
        <w:t xml:space="preserve">	8</w:t>
      </w:r>
    </w:p>
    <w:p>
      <w:pPr>
        <w:tabs>
          <w:tab w:val="right" w:pos="9026"/>
        </w:tabs>
        <w:spacing w:after="100"/>
      </w:pPr>
      <w:r>
        <w:rPr>
          <w:rFonts w:ascii="Arial" w:cs="Arial" w:eastAsia="Arial" w:hAnsi="Arial"/>
          <w:color w:val="555555"/>
          <w:sz w:val="20"/>
          <w:szCs w:val="20"/>
        </w:rPr>
        <w:t xml:space="preserve">6. Financial Case</w:t>
      </w:r>
      <w:r>
        <w:rPr>
          <w:rFonts w:ascii="Arial" w:cs="Arial" w:eastAsia="Arial" w:hAnsi="Arial"/>
          <w:color w:val="555555"/>
          <w:sz w:val="20"/>
          <w:szCs w:val="20"/>
        </w:rPr>
        <w:t xml:space="preserve">	10</w:t>
      </w:r>
    </w:p>
    <w:p>
      <w:pPr>
        <w:tabs>
          <w:tab w:val="right" w:pos="9026"/>
        </w:tabs>
        <w:spacing w:after="100"/>
      </w:pPr>
      <w:r>
        <w:rPr>
          <w:rFonts w:ascii="Arial" w:cs="Arial" w:eastAsia="Arial" w:hAnsi="Arial"/>
          <w:color w:val="555555"/>
          <w:sz w:val="20"/>
          <w:szCs w:val="20"/>
        </w:rPr>
        <w:t xml:space="preserve">7. Risk Assessment</w:t>
      </w:r>
      <w:r>
        <w:rPr>
          <w:rFonts w:ascii="Arial" w:cs="Arial" w:eastAsia="Arial" w:hAnsi="Arial"/>
          <w:color w:val="555555"/>
          <w:sz w:val="20"/>
          <w:szCs w:val="20"/>
        </w:rPr>
        <w:t xml:space="preserve">	11</w:t>
      </w:r>
    </w:p>
    <w:p>
      <w:pPr>
        <w:tabs>
          <w:tab w:val="right" w:pos="9026"/>
        </w:tabs>
        <w:spacing w:after="100"/>
      </w:pPr>
      <w:r>
        <w:rPr>
          <w:rFonts w:ascii="Arial" w:cs="Arial" w:eastAsia="Arial" w:hAnsi="Arial"/>
          <w:color w:val="555555"/>
          <w:sz w:val="20"/>
          <w:szCs w:val="20"/>
        </w:rPr>
        <w:t xml:space="preserve">8. Strategic Priorities Beyond the Pipeline</w:t>
      </w:r>
      <w:r>
        <w:rPr>
          <w:rFonts w:ascii="Arial" w:cs="Arial" w:eastAsia="Arial" w:hAnsi="Arial"/>
          <w:color w:val="555555"/>
          <w:sz w:val="20"/>
          <w:szCs w:val="20"/>
        </w:rPr>
        <w:t xml:space="preserve">	12</w:t>
      </w:r>
    </w:p>
    <w:p>
      <w:pPr>
        <w:tabs>
          <w:tab w:val="right" w:pos="9026"/>
        </w:tabs>
        <w:spacing w:after="100"/>
      </w:pPr>
      <w:r>
        <w:rPr>
          <w:rFonts w:ascii="Arial" w:cs="Arial" w:eastAsia="Arial" w:hAnsi="Arial"/>
          <w:color w:val="555555"/>
          <w:sz w:val="20"/>
          <w:szCs w:val="20"/>
        </w:rPr>
        <w:t xml:space="preserve">9. Success Criteria</w:t>
      </w:r>
      <w:r>
        <w:rPr>
          <w:rFonts w:ascii="Arial" w:cs="Arial" w:eastAsia="Arial" w:hAnsi="Arial"/>
          <w:color w:val="555555"/>
          <w:sz w:val="20"/>
          <w:szCs w:val="20"/>
        </w:rPr>
        <w:t xml:space="preserve">	13</w:t>
      </w:r>
    </w:p>
    <w:p>
      <w:pPr>
        <w:tabs>
          <w:tab w:val="right" w:pos="9026"/>
        </w:tabs>
        <w:spacing w:after="100"/>
      </w:pPr>
      <w:r>
        <w:rPr>
          <w:rFonts w:ascii="Arial" w:cs="Arial" w:eastAsia="Arial" w:hAnsi="Arial"/>
          <w:color w:val="555555"/>
          <w:sz w:val="20"/>
          <w:szCs w:val="20"/>
        </w:rPr>
        <w:t xml:space="preserve">10. Governance and Ownership</w:t>
      </w:r>
      <w:r>
        <w:rPr>
          <w:rFonts w:ascii="Arial" w:cs="Arial" w:eastAsia="Arial" w:hAnsi="Arial"/>
          <w:color w:val="555555"/>
          <w:sz w:val="20"/>
          <w:szCs w:val="20"/>
        </w:rPr>
        <w:t xml:space="preserve">	14</w:t>
      </w:r>
    </w:p>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1. Executive Summary</w:t>
      </w:r>
    </w:p>
    <w:p>
      <w:pPr>
        <w:spacing w:after="100"/>
      </w:pPr>
      <w:r>
        <w:rPr>
          <w:rFonts w:ascii="Arial" w:cs="Arial" w:eastAsia="Arial" w:hAnsi="Arial"/>
          <w:color w:val="555555"/>
          <w:sz w:val="20"/>
          <w:szCs w:val="20"/>
        </w:rPr>
        <w:t xml:space="preserve">Magna Foodservice has never had a structured way to find new customers. Every customer acquired to date arrived through inbound calls, personal recommendations, returning staff bringing old contacts, door-to-door field sales, or manual dialling from Google Maps. There has been no repeatable, measurable, scalable process for growth.</w:t>
      </w:r>
    </w:p>
    <w:p>
      <w:pPr>
        <w:spacing w:after="100"/>
      </w:pPr>
      <w:r>
        <w:rPr>
          <w:rFonts w:ascii="Arial" w:cs="Arial" w:eastAsia="Arial" w:hAnsi="Arial"/>
          <w:color w:val="555555"/>
          <w:sz w:val="20"/>
          <w:szCs w:val="20"/>
        </w:rPr>
        <w:t xml:space="preserve">At the same time, the business is losing 64.9% of the independent customers it does acquire, with a median customer lifespan of just 80 days. This is not a lead generation problem in isolation — it is a combined acquisition and retention problem, and this document treats it as such.</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8B1A1A" w:sz="6"/>
              <w:left w:val="none" w:color="FFFFFF" w:sz="0"/>
              <w:bottom w:val="none" w:color="FFFFFF" w:sz="0"/>
              <w:right w:val="none" w:color="FFFFFF" w:sz="0"/>
            </w:tcBorders>
            <w:shd w:fill="FDEAEA" w:val="clear"/>
            <w:tcMar>
              <w:top w:type="dxa" w:w="80"/>
              <w:left w:type="dxa" w:w="160"/>
              <w:bottom w:type="dxa" w:w="16"/>
              <w:right w:type="dxa" w:w="160"/>
            </w:tcMar>
          </w:tcPr>
          <w:p>
            <w:pPr>
              <w:spacing w:after="0"/>
            </w:pPr>
            <w:r>
              <w:rPr>
                <w:rFonts w:ascii="Arial" w:cs="Arial" w:eastAsia="Arial" w:hAnsi="Arial"/>
                <w:b/>
                <w:bCs/>
                <w:color w:val="8B1A1A"/>
                <w:sz w:val="19"/>
                <w:szCs w:val="19"/>
              </w:rPr>
              <w:t xml:space="preserve">The stakes</w:t>
            </w:r>
          </w:p>
        </w:tc>
      </w:tr>
      <w:tr>
        <w:tc>
          <w:tcPr>
            <w:tcW w:type="dxa" w:w="9026"/>
            <w:tcBorders>
              <w:top w:val="none" w:color="FFFFFF" w:sz="0"/>
              <w:left w:val="none" w:color="FFFFFF" w:sz="0"/>
              <w:bottom w:val="none" w:color="FFFFFF" w:sz="0"/>
              <w:right w:val="none" w:color="FFFFFF" w:sz="0"/>
            </w:tcBorders>
            <w:shd w:fill="FDEAEA" w:val="clear"/>
            <w:tcMar>
              <w:top w:type="dxa" w:w="16"/>
              <w:left w:type="dxa" w:w="160"/>
              <w:bottom w:type="dxa" w:w="80"/>
              <w:right w:type="dxa" w:w="160"/>
            </w:tcMar>
          </w:tcPr>
          <w:p>
            <w:pPr>
              <w:spacing w:after="0"/>
            </w:pPr>
            <w:r>
              <w:rPr>
                <w:rFonts w:ascii="Arial" w:cs="Arial" w:eastAsia="Arial" w:hAnsi="Arial"/>
                <w:b w:val="false"/>
                <w:bCs w:val="false"/>
                <w:color w:val="8B1A1A"/>
                <w:sz w:val="19"/>
                <w:szCs w:val="19"/>
              </w:rPr>
              <w:t xml:space="preserve">This project has been designated business-critical. Continued underperformance in customer acquisition and retention puts the company in a position where downsizing and job losses become a realistic outcome. This document, and the three technical volumes that accompany it, represent the full response to that risk — not just a lead generation tool, but a complete operating system for how Magna finds, verifies, scores, and retains customers going forward.</w:t>
            </w:r>
          </w:p>
        </w:tc>
      </w:tr>
    </w:tbl>
    <w:p>
      <w:pPr>
        <w:spacing w:after="60"/>
      </w:pPr>
      <w:r>
        <w:t xml:space="preserve"/>
      </w:r>
    </w:p>
    <w:p>
      <w:pPr>
        <w:spacing w:after="100"/>
      </w:pPr>
      <w:r>
        <w:rPr>
          <w:rFonts w:ascii="Arial" w:cs="Arial" w:eastAsia="Arial" w:hAnsi="Arial"/>
          <w:color w:val="555555"/>
          <w:sz w:val="20"/>
          <w:szCs w:val="20"/>
        </w:rPr>
        <w:t xml:space="preserve">The Lead Intelligence System is the first structured, automated, self-improving pipeline for outbound customer acquisition in the company’s history. It is built on the analysis of 2,115 real customer records — not assumption or guesswork — and is designed to run with minimal human intervention once live.</w:t>
      </w:r>
    </w:p>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2. The Business Problem</w:t>
      </w:r>
    </w:p>
    <w:p>
      <w:pPr>
        <w:pStyle w:val="Heading2"/>
        <w:spacing w:after="120" w:before="240"/>
      </w:pPr>
      <w:r>
        <w:rPr>
          <w:rFonts w:ascii="Arial" w:cs="Arial" w:eastAsia="Arial" w:hAnsi="Arial"/>
          <w:b/>
          <w:bCs/>
          <w:color w:val="2E6DB4"/>
          <w:sz w:val="26"/>
          <w:szCs w:val="26"/>
        </w:rPr>
        <w:t xml:space="preserve">2.1 No structured acquisition channel has ever existed</w:t>
      </w:r>
    </w:p>
    <w:p>
      <w:pPr>
        <w:pStyle w:val="ListParagraph"/>
        <w:numPr>
          <w:ilvl w:val="0"/>
          <w:numId w:val="2"/>
        </w:numPr>
        <w:spacing w:after="60"/>
      </w:pPr>
      <w:r>
        <w:rPr>
          <w:rFonts w:ascii="Arial" w:cs="Arial" w:eastAsia="Arial" w:hAnsi="Arial"/>
          <w:color w:val="555555"/>
          <w:sz w:val="20"/>
          <w:szCs w:val="20"/>
        </w:rPr>
        <w:t xml:space="preserve">Inbound website enquiries — passive, low control, high churn (82.2%)</w:t>
      </w:r>
    </w:p>
    <w:p>
      <w:pPr>
        <w:pStyle w:val="ListParagraph"/>
        <w:numPr>
          <w:ilvl w:val="0"/>
          <w:numId w:val="2"/>
        </w:numPr>
        <w:spacing w:after="60"/>
      </w:pPr>
      <w:r>
        <w:rPr>
          <w:rFonts w:ascii="Arial" w:cs="Arial" w:eastAsia="Arial" w:hAnsi="Arial"/>
          <w:color w:val="555555"/>
          <w:sz w:val="20"/>
          <w:szCs w:val="20"/>
        </w:rPr>
        <w:t xml:space="preserve">Personal recommendations — uncontrollable and unscalable</w:t>
      </w:r>
    </w:p>
    <w:p>
      <w:pPr>
        <w:pStyle w:val="ListParagraph"/>
        <w:numPr>
          <w:ilvl w:val="0"/>
          <w:numId w:val="2"/>
        </w:numPr>
        <w:spacing w:after="60"/>
      </w:pPr>
      <w:r>
        <w:rPr>
          <w:rFonts w:ascii="Arial" w:cs="Arial" w:eastAsia="Arial" w:hAnsi="Arial"/>
          <w:color w:val="555555"/>
          <w:sz w:val="20"/>
          <w:szCs w:val="20"/>
        </w:rPr>
        <w:t xml:space="preserve">Returning staff bringing prior contacts — one-off, not repeatable</w:t>
      </w:r>
    </w:p>
    <w:p>
      <w:pPr>
        <w:pStyle w:val="ListParagraph"/>
        <w:numPr>
          <w:ilvl w:val="0"/>
          <w:numId w:val="2"/>
        </w:numPr>
        <w:spacing w:after="60"/>
      </w:pPr>
      <w:r>
        <w:rPr>
          <w:rFonts w:ascii="Arial" w:cs="Arial" w:eastAsia="Arial" w:hAnsi="Arial"/>
          <w:color w:val="555555"/>
          <w:sz w:val="20"/>
          <w:szCs w:val="20"/>
        </w:rPr>
        <w:t xml:space="preserve">Door-to-door field sales — slow, expensive per lead, in decline</w:t>
      </w:r>
    </w:p>
    <w:p>
      <w:pPr>
        <w:pStyle w:val="ListParagraph"/>
        <w:numPr>
          <w:ilvl w:val="0"/>
          <w:numId w:val="2"/>
        </w:numPr>
        <w:spacing w:after="60"/>
      </w:pPr>
      <w:r>
        <w:rPr>
          <w:rFonts w:ascii="Arial" w:cs="Arial" w:eastAsia="Arial" w:hAnsi="Arial"/>
          <w:color w:val="555555"/>
          <w:sz w:val="20"/>
          <w:szCs w:val="20"/>
        </w:rPr>
        <w:t xml:space="preserve">Manual Google Maps dialling by overseas telesales — unstructured, undocumented, no verification, no deduplication</w:t>
      </w:r>
    </w:p>
    <w:p>
      <w:pPr>
        <w:pStyle w:val="ListParagraph"/>
        <w:numPr>
          <w:ilvl w:val="0"/>
          <w:numId w:val="2"/>
        </w:numPr>
        <w:spacing w:after="60"/>
      </w:pPr>
      <w:r>
        <w:rPr>
          <w:rFonts w:ascii="Arial" w:cs="Arial" w:eastAsia="Arial" w:hAnsi="Arial"/>
          <w:color w:val="555555"/>
          <w:sz w:val="20"/>
          <w:szCs w:val="20"/>
        </w:rPr>
        <w:t xml:space="preserve">Mass WhatsApp blasts — legally exposed under UK PECR/GDPR, blunt, low quality</w:t>
      </w:r>
    </w:p>
    <w:p>
      <w:pPr>
        <w:spacing w:after="60"/>
      </w:pPr>
      <w:r>
        <w:t xml:space="preserve"/>
      </w:r>
    </w:p>
    <w:p>
      <w:pPr>
        <w:pStyle w:val="Heading2"/>
        <w:spacing w:after="120" w:before="240"/>
      </w:pPr>
      <w:r>
        <w:rPr>
          <w:rFonts w:ascii="Arial" w:cs="Arial" w:eastAsia="Arial" w:hAnsi="Arial"/>
          <w:b/>
          <w:bCs/>
          <w:color w:val="2E6DB4"/>
          <w:sz w:val="26"/>
          <w:szCs w:val="26"/>
        </w:rPr>
        <w:t xml:space="preserve">2.2 A structural retention failure compounds the problem</w:t>
      </w:r>
    </w:p>
    <w:p>
      <w:pPr>
        <w:spacing w:after="100"/>
      </w:pPr>
      <w:r>
        <w:rPr>
          <w:rFonts w:ascii="Arial" w:cs="Arial" w:eastAsia="Arial" w:hAnsi="Arial"/>
          <w:color w:val="555555"/>
          <w:sz w:val="20"/>
          <w:szCs w:val="20"/>
        </w:rPr>
        <w:t xml:space="preserve">Even where new customers are found, they are not staying. This is addressed at length in Section 3. The headline finding: nearly two thirds of every independent customer Magna wins is lost again — most within three months.</w:t>
      </w:r>
    </w:p>
    <w:p>
      <w:pPr>
        <w:spacing w:after="60"/>
      </w:pPr>
      <w:r>
        <w:t xml:space="preserve"/>
      </w:r>
    </w:p>
    <w:p>
      <w:pPr>
        <w:pStyle w:val="Heading2"/>
        <w:spacing w:after="120" w:before="240"/>
      </w:pPr>
      <w:r>
        <w:rPr>
          <w:rFonts w:ascii="Arial" w:cs="Arial" w:eastAsia="Arial" w:hAnsi="Arial"/>
          <w:b/>
          <w:bCs/>
          <w:color w:val="2E6DB4"/>
          <w:sz w:val="26"/>
          <w:szCs w:val="26"/>
        </w:rPr>
        <w:t xml:space="preserve">2.3 A prior attempt at automation failed</w:t>
      </w:r>
    </w:p>
    <w:p>
      <w:pPr>
        <w:spacing w:after="100"/>
      </w:pPr>
      <w:r>
        <w:rPr>
          <w:rFonts w:ascii="Arial" w:cs="Arial" w:eastAsia="Arial" w:hAnsi="Arial"/>
          <w:color w:val="555555"/>
          <w:sz w:val="20"/>
          <w:szCs w:val="20"/>
        </w:rPr>
        <w:t xml:space="preserve">An earlier project using Google Places API as the sole discovery source was shelved after producing large volumes of invalid data — closed businesses, businesses that had changed hands, and listings with no verification layer. This project is designed specifically to solve that failure mode, detailed fully in Volume 2.</w:t>
      </w:r>
    </w:p>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3. The Evidence</w:t>
      </w:r>
    </w:p>
    <w:p>
      <w:pPr>
        <w:spacing w:after="100"/>
      </w:pPr>
      <w:r>
        <w:rPr>
          <w:rFonts w:ascii="Arial" w:cs="Arial" w:eastAsia="Arial" w:hAnsi="Arial"/>
          <w:color w:val="555555"/>
          <w:sz w:val="20"/>
          <w:szCs w:val="20"/>
        </w:rPr>
        <w:t xml:space="preserve">All figures below are derived from analysis of 2,115 Magna customer records covering January 2024 to May 2026, sourced directly from NetSuite. Full methodology is in Volume 2, Section 3.</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26"/>
      </w:tblGrid>
      <w:tr>
        <w:tc>
          <w:tcPr>
            <w:tcW w:type="dxa" w:w="3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Metric</w:t>
            </w:r>
          </w:p>
        </w:tc>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Value</w:t>
            </w:r>
          </w:p>
        </w:tc>
        <w:tc>
          <w:tcPr>
            <w:tcW w:type="dxa" w:w="38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Significance</w:t>
            </w:r>
          </w:p>
        </w:tc>
      </w:tr>
      <w:tr>
        <w:tc>
          <w:tcPr>
            <w:tcW w:type="dxa" w:w="3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Churn rate — organic independent customers</w:t>
            </w:r>
          </w:p>
        </w:tc>
        <w:tc>
          <w:tcPr>
            <w:tcW w:type="dxa" w:w="20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64.9%</w:t>
            </w:r>
          </w:p>
        </w:tc>
        <w:tc>
          <w:tcPr>
            <w:tcW w:type="dxa" w:w="38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Nearly two in three acquired customers are lost</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Median customer lifespan before churn</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80 days</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Most losses happen inside the first three months</w:t>
            </w:r>
          </w:p>
        </w:tc>
      </w:tr>
      <w:tr>
        <w:tc>
          <w:tcPr>
            <w:tcW w:type="dxa" w:w="3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Customers who ordered once and never returned</w:t>
            </w:r>
          </w:p>
        </w:tc>
        <w:tc>
          <w:tcPr>
            <w:tcW w:type="dxa" w:w="20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299 (26.4% of inactive)</w:t>
            </w:r>
          </w:p>
        </w:tc>
        <w:tc>
          <w:tcPr>
            <w:tcW w:type="dxa" w:w="38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Average 5 days from first order to inactive status</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Web-acquired customer churn rate</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82.2%</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vs 62.3% for rep-acquired — gap explained by absent onboarding follow-up</w:t>
            </w:r>
          </w:p>
        </w:tc>
      </w:tr>
      <w:tr>
        <w:tc>
          <w:tcPr>
            <w:tcW w:type="dxa" w:w="3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Customers with no recorded acquisition channel</w:t>
            </w:r>
          </w:p>
        </w:tc>
        <w:tc>
          <w:tcPr>
            <w:tcW w:type="dxa" w:w="20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481</w:t>
            </w:r>
          </w:p>
        </w:tc>
        <w:tc>
          <w:tcPr>
            <w:tcW w:type="dxa" w:w="38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No visibility into which channels actually work</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Revenue, 2025</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£14.9m</w:t>
            </w:r>
          </w:p>
        </w:tc>
        <w:tc>
          <w:tcPr>
            <w:tcW w:type="dxa" w:w="38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105% growth on 2024 — despite the churn</w:t>
            </w:r>
          </w:p>
        </w:tc>
      </w:tr>
    </w:tbl>
    <w:p>
      <w:pPr>
        <w:spacing w:after="60"/>
      </w:pPr>
      <w:r>
        <w:t xml:space="preserve"/>
      </w:r>
    </w:p>
    <w:p>
      <w:pPr>
        <w:pStyle w:val="Heading2"/>
        <w:spacing w:after="120" w:before="240"/>
      </w:pPr>
      <w:r>
        <w:rPr>
          <w:rFonts w:ascii="Arial" w:cs="Arial" w:eastAsia="Arial" w:hAnsi="Arial"/>
          <w:b/>
          <w:bCs/>
          <w:color w:val="2E6DB4"/>
          <w:sz w:val="26"/>
          <w:szCs w:val="26"/>
        </w:rPr>
        <w:t xml:space="preserve">3.1 Churn by business type</w:t>
      </w:r>
    </w:p>
    <w:p>
      <w:pPr>
        <w:spacing w:after="100"/>
      </w:pPr>
      <w:r>
        <w:rPr>
          <w:rFonts w:ascii="Arial" w:cs="Arial" w:eastAsia="Arial" w:hAnsi="Arial"/>
          <w:color w:val="555555"/>
          <w:sz w:val="20"/>
          <w:szCs w:val="20"/>
        </w:rPr>
        <w:t xml:space="preserve">Not all business types behave the same way. This finding directly shapes the targeting model in Volume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000"/>
        <w:gridCol w:w="3426"/>
      </w:tblGrid>
      <w:tr>
        <w:tc>
          <w:tcPr>
            <w:tcW w:type="dxa" w:w="2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Sub Type</w:t>
            </w:r>
          </w:p>
        </w:tc>
        <w:tc>
          <w:tcPr>
            <w:tcW w:type="dxa" w:w="12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Churn %</w:t>
            </w:r>
          </w:p>
        </w:tc>
        <w:tc>
          <w:tcPr>
            <w:tcW w:type="dxa" w:w="20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Avg Weekly Spend</w:t>
            </w:r>
          </w:p>
        </w:tc>
        <w:tc>
          <w:tcPr>
            <w:tcW w:type="dxa" w:w="34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Verdict</w:t>
            </w:r>
          </w:p>
        </w:tc>
      </w:tr>
      <w:tr>
        <w:tc>
          <w:tcPr>
            <w:tcW w:type="dxa" w:w="2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Fast Casual Restaurant</w:t>
            </w:r>
          </w:p>
        </w:tc>
        <w:tc>
          <w:tcPr>
            <w:tcW w:type="dxa" w:w="1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28.6%</w:t>
            </w:r>
          </w:p>
        </w:tc>
        <w:tc>
          <w:tcPr>
            <w:tcW w:type="dxa" w:w="20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£611/week</w:t>
            </w:r>
          </w:p>
        </w:tc>
        <w:tc>
          <w:tcPr>
            <w:tcW w:type="dxa" w:w="34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Most loyal — currently under-targeted</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Fried Chicken Shop</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58.2%</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£492/week</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Core volume type</w:t>
            </w:r>
          </w:p>
        </w:tc>
      </w:tr>
      <w:tr>
        <w:tc>
          <w:tcPr>
            <w:tcW w:type="dxa" w:w="2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Piri Piri Shop</w:t>
            </w:r>
          </w:p>
        </w:tc>
        <w:tc>
          <w:tcPr>
            <w:tcW w:type="dxa" w:w="1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64.2%</w:t>
            </w:r>
          </w:p>
        </w:tc>
        <w:tc>
          <w:tcPr>
            <w:tcW w:type="dxa" w:w="20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£734/week</w:t>
            </w:r>
          </w:p>
        </w:tc>
        <w:tc>
          <w:tcPr>
            <w:tcW w:type="dxa" w:w="34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Highest spend of any type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Burger Restaurant</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64.4%</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£344/week</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High volume, high churn</w:t>
            </w:r>
          </w:p>
        </w:tc>
      </w:tr>
      <w:tr>
        <w:tc>
          <w:tcPr>
            <w:tcW w:type="dxa" w:w="2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Café / Coffee Shop</w:t>
            </w:r>
          </w:p>
        </w:tc>
        <w:tc>
          <w:tcPr>
            <w:tcW w:type="dxa" w:w="12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80.5%</w:t>
            </w:r>
          </w:p>
        </w:tc>
        <w:tc>
          <w:tcPr>
            <w:tcW w:type="dxa" w:w="20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£188/week</w:t>
            </w:r>
          </w:p>
        </w:tc>
        <w:tc>
          <w:tcPr>
            <w:tcW w:type="dxa" w:w="34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Not a fit — excluded from targeting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Other / unclassified</w:t>
            </w:r>
          </w:p>
        </w:tc>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93.9%</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£36/week</w:t>
            </w:r>
          </w:p>
        </w:tc>
        <w:tc>
          <w:tcPr>
            <w:tcW w:type="dxa" w:w="3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Excluded entirely</w:t>
            </w:r>
          </w:p>
        </w:tc>
      </w:tr>
    </w:tbl>
    <w:p>
      <w:pPr>
        <w:spacing w:after="60"/>
      </w:pPr>
      <w:r>
        <w:t xml:space="preserve"/>
      </w:r>
    </w:p>
    <w:p>
      <w:pPr>
        <w:pStyle w:val="Heading2"/>
        <w:spacing w:after="120" w:before="240"/>
      </w:pPr>
      <w:r>
        <w:rPr>
          <w:rFonts w:ascii="Arial" w:cs="Arial" w:eastAsia="Arial" w:hAnsi="Arial"/>
          <w:b/>
          <w:bCs/>
          <w:color w:val="2E6DB4"/>
          <w:sz w:val="26"/>
          <w:szCs w:val="26"/>
        </w:rPr>
        <w:t xml:space="preserve">3.2 Sales attribution anomalies requiring investigation</w:t>
      </w:r>
    </w:p>
    <w:p>
      <w:pPr>
        <w:pStyle w:val="ListParagraph"/>
        <w:numPr>
          <w:ilvl w:val="0"/>
          <w:numId w:val="2"/>
        </w:numPr>
        <w:spacing w:after="60"/>
      </w:pPr>
      <w:r>
        <w:rPr>
          <w:rFonts w:ascii="Arial" w:cs="Arial" w:eastAsia="Arial" w:hAnsi="Arial"/>
          <w:color w:val="555555"/>
          <w:sz w:val="20"/>
          <w:szCs w:val="20"/>
        </w:rPr>
        <w:t xml:space="preserve">One rep shows a 95% churn rate across 60 customers — flagged for separate investigation, excluded from all model calibration</w:t>
      </w:r>
    </w:p>
    <w:p>
      <w:pPr>
        <w:pStyle w:val="ListParagraph"/>
        <w:numPr>
          <w:ilvl w:val="0"/>
          <w:numId w:val="2"/>
        </w:numPr>
        <w:spacing w:after="60"/>
      </w:pPr>
      <w:r>
        <w:rPr>
          <w:rFonts w:ascii="Arial" w:cs="Arial" w:eastAsia="Arial" w:hAnsi="Arial"/>
          <w:color w:val="555555"/>
          <w:sz w:val="20"/>
          <w:szCs w:val="20"/>
        </w:rPr>
        <w:t xml:space="preserve">Two reps manage contracted/franchise accounts with no genuine acquisition activity — excluded from benchmarking to avoid corrupting the targeting model</w:t>
      </w:r>
    </w:p>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4. What This Project Delivers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A6B3A" w:sz="6"/>
              <w:left w:val="none" w:color="FFFFFF" w:sz="0"/>
              <w:bottom w:val="none" w:color="FFFFFF" w:sz="0"/>
              <w:right w:val="none" w:color="FFFFFF" w:sz="0"/>
            </w:tcBorders>
            <w:shd w:fill="E6F4ED" w:val="clear"/>
            <w:tcMar>
              <w:top w:type="dxa" w:w="80"/>
              <w:left w:type="dxa" w:w="160"/>
              <w:bottom w:type="dxa" w:w="16"/>
              <w:right w:type="dxa" w:w="160"/>
            </w:tcMar>
          </w:tcPr>
          <w:p>
            <w:pPr>
              <w:spacing w:after="0"/>
            </w:pPr>
            <w:r>
              <w:rPr>
                <w:rFonts w:ascii="Arial" w:cs="Arial" w:eastAsia="Arial" w:hAnsi="Arial"/>
                <w:b/>
                <w:bCs/>
                <w:color w:val="1A6B3A"/>
                <w:sz w:val="19"/>
                <w:szCs w:val="19"/>
              </w:rPr>
              <w:t xml:space="preserve">Five outcomes</w:t>
            </w:r>
          </w:p>
        </w:tc>
      </w:tr>
      <w:tr>
        <w:tc>
          <w:tcPr>
            <w:tcW w:type="dxa" w:w="9026"/>
            <w:tcBorders>
              <w:top w:val="none" w:color="FFFFFF" w:sz="0"/>
              <w:left w:val="none" w:color="FFFFFF" w:sz="0"/>
              <w:bottom w:val="none" w:color="FFFFFF" w:sz="0"/>
              <w:right w:val="none" w:color="FFFFFF" w:sz="0"/>
            </w:tcBorders>
            <w:shd w:fill="E6F4ED" w:val="clear"/>
            <w:tcMar>
              <w:top w:type="dxa" w:w="16"/>
              <w:left w:type="dxa" w:w="160"/>
              <w:bottom w:type="dxa" w:w="16"/>
              <w:right w:type="dxa" w:w="160"/>
            </w:tcMar>
          </w:tcPr>
          <w:p>
            <w:pPr>
              <w:spacing w:after="0"/>
            </w:pPr>
            <w:r>
              <w:rPr>
                <w:rFonts w:ascii="Arial" w:cs="Arial" w:eastAsia="Arial" w:hAnsi="Arial"/>
                <w:b w:val="false"/>
                <w:bCs w:val="false"/>
                <w:color w:val="1A6B3A"/>
                <w:sz w:val="19"/>
                <w:szCs w:val="19"/>
              </w:rPr>
              <w:t xml:space="preserve">1. A repeatable, automated supply of verified leads by postcode — replacing manual, undocumented dialling.</w:t>
            </w:r>
          </w:p>
        </w:tc>
      </w:tr>
      <w:tr>
        <w:tc>
          <w:tcPr>
            <w:tcW w:type="dxa" w:w="9026"/>
            <w:tcBorders>
              <w:top w:val="none" w:color="FFFFFF" w:sz="0"/>
              <w:left w:val="none" w:color="FFFFFF" w:sz="0"/>
              <w:bottom w:val="none" w:color="FFFFFF" w:sz="0"/>
              <w:right w:val="none" w:color="FFFFFF" w:sz="0"/>
            </w:tcBorders>
            <w:shd w:fill="E6F4ED" w:val="clear"/>
            <w:tcMar>
              <w:top w:type="dxa" w:w="16"/>
              <w:left w:type="dxa" w:w="160"/>
              <w:bottom w:type="dxa" w:w="16"/>
              <w:right w:type="dxa" w:w="160"/>
            </w:tcMar>
          </w:tcPr>
          <w:p>
            <w:pPr>
              <w:spacing w:after="0"/>
            </w:pPr>
            <w:r>
              <w:rPr>
                <w:rFonts w:ascii="Arial" w:cs="Arial" w:eastAsia="Arial" w:hAnsi="Arial"/>
                <w:b w:val="false"/>
                <w:bCs w:val="false"/>
                <w:color w:val="1A6B3A"/>
                <w:sz w:val="19"/>
                <w:szCs w:val="19"/>
              </w:rPr>
              <w:t xml:space="preserve">2. Zero embarrassing calls — existing and former customers are automatically excluded before any lead reaches a rep.</w:t>
            </w:r>
          </w:p>
        </w:tc>
      </w:tr>
      <w:tr>
        <w:tc>
          <w:tcPr>
            <w:tcW w:type="dxa" w:w="9026"/>
            <w:tcBorders>
              <w:top w:val="none" w:color="FFFFFF" w:sz="0"/>
              <w:left w:val="none" w:color="FFFFFF" w:sz="0"/>
              <w:bottom w:val="none" w:color="FFFFFF" w:sz="0"/>
              <w:right w:val="none" w:color="FFFFFF" w:sz="0"/>
            </w:tcBorders>
            <w:shd w:fill="E6F4ED" w:val="clear"/>
            <w:tcMar>
              <w:top w:type="dxa" w:w="16"/>
              <w:left w:type="dxa" w:w="160"/>
              <w:bottom w:type="dxa" w:w="16"/>
              <w:right w:type="dxa" w:w="160"/>
            </w:tcMar>
          </w:tcPr>
          <w:p>
            <w:pPr>
              <w:spacing w:after="0"/>
            </w:pPr>
            <w:r>
              <w:rPr>
                <w:rFonts w:ascii="Arial" w:cs="Arial" w:eastAsia="Arial" w:hAnsi="Arial"/>
                <w:b w:val="false"/>
                <w:bCs w:val="false"/>
                <w:color w:val="1A6B3A"/>
                <w:sz w:val="19"/>
                <w:szCs w:val="19"/>
              </w:rPr>
              <w:t xml:space="preserve">3. Named contacts on every qualifying lead — directors, mobile numbers, WhatsApp-linked contacts — not just a business name.</w:t>
            </w:r>
          </w:p>
        </w:tc>
      </w:tr>
      <w:tr>
        <w:tc>
          <w:tcPr>
            <w:tcW w:type="dxa" w:w="9026"/>
            <w:tcBorders>
              <w:top w:val="none" w:color="FFFFFF" w:sz="0"/>
              <w:left w:val="none" w:color="FFFFFF" w:sz="0"/>
              <w:bottom w:val="none" w:color="FFFFFF" w:sz="0"/>
              <w:right w:val="none" w:color="FFFFFF" w:sz="0"/>
            </w:tcBorders>
            <w:shd w:fill="E6F4ED" w:val="clear"/>
            <w:tcMar>
              <w:top w:type="dxa" w:w="16"/>
              <w:left w:type="dxa" w:w="160"/>
              <w:bottom w:type="dxa" w:w="16"/>
              <w:right w:type="dxa" w:w="160"/>
            </w:tcMar>
          </w:tcPr>
          <w:p>
            <w:pPr>
              <w:spacing w:after="0"/>
            </w:pPr>
            <w:r>
              <w:rPr>
                <w:rFonts w:ascii="Arial" w:cs="Arial" w:eastAsia="Arial" w:hAnsi="Arial"/>
                <w:b w:val="false"/>
                <w:bCs w:val="false"/>
                <w:color w:val="1A6B3A"/>
                <w:sz w:val="19"/>
                <w:szCs w:val="19"/>
              </w:rPr>
              <w:t xml:space="preserve">4. A self-improving scoring model, recalibrated from real conversion data on a quarterly cycle.</w:t>
            </w:r>
          </w:p>
        </w:tc>
      </w:tr>
      <w:tr>
        <w:tc>
          <w:tcPr>
            <w:tcW w:type="dxa" w:w="9026"/>
            <w:tcBorders>
              <w:top w:val="none" w:color="FFFFFF" w:sz="0"/>
              <w:left w:val="none" w:color="FFFFFF" w:sz="0"/>
              <w:bottom w:val="none" w:color="FFFFFF" w:sz="0"/>
              <w:right w:val="none" w:color="FFFFFF" w:sz="0"/>
            </w:tcBorders>
            <w:shd w:fill="E6F4ED" w:val="clear"/>
            <w:tcMar>
              <w:top w:type="dxa" w:w="16"/>
              <w:left w:type="dxa" w:w="160"/>
              <w:bottom w:type="dxa" w:w="80"/>
              <w:right w:type="dxa" w:w="160"/>
            </w:tcMar>
          </w:tcPr>
          <w:p>
            <w:pPr>
              <w:spacing w:after="0"/>
            </w:pPr>
            <w:r>
              <w:rPr>
                <w:rFonts w:ascii="Arial" w:cs="Arial" w:eastAsia="Arial" w:hAnsi="Arial"/>
                <w:b w:val="false"/>
                <w:bCs w:val="false"/>
                <w:color w:val="1A6B3A"/>
                <w:sz w:val="19"/>
                <w:szCs w:val="19"/>
              </w:rPr>
              <w:t xml:space="preserve">5. Two additional commercial assets produced at no extra cost: a Reactivation List of historically valuable former customers, and an Expansion Pipeline of verified out-of-area leads ready for future route growth.</w:t>
            </w:r>
          </w:p>
        </w:tc>
      </w:tr>
    </w:tbl>
    <w:p>
      <w:pPr>
        <w:spacing w:after="60"/>
      </w:pPr>
      <w:r>
        <w:t xml:space="preserve"/>
      </w:r>
    </w:p>
    <w:p>
      <w:pPr>
        <w:spacing w:after="100"/>
      </w:pPr>
      <w:r>
        <w:rPr>
          <w:rFonts w:ascii="Arial" w:cs="Arial" w:eastAsia="Arial" w:hAnsi="Arial"/>
          <w:color w:val="555555"/>
          <w:sz w:val="20"/>
          <w:szCs w:val="20"/>
        </w:rPr>
        <w:t xml:space="preserve">Full technical detail on how each of these is achieved is in Volume 2 (Technical Architecture) and Volume 3 (Process &amp; Operations).</w:t>
      </w:r>
    </w:p>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5. The Ideal Customer Profile</w:t>
      </w:r>
    </w:p>
    <w:p>
      <w:pPr>
        <w:spacing w:after="100"/>
      </w:pPr>
      <w:r>
        <w:rPr>
          <w:rFonts w:ascii="Arial" w:cs="Arial" w:eastAsia="Arial" w:hAnsi="Arial"/>
          <w:color w:val="555555"/>
          <w:sz w:val="20"/>
          <w:szCs w:val="20"/>
        </w:rPr>
        <w:t xml:space="preserve">Derived from the top 25% of organic active customers by weekly spend (154 customers, £597/week threshold) — not assumed, calculated.</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A6E" w:sz="6"/>
              <w:left w:val="none" w:color="FFFFFF" w:sz="0"/>
              <w:bottom w:val="none" w:color="FFFFFF" w:sz="0"/>
              <w:right w:val="none" w:color="FFFFFF" w:sz="0"/>
            </w:tcBorders>
            <w:shd w:fill="E8F1FB" w:val="clear"/>
            <w:tcMar>
              <w:top w:type="dxa" w:w="80"/>
              <w:left w:type="dxa" w:w="160"/>
              <w:bottom w:type="dxa" w:w="16"/>
              <w:right w:type="dxa" w:w="160"/>
            </w:tcMar>
          </w:tcPr>
          <w:p>
            <w:pPr>
              <w:spacing w:after="0"/>
            </w:pPr>
            <w:r>
              <w:rPr>
                <w:rFonts w:ascii="Arial" w:cs="Arial" w:eastAsia="Arial" w:hAnsi="Arial"/>
                <w:b/>
                <w:bCs/>
                <w:color w:val="1F3A6E"/>
                <w:sz w:val="19"/>
                <w:szCs w:val="19"/>
              </w:rPr>
              <w:t xml:space="preserve">Formal ICP statement</w:t>
            </w:r>
          </w:p>
        </w:tc>
      </w:tr>
      <w:tr>
        <w:tc>
          <w:tcPr>
            <w:tcW w:type="dxa" w:w="9026"/>
            <w:tcBorders>
              <w:top w:val="none" w:color="FFFFFF" w:sz="0"/>
              <w:left w:val="none" w:color="FFFFFF" w:sz="0"/>
              <w:bottom w:val="none" w:color="FFFFFF" w:sz="0"/>
              <w:right w:val="none" w:color="FFFFFF" w:sz="0"/>
            </w:tcBorders>
            <w:shd w:fill="E8F1FB" w:val="clear"/>
            <w:tcMar>
              <w:top w:type="dxa" w:w="16"/>
              <w:left w:type="dxa" w:w="160"/>
              <w:bottom w:type="dxa" w:w="80"/>
              <w:right w:type="dxa" w:w="160"/>
            </w:tcMar>
          </w:tcPr>
          <w:p>
            <w:pPr>
              <w:spacing w:after="0"/>
            </w:pPr>
            <w:r>
              <w:rPr>
                <w:rFonts w:ascii="Arial" w:cs="Arial" w:eastAsia="Arial" w:hAnsi="Arial"/>
                <w:b w:val="false"/>
                <w:bCs w:val="false"/>
                <w:color w:val="1F3A6E"/>
                <w:sz w:val="19"/>
                <w:szCs w:val="19"/>
              </w:rPr>
              <w:t xml:space="preserve">An independent Fried Chicken Shop, Piri Piri Shop, Fast Casual Restaurant, or Burger Restaurant located in UB, W, HA, TW, SW, or SL postcode districts, ordering at least twice per week, with potential weekly spend of £597 or more, and a named decision-maker contactable by mobile.</w:t>
            </w:r>
          </w:p>
        </w:tc>
      </w:tr>
    </w:tbl>
    <w:p>
      <w:pPr>
        <w:spacing w:after="60"/>
      </w:pPr>
      <w:r>
        <w:t xml:space="preserve"/>
      </w:r>
    </w:p>
    <w:p>
      <w:pPr>
        <w:spacing w:after="100"/>
      </w:pPr>
      <w:r>
        <w:rPr>
          <w:rFonts w:ascii="Arial" w:cs="Arial" w:eastAsia="Arial" w:hAnsi="Arial"/>
          <w:color w:val="555555"/>
          <w:sz w:val="20"/>
          <w:szCs w:val="20"/>
        </w:rPr>
        <w:t xml:space="preserve">ICP average weekly sales: £1,561  ·  Average weekly orders: 2.06  ·  Contact name on file: 97%</w:t>
      </w:r>
    </w:p>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6. Financial Case</w:t>
      </w:r>
    </w:p>
    <w:p>
      <w:pPr>
        <w:pStyle w:val="Heading2"/>
        <w:spacing w:after="120" w:before="240"/>
      </w:pPr>
      <w:r>
        <w:rPr>
          <w:rFonts w:ascii="Arial" w:cs="Arial" w:eastAsia="Arial" w:hAnsi="Arial"/>
          <w:b/>
          <w:bCs/>
          <w:color w:val="2E6DB4"/>
          <w:sz w:val="26"/>
          <w:szCs w:val="26"/>
        </w:rPr>
        <w:t xml:space="preserve">6.1 Cost of the system</w:t>
      </w:r>
    </w:p>
    <w:p>
      <w:pPr>
        <w:spacing w:after="100"/>
      </w:pPr>
      <w:r>
        <w:rPr>
          <w:rFonts w:ascii="Arial" w:cs="Arial" w:eastAsia="Arial" w:hAnsi="Arial"/>
          <w:color w:val="555555"/>
          <w:sz w:val="20"/>
          <w:szCs w:val="20"/>
        </w:rPr>
        <w:t xml:space="preserve">The architecture is deliberately cost-minimal. Two of the five core data sources (FSA, JustEat public endpoint) are free. Paid enrichment only runs on leads that have already survived every free filter. Full cost breakdown is in Volume 4.</w:t>
      </w:r>
    </w:p>
    <w:p>
      <w:pPr>
        <w:spacing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c>
          <w:tcPr>
            <w:tcW w:type="dxa" w:w="3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Cost Category</w:t>
            </w:r>
          </w:p>
        </w:tc>
        <w:tc>
          <w:tcPr>
            <w:tcW w:type="dxa" w:w="54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Estimate</w:t>
            </w:r>
          </w:p>
        </w:tc>
      </w:tr>
      <w:tr>
        <w:tc>
          <w:tcPr>
            <w:tcW w:type="dxa" w:w="3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Per outer-code discovery run</w:t>
            </w:r>
          </w:p>
        </w:tc>
        <w:tc>
          <w:tcPr>
            <w:tcW w:type="dxa" w:w="54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Under £2</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Google Places API (capped)</w:t>
            </w:r>
          </w:p>
        </w:tc>
        <w:tc>
          <w:tcPr>
            <w:tcW w:type="dxa" w:w="5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£5/day hard cap</w:t>
            </w:r>
          </w:p>
        </w:tc>
      </w:tr>
      <w:tr>
        <w:tc>
          <w:tcPr>
            <w:tcW w:type="dxa" w:w="3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AWS infrastructure</w:t>
            </w:r>
          </w:p>
        </w:tc>
        <w:tc>
          <w:tcPr>
            <w:tcW w:type="dxa" w:w="54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£20/month alert threshold</w:t>
            </w:r>
          </w:p>
        </w:tc>
      </w:tr>
      <w:tr>
        <w:tc>
          <w:tcPr>
            <w:tcW w:type="dxa" w:w="3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DataLedger (third-party financial data)</w:t>
            </w:r>
          </w:p>
        </w:tc>
        <w:tc>
          <w:tcPr>
            <w:tcW w:type="dxa" w:w="5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£0 — replaced by in-house Companies House parser</w:t>
            </w:r>
          </w:p>
        </w:tc>
      </w:tr>
    </w:tbl>
    <w:p>
      <w:pPr>
        <w:spacing w:after="60"/>
      </w:pPr>
      <w:r>
        <w:t xml:space="preserve"/>
      </w:r>
    </w:p>
    <w:p>
      <w:pPr>
        <w:pStyle w:val="Heading2"/>
        <w:spacing w:after="120" w:before="240"/>
      </w:pPr>
      <w:r>
        <w:rPr>
          <w:rFonts w:ascii="Arial" w:cs="Arial" w:eastAsia="Arial" w:hAnsi="Arial"/>
          <w:b/>
          <w:bCs/>
          <w:color w:val="2E6DB4"/>
          <w:sz w:val="26"/>
          <w:szCs w:val="26"/>
        </w:rPr>
        <w:t xml:space="preserve">6.2 Cost of inaction</w:t>
      </w:r>
    </w:p>
    <w:p>
      <w:pPr>
        <w:spacing w:after="100"/>
      </w:pPr>
      <w:r>
        <w:rPr>
          <w:rFonts w:ascii="Arial" w:cs="Arial" w:eastAsia="Arial" w:hAnsi="Arial"/>
          <w:color w:val="555555"/>
          <w:sz w:val="20"/>
          <w:szCs w:val="20"/>
        </w:rPr>
        <w:t xml:space="preserve">The alternative to this investment is not neutral — it is continued reliance on manual, unverified, undocumented lead sourcing while churn continues at 64.9%. Given the stated business risk (downsizing, job losses), the cost of the system is negligible relative to the cost of continued underperformance in acquisition and retention.</w:t>
      </w:r>
    </w:p>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7. Risk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226"/>
      </w:tblGrid>
      <w:tr>
        <w:tc>
          <w:tcPr>
            <w:tcW w:type="dxa" w:w="2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Risk</w:t>
            </w:r>
          </w:p>
        </w:tc>
        <w:tc>
          <w:tcPr>
            <w:tcW w:type="dxa" w:w="1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Likelihood</w:t>
            </w:r>
          </w:p>
        </w:tc>
        <w:tc>
          <w:tcPr>
            <w:tcW w:type="dxa" w:w="52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Mitigation</w:t>
            </w:r>
          </w:p>
        </w:tc>
      </w:tr>
      <w:tr>
        <w:tc>
          <w:tcPr>
            <w:tcW w:type="dxa" w:w="2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Platform scraping breaks due to anti-bot changes</w:t>
            </w:r>
          </w:p>
        </w:tc>
        <w:tc>
          <w:tcPr>
            <w:tcW w:type="dxa" w:w="1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Medium</w:t>
            </w:r>
          </w:p>
        </w:tc>
        <w:tc>
          <w:tcPr>
            <w:tcW w:type="dxa" w:w="52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JustEat public API is primary; Apify actors are community-maintained; manual fallback exists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Data quality below expectation at launch</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Medium</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MVP tested on one outer code first with manual verification gate before scale-up</w:t>
            </w:r>
          </w:p>
        </w:tc>
      </w:tr>
      <w:tr>
        <w:tc>
          <w:tcPr>
            <w:tcW w:type="dxa" w:w="2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Legal exposure from outreach methods</w:t>
            </w:r>
          </w:p>
        </w:tc>
        <w:tc>
          <w:tcPr>
            <w:tcW w:type="dxa" w:w="1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Low — if rules followed</w:t>
            </w:r>
          </w:p>
        </w:tc>
        <w:tc>
          <w:tcPr>
            <w:tcW w:type="dxa" w:w="52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PECR/GDPR-compliant design; WhatsApp outreach uses only publicly listed numbers; full detail in Volume 4</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Retention issue is not fixed in parallel</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High impact if ignored</w:t>
            </w:r>
          </w:p>
        </w:tc>
        <w:tc>
          <w:tcPr>
            <w:tcW w:type="dxa" w:w="52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Explicitly flagged as the responsibility of the Sales Manager — see Section 8 and separate retention brief</w:t>
            </w:r>
          </w:p>
        </w:tc>
      </w:tr>
      <w:tr>
        <w:tc>
          <w:tcPr>
            <w:tcW w:type="dxa" w:w="2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CRM cannot accept the full field set</w:t>
            </w:r>
          </w:p>
        </w:tc>
        <w:tc>
          <w:tcPr>
            <w:tcW w:type="dxa" w:w="1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Low</w:t>
            </w:r>
          </w:p>
        </w:tc>
        <w:tc>
          <w:tcPr>
            <w:tcW w:type="dxa" w:w="52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Full field schema (102 fields) shared with CTO for validation before build</w:t>
            </w:r>
          </w:p>
        </w:tc>
      </w:tr>
    </w:tbl>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8. Strategic Priorities Beyond the Pipeline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7A4F00" w:sz="6"/>
              <w:left w:val="none" w:color="FFFFFF" w:sz="0"/>
              <w:bottom w:val="none" w:color="FFFFFF" w:sz="0"/>
              <w:right w:val="none" w:color="FFFFFF" w:sz="0"/>
            </w:tcBorders>
            <w:shd w:fill="FEF3DC" w:val="clear"/>
            <w:tcMar>
              <w:top w:type="dxa" w:w="80"/>
              <w:left w:type="dxa" w:w="160"/>
              <w:bottom w:type="dxa" w:w="16"/>
              <w:right w:type="dxa" w:w="160"/>
            </w:tcMar>
          </w:tcPr>
          <w:p>
            <w:pPr>
              <w:spacing w:after="0"/>
            </w:pPr>
            <w:r>
              <w:rPr>
                <w:rFonts w:ascii="Arial" w:cs="Arial" w:eastAsia="Arial" w:hAnsi="Arial"/>
                <w:b/>
                <w:bCs/>
                <w:color w:val="7A4F00"/>
                <w:sz w:val="19"/>
                <w:szCs w:val="19"/>
              </w:rPr>
              <w:t xml:space="preserve">The pipeline alone will not fix the business</w:t>
            </w:r>
          </w:p>
        </w:tc>
      </w:tr>
      <w:tr>
        <w:tc>
          <w:tcPr>
            <w:tcW w:type="dxa" w:w="9026"/>
            <w:tcBorders>
              <w:top w:val="none" w:color="FFFFFF" w:sz="0"/>
              <w:left w:val="none" w:color="FFFFFF" w:sz="0"/>
              <w:bottom w:val="none" w:color="FFFFFF" w:sz="0"/>
              <w:right w:val="none" w:color="FFFFFF" w:sz="0"/>
            </w:tcBorders>
            <w:shd w:fill="FEF3DC" w:val="clear"/>
            <w:tcMar>
              <w:top w:type="dxa" w:w="16"/>
              <w:left w:type="dxa" w:w="160"/>
              <w:bottom w:type="dxa" w:w="80"/>
              <w:right w:type="dxa" w:w="160"/>
            </w:tcMar>
          </w:tcPr>
          <w:p>
            <w:pPr>
              <w:spacing w:after="0"/>
            </w:pPr>
            <w:r>
              <w:rPr>
                <w:rFonts w:ascii="Arial" w:cs="Arial" w:eastAsia="Arial" w:hAnsi="Arial"/>
                <w:b w:val="false"/>
                <w:bCs w:val="false"/>
                <w:color w:val="7A4F00"/>
                <w:sz w:val="19"/>
                <w:szCs w:val="19"/>
              </w:rPr>
              <w:t xml:space="preserve">Analysis strongly suggests that lead quality is not the primary constraint on growth. A 64.9% churn rate with an 80-day median lifespan indicates a retention and operational problem that a better lead list cannot solve on its own. Increasing the flow of new customers into a business that is losing customers this fast increases the rate of loss, not the rate of growth, unless retention is addressed in parallel.</w:t>
            </w:r>
          </w:p>
        </w:tc>
      </w:tr>
    </w:tbl>
    <w:p>
      <w:pPr>
        <w:spacing w:after="60"/>
      </w:pPr>
      <w:r>
        <w:t xml:space="preserve"/>
      </w:r>
    </w:p>
    <w:p>
      <w:pPr>
        <w:spacing w:after="100"/>
      </w:pPr>
      <w:r>
        <w:rPr>
          <w:rFonts w:ascii="Arial" w:cs="Arial" w:eastAsia="Arial" w:hAnsi="Arial"/>
          <w:color w:val="555555"/>
          <w:sz w:val="20"/>
          <w:szCs w:val="20"/>
        </w:rPr>
        <w:t xml:space="preserve">Four priorities are identified for the Sales Manager, addressed in a dedicated retention brief separate from this document set:</w:t>
      </w:r>
    </w:p>
    <w:p>
      <w:pPr>
        <w:pStyle w:val="ListParagraph"/>
        <w:numPr>
          <w:ilvl w:val="0"/>
          <w:numId w:val="3"/>
        </w:numPr>
        <w:spacing w:after="60"/>
      </w:pPr>
      <w:r>
        <w:rPr>
          <w:rFonts w:ascii="Arial" w:cs="Arial" w:eastAsia="Arial" w:hAnsi="Arial"/>
          <w:color w:val="555555"/>
          <w:sz w:val="20"/>
          <w:szCs w:val="20"/>
        </w:rPr>
        <w:t xml:space="preserve">Diagnose the true cause of churn — via Magna’s own customer reviews and complaint records, using the same review-mining method built into this pipeline for prospecting.</w:t>
      </w:r>
    </w:p>
    <w:p>
      <w:pPr>
        <w:pStyle w:val="ListParagraph"/>
        <w:numPr>
          <w:ilvl w:val="0"/>
          <w:numId w:val="3"/>
        </w:numPr>
        <w:spacing w:after="60"/>
      </w:pPr>
      <w:r>
        <w:rPr>
          <w:rFonts w:ascii="Arial" w:cs="Arial" w:eastAsia="Arial" w:hAnsi="Arial"/>
          <w:color w:val="555555"/>
          <w:sz w:val="20"/>
          <w:szCs w:val="20"/>
        </w:rPr>
        <w:t xml:space="preserve">Design a structured onboarding process — a call within 48 hours of every first order, with particular urgency for web-acquired customers.</w:t>
      </w:r>
    </w:p>
    <w:p>
      <w:pPr>
        <w:pStyle w:val="ListParagraph"/>
        <w:numPr>
          <w:ilvl w:val="0"/>
          <w:numId w:val="3"/>
        </w:numPr>
        <w:spacing w:after="60"/>
      </w:pPr>
      <w:r>
        <w:rPr>
          <w:rFonts w:ascii="Arial" w:cs="Arial" w:eastAsia="Arial" w:hAnsi="Arial"/>
          <w:color w:val="555555"/>
          <w:sz w:val="20"/>
          <w:szCs w:val="20"/>
        </w:rPr>
        <w:t xml:space="preserve">Build a switching incentive for prospects — a reason for a business to leave its current supplier, without which even a perfect lead list converts poorly.</w:t>
      </w:r>
    </w:p>
    <w:p>
      <w:pPr>
        <w:pStyle w:val="ListParagraph"/>
        <w:numPr>
          <w:ilvl w:val="0"/>
          <w:numId w:val="3"/>
        </w:numPr>
        <w:spacing w:after="60"/>
      </w:pPr>
      <w:r>
        <w:rPr>
          <w:rFonts w:ascii="Arial" w:cs="Arial" w:eastAsia="Arial" w:hAnsi="Arial"/>
          <w:color w:val="555555"/>
          <w:sz w:val="20"/>
          <w:szCs w:val="20"/>
        </w:rPr>
        <w:t xml:space="preserve">Investigate the anomalous 95% churn sales rep before any new territory is assigned to them.</w:t>
      </w:r>
    </w:p>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9. Success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Milestone</w:t>
            </w:r>
          </w:p>
        </w:tc>
        <w:tc>
          <w:tcPr>
            <w:tcW w:type="dxa" w:w="64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Definition of Success</w:t>
            </w:r>
          </w:p>
        </w:tc>
      </w:tr>
      <w:tr>
        <w:tc>
          <w:tcPr>
            <w:tcW w:type="dxa" w:w="2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MVP (one outer code)</w:t>
            </w:r>
          </w:p>
        </w:tc>
        <w:tc>
          <w:tcPr>
            <w:tcW w:type="dxa" w:w="64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Verified, scored, deduplicated leads delivered to Magna Sales Pro with zero active-customer contamination</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First 20 telesales calls on new leads</w:t>
            </w:r>
          </w:p>
        </w:tc>
        <w:tc>
          <w:tcPr>
            <w:tcW w:type="dxa" w:w="6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Rep-confirmed lead quality — correct number, correct decision-maker, business genuinely trading</w:t>
            </w:r>
          </w:p>
        </w:tc>
      </w:tr>
      <w:tr>
        <w:tc>
          <w:tcPr>
            <w:tcW w:type="dxa" w:w="26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First quarterly review</w:t>
            </w:r>
          </w:p>
        </w:tc>
        <w:tc>
          <w:tcPr>
            <w:tcW w:type="dxa" w:w="64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Trigger-flagged leads (Volume 3) shown to convert at a measurably higher rate than static high-score leads</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Six months post-launch</w:t>
            </w:r>
          </w:p>
        </w:tc>
        <w:tc>
          <w:tcPr>
            <w:tcW w:type="dxa" w:w="64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Reduction in dependency on manual/unstructured acquisition channels; churn trend improving in parallel with acquisition volume</w:t>
            </w:r>
          </w:p>
        </w:tc>
      </w:tr>
    </w:tbl>
    <w:p>
      <w:r>
        <w:br w:type="page"/>
      </w:r>
    </w:p>
    <w:p>
      <w:pPr>
        <w:pStyle w:val="Heading1"/>
        <w:pBdr>
          <w:bottom w:val="single" w:color="2E6DB4" w:sz="6" w:space="1"/>
        </w:pBdr>
        <w:spacing w:after="170" w:before="340"/>
      </w:pPr>
      <w:r>
        <w:rPr>
          <w:rFonts w:ascii="Arial" w:cs="Arial" w:eastAsia="Arial" w:hAnsi="Arial"/>
          <w:b/>
          <w:bCs/>
          <w:color w:val="1F3A6E"/>
          <w:sz w:val="32"/>
          <w:szCs w:val="32"/>
        </w:rPr>
        <w:t xml:space="preserve">10. Governance and Ownership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Role</w:t>
            </w:r>
          </w:p>
        </w:tc>
        <w:tc>
          <w:tcPr>
            <w:tcW w:type="dxa" w:w="6626"/>
            <w:tcBorders>
              <w:top w:val="single" w:color="CCCCCC" w:sz="1"/>
              <w:left w:val="single" w:color="CCCCCC" w:sz="1"/>
              <w:bottom w:val="single" w:color="CCCCCC" w:sz="1"/>
              <w:right w:val="single" w:color="CCCCCC" w:sz="1"/>
            </w:tcBorders>
            <w:shd w:fill="1F3A6E" w:val="clear"/>
            <w:tcMar>
              <w:top w:type="dxa" w:w="80"/>
              <w:left w:type="dxa" w:w="120"/>
              <w:bottom w:type="dxa" w:w="80"/>
              <w:right w:type="dxa" w:w="120"/>
            </w:tcMar>
          </w:tcPr>
          <w:p>
            <w:pPr>
              <w:spacing w:after="0"/>
            </w:pPr>
            <w:r>
              <w:rPr>
                <w:rFonts w:ascii="Arial" w:cs="Arial" w:eastAsia="Arial" w:hAnsi="Arial"/>
                <w:b/>
                <w:bCs/>
                <w:color w:val="FFFFFF"/>
                <w:sz w:val="18"/>
                <w:szCs w:val="18"/>
              </w:rPr>
              <w:t xml:space="preserve">Responsibility</w:t>
            </w:r>
          </w:p>
        </w:tc>
      </w:tr>
      <w:tr>
        <w:tc>
          <w:tcPr>
            <w:tcW w:type="dxa" w:w="2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Zoeb (Project Owner)</w:t>
            </w:r>
          </w:p>
        </w:tc>
        <w:tc>
          <w:tcPr>
            <w:tcW w:type="dxa" w:w="6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Overall direction, weekly system review, quarterly scoring recalibration, CTO liaison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CTO</w:t>
            </w:r>
          </w:p>
        </w:tc>
        <w:tc>
          <w:tcPr>
            <w:tcW w:type="dxa" w:w="6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Magna Sales Pro API and field validation, infrastructure sign-off, security review</w:t>
            </w:r>
          </w:p>
        </w:tc>
      </w:tr>
      <w:tr>
        <w:tc>
          <w:tcPr>
            <w:tcW w:type="dxa" w:w="2400"/>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Sales Manager</w:t>
            </w:r>
          </w:p>
        </w:tc>
        <w:tc>
          <w:tcPr>
            <w:tcW w:type="dxa" w:w="6626"/>
            <w:tcBorders>
              <w:top w:val="single" w:color="CCCCCC" w:sz="1"/>
              <w:left w:val="single" w:color="CCCCCC" w:sz="1"/>
              <w:bottom w:val="single" w:color="CCCCCC" w:sz="1"/>
              <w:right w:val="single" w:color="CCCCCC" w:sz="1"/>
            </w:tcBorders>
            <w:shd w:fill="E8F1FB" w:val="clear"/>
            <w:tcMar>
              <w:top w:type="dxa" w:w="60"/>
              <w:left w:type="dxa" w:w="120"/>
              <w:bottom w:type="dxa" w:w="60"/>
              <w:right w:type="dxa" w:w="120"/>
            </w:tcMar>
          </w:tcPr>
          <w:p>
            <w:pPr>
              <w:spacing w:after="0"/>
            </w:pPr>
            <w:r>
              <w:rPr>
                <w:rFonts w:ascii="Arial" w:cs="Arial" w:eastAsia="Arial" w:hAnsi="Arial"/>
                <w:color w:val="555555"/>
                <w:sz w:val="18"/>
                <w:szCs w:val="18"/>
              </w:rPr>
              <w:t xml:space="preserve">Retention diagnosis and fix, onboarding process, switching incentive design, rep coaching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Telesales Team</w:t>
            </w:r>
          </w:p>
        </w:tc>
        <w:tc>
          <w:tcPr>
            <w:tcW w:type="dxa" w:w="6626"/>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pPr>
              <w:spacing w:after="0"/>
            </w:pPr>
            <w:r>
              <w:rPr>
                <w:rFonts w:ascii="Arial" w:cs="Arial" w:eastAsia="Arial" w:hAnsi="Arial"/>
                <w:color w:val="555555"/>
                <w:sz w:val="18"/>
                <w:szCs w:val="18"/>
              </w:rPr>
              <w:t xml:space="preserve">Working assigned leads, logging call outcomes and conversion data back into Magna Sales Pro</w:t>
            </w:r>
          </w:p>
        </w:tc>
      </w:tr>
    </w:tbl>
    <w:p>
      <w:pPr>
        <w:spacing w:after="60"/>
      </w:pPr>
      <w:r>
        <w:t xml:space="preserve"/>
      </w:r>
    </w:p>
    <w:p>
      <w:pPr>
        <w:spacing w:after="60"/>
      </w:pPr>
      <w:r>
        <w:t xml:space="preserve"/>
      </w:r>
    </w:p>
    <w:p>
      <w:pPr>
        <w:spacing w:before="200"/>
        <w:jc w:val="center"/>
      </w:pPr>
      <w:r>
        <w:rPr>
          <w:rFonts w:ascii="Arial" w:cs="Arial" w:eastAsia="Arial" w:hAnsi="Arial"/>
          <w:i/>
          <w:iCs/>
          <w:color w:val="555555"/>
          <w:sz w:val="17"/>
          <w:szCs w:val="17"/>
        </w:rPr>
        <w:t xml:space="preserve">Magna Foodservice — Volume 1 of 4 — Business Case — July 2026</w:t>
      </w:r>
    </w:p>
    <w:sectPr>
      <w:headerReference w:type="default" r:id="rId7"/>
      <w:footerReference w:type="default" r:id="rId8"/>
      <w:pgSz w:w="11906" w:h="16838" w:orient="portrait"/>
      <w:pgMar w:top="14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CCCCCC"/>
        <w:sz w:val="15"/>
        <w:szCs w:val="15"/>
      </w:rPr>
      <w:t xml:space="preserve">Page </w:t>
    </w:r>
    <w:r>
      <w:rPr>
        <w:rFonts w:ascii="Arial" w:cs="Arial" w:eastAsia="Arial" w:hAnsi="Arial"/>
        <w:color w:val="CCCCCC"/>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CCCCCC"/>
        <w:sz w:val="15"/>
        <w:szCs w:val="15"/>
      </w:rPr>
      <w:t xml:space="preserve">Magna Foodservice — Lead Intelligence System — Vol. 1 — Business Case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70" w:before="340"/>
      <w:outlineLvl w:val="0"/>
    </w:pPr>
    <w:rPr>
      <w:rFonts w:ascii="Arial" w:cs="Arial" w:eastAsia="Arial" w:hAnsi="Arial"/>
      <w:b/>
      <w:bCs/>
      <w:color w:val="1F3A6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6DB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2026-07-08T23:02:33.252Z</dcterms:created>
  <dcterms:modified xsi:type="dcterms:W3CDTF">2026-07-08T23:02:33.267Z</dcterms:modified>
</cp:coreProperties>
</file>

<file path=docProps/custom.xml><?xml version="1.0" encoding="utf-8"?>
<Properties xmlns="http://schemas.openxmlformats.org/officeDocument/2006/custom-properties" xmlns:vt="http://schemas.openxmlformats.org/officeDocument/2006/docPropsVTypes"/>
</file>