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2E6DB4"/>
          <w:sz w:val="26"/>
          <w:szCs w:val="26"/>
        </w:rPr>
        <w:t xml:space="preserve">MAGNA FOODSERVICE</w:t>
      </w:r>
    </w:p>
    <w:p>
      <w:pPr>
        <w:spacing w:after="120"/>
        <w:jc w:val="center"/>
      </w:pPr>
      <w:r>
        <w:rPr>
          <w:rFonts w:ascii="Arial" w:cs="Arial" w:eastAsia="Arial" w:hAnsi="Arial"/>
          <w:b/>
          <w:bCs/>
          <w:color w:val="555555"/>
          <w:sz w:val="18"/>
          <w:szCs w:val="18"/>
        </w:rPr>
        <w:t xml:space="preserve">VOLUME 4 OF 4</w:t>
      </w:r>
    </w:p>
    <w:p>
      <w:pPr>
        <w:spacing w:after="80"/>
        <w:jc w:val="center"/>
      </w:pPr>
      <w:r>
        <w:rPr>
          <w:rFonts w:ascii="Arial" w:cs="Arial" w:eastAsia="Arial" w:hAnsi="Arial"/>
          <w:b/>
          <w:bCs/>
          <w:color w:val="1F3A6E"/>
          <w:sz w:val="56"/>
          <w:szCs w:val="56"/>
        </w:rPr>
        <w:t xml:space="preserve">Security, Scale &amp; Governance</w:t>
      </w:r>
    </w:p>
    <w:p>
      <w:pPr>
        <w:spacing w:after="60"/>
        <w:jc w:val="center"/>
      </w:pPr>
      <w:r>
        <w:rPr>
          <w:rFonts w:ascii="Arial" w:cs="Arial" w:eastAsia="Arial" w:hAnsi="Arial"/>
          <w:color w:val="555555"/>
          <w:sz w:val="24"/>
          <w:szCs w:val="24"/>
        </w:rPr>
        <w:t xml:space="preserve">Compliance, Performance, Cost Control &amp; Project Management</w:t>
      </w:r>
    </w:p>
    <w:p>
      <w:pPr>
        <w:spacing w:after="200"/>
        <w:jc w:val="center"/>
      </w:pPr>
      <w:r>
        <w:rPr>
          <w:rFonts w:ascii="Arial" w:cs="Arial" w:eastAsia="Arial" w:hAnsi="Arial"/>
          <w:i/>
          <w:iCs/>
          <w:color w:val="555555"/>
          <w:sz w:val="20"/>
          <w:szCs w:val="20"/>
        </w:rPr>
        <w:t xml:space="preserve">How the system stays safe, fast, affordable, and properly managed as it grows</w:t>
      </w:r>
    </w:p>
    <w:p>
      <w:pPr>
        <w:spacing w:after="40"/>
        <w:jc w:val="center"/>
      </w:pPr>
      <w:r>
        <w:rPr>
          <w:rFonts w:ascii="Arial" w:cs="Arial" w:eastAsia="Arial" w:hAnsi="Arial"/>
          <w:color w:val="555555"/>
          <w:sz w:val="18"/>
          <w:szCs w:val="18"/>
        </w:rPr>
        <w:t xml:space="preserve">Lead Intelligence System — Complete Project Document Set</w:t>
      </w:r>
    </w:p>
    <w:p>
      <w:pPr>
        <w:jc w:val="center"/>
      </w:pPr>
      <w:r>
        <w:rPr>
          <w:rFonts w:ascii="Arial" w:cs="Arial" w:eastAsia="Arial" w:hAnsi="Arial"/>
          <w:color w:val="555555"/>
          <w:sz w:val="18"/>
          <w:szCs w:val="18"/>
        </w:rPr>
        <w:t xml:space="preserve">July 2026  ·  Owner: Zoeb</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Contents</w:t>
      </w:r>
    </w:p>
    <w:p>
      <w:pPr>
        <w:tabs>
          <w:tab w:val="right" w:pos="9026"/>
        </w:tabs>
        <w:spacing w:after="100"/>
      </w:pPr>
      <w:r>
        <w:rPr>
          <w:rFonts w:ascii="Arial" w:cs="Arial" w:eastAsia="Arial" w:hAnsi="Arial"/>
          <w:color w:val="555555"/>
          <w:sz w:val="20"/>
          <w:szCs w:val="20"/>
        </w:rPr>
        <w:t xml:space="preserve">1. Security Architecture</w:t>
      </w:r>
      <w:r>
        <w:rPr>
          <w:rFonts w:ascii="Arial" w:cs="Arial" w:eastAsia="Arial" w:hAnsi="Arial"/>
          <w:color w:val="555555"/>
          <w:sz w:val="20"/>
          <w:szCs w:val="20"/>
        </w:rPr>
        <w:t xml:space="preserve">	3</w:t>
      </w:r>
    </w:p>
    <w:p>
      <w:pPr>
        <w:tabs>
          <w:tab w:val="right" w:pos="9026"/>
        </w:tabs>
        <w:spacing w:after="100"/>
      </w:pPr>
      <w:r>
        <w:rPr>
          <w:rFonts w:ascii="Arial" w:cs="Arial" w:eastAsia="Arial" w:hAnsi="Arial"/>
          <w:color w:val="555555"/>
          <w:sz w:val="20"/>
          <w:szCs w:val="20"/>
        </w:rPr>
        <w:t xml:space="preserve">2. Legal and Compliance Position</w:t>
      </w:r>
      <w:r>
        <w:rPr>
          <w:rFonts w:ascii="Arial" w:cs="Arial" w:eastAsia="Arial" w:hAnsi="Arial"/>
          <w:color w:val="555555"/>
          <w:sz w:val="20"/>
          <w:szCs w:val="20"/>
        </w:rPr>
        <w:t xml:space="preserve">	4</w:t>
      </w:r>
    </w:p>
    <w:p>
      <w:pPr>
        <w:tabs>
          <w:tab w:val="right" w:pos="9026"/>
        </w:tabs>
        <w:spacing w:after="100"/>
      </w:pPr>
      <w:r>
        <w:rPr>
          <w:rFonts w:ascii="Arial" w:cs="Arial" w:eastAsia="Arial" w:hAnsi="Arial"/>
          <w:color w:val="555555"/>
          <w:sz w:val="20"/>
          <w:szCs w:val="20"/>
        </w:rPr>
        <w:t xml:space="preserve">3. Budget Framework and Cost Caps</w:t>
      </w:r>
      <w:r>
        <w:rPr>
          <w:rFonts w:ascii="Arial" w:cs="Arial" w:eastAsia="Arial" w:hAnsi="Arial"/>
          <w:color w:val="555555"/>
          <w:sz w:val="20"/>
          <w:szCs w:val="20"/>
        </w:rPr>
        <w:t xml:space="preserve">	5</w:t>
      </w:r>
    </w:p>
    <w:p>
      <w:pPr>
        <w:tabs>
          <w:tab w:val="right" w:pos="9026"/>
        </w:tabs>
        <w:spacing w:after="100"/>
      </w:pPr>
      <w:r>
        <w:rPr>
          <w:rFonts w:ascii="Arial" w:cs="Arial" w:eastAsia="Arial" w:hAnsi="Arial"/>
          <w:color w:val="555555"/>
          <w:sz w:val="20"/>
          <w:szCs w:val="20"/>
        </w:rPr>
        <w:t xml:space="preserve">4. Scalability Design</w:t>
      </w:r>
      <w:r>
        <w:rPr>
          <w:rFonts w:ascii="Arial" w:cs="Arial" w:eastAsia="Arial" w:hAnsi="Arial"/>
          <w:color w:val="555555"/>
          <w:sz w:val="20"/>
          <w:szCs w:val="20"/>
        </w:rPr>
        <w:t xml:space="preserve">	7</w:t>
      </w:r>
    </w:p>
    <w:p>
      <w:pPr>
        <w:tabs>
          <w:tab w:val="right" w:pos="9026"/>
        </w:tabs>
        <w:spacing w:after="100"/>
      </w:pPr>
      <w:r>
        <w:rPr>
          <w:rFonts w:ascii="Arial" w:cs="Arial" w:eastAsia="Arial" w:hAnsi="Arial"/>
          <w:color w:val="555555"/>
          <w:sz w:val="20"/>
          <w:szCs w:val="20"/>
        </w:rPr>
        <w:t xml:space="preserve">5. Performance and Responsiveness</w:t>
      </w:r>
      <w:r>
        <w:rPr>
          <w:rFonts w:ascii="Arial" w:cs="Arial" w:eastAsia="Arial" w:hAnsi="Arial"/>
          <w:color w:val="555555"/>
          <w:sz w:val="20"/>
          <w:szCs w:val="20"/>
        </w:rPr>
        <w:t xml:space="preserve">	8</w:t>
      </w:r>
    </w:p>
    <w:p>
      <w:pPr>
        <w:tabs>
          <w:tab w:val="right" w:pos="9026"/>
        </w:tabs>
        <w:spacing w:after="100"/>
      </w:pPr>
      <w:r>
        <w:rPr>
          <w:rFonts w:ascii="Arial" w:cs="Arial" w:eastAsia="Arial" w:hAnsi="Arial"/>
          <w:color w:val="555555"/>
          <w:sz w:val="20"/>
          <w:szCs w:val="20"/>
        </w:rPr>
        <w:t xml:space="preserve">6. Reliability and Failure Handling</w:t>
      </w:r>
      <w:r>
        <w:rPr>
          <w:rFonts w:ascii="Arial" w:cs="Arial" w:eastAsia="Arial" w:hAnsi="Arial"/>
          <w:color w:val="555555"/>
          <w:sz w:val="20"/>
          <w:szCs w:val="20"/>
        </w:rPr>
        <w:t xml:space="preserve">	9</w:t>
      </w:r>
    </w:p>
    <w:p>
      <w:pPr>
        <w:tabs>
          <w:tab w:val="right" w:pos="9026"/>
        </w:tabs>
        <w:spacing w:after="100"/>
      </w:pPr>
      <w:r>
        <w:rPr>
          <w:rFonts w:ascii="Arial" w:cs="Arial" w:eastAsia="Arial" w:hAnsi="Arial"/>
          <w:color w:val="555555"/>
          <w:sz w:val="20"/>
          <w:szCs w:val="20"/>
        </w:rPr>
        <w:t xml:space="preserve">7. Project Governance</w:t>
      </w:r>
      <w:r>
        <w:rPr>
          <w:rFonts w:ascii="Arial" w:cs="Arial" w:eastAsia="Arial" w:hAnsi="Arial"/>
          <w:color w:val="555555"/>
          <w:sz w:val="20"/>
          <w:szCs w:val="20"/>
        </w:rPr>
        <w:t xml:space="preserve">	10</w:t>
      </w:r>
    </w:p>
    <w:p>
      <w:pPr>
        <w:tabs>
          <w:tab w:val="right" w:pos="9026"/>
        </w:tabs>
        <w:spacing w:after="100"/>
      </w:pPr>
      <w:r>
        <w:rPr>
          <w:rFonts w:ascii="Arial" w:cs="Arial" w:eastAsia="Arial" w:hAnsi="Arial"/>
          <w:color w:val="555555"/>
          <w:sz w:val="20"/>
          <w:szCs w:val="20"/>
        </w:rPr>
        <w:t xml:space="preserve">8. Implementation Sequence</w:t>
      </w:r>
      <w:r>
        <w:rPr>
          <w:rFonts w:ascii="Arial" w:cs="Arial" w:eastAsia="Arial" w:hAnsi="Arial"/>
          <w:color w:val="555555"/>
          <w:sz w:val="20"/>
          <w:szCs w:val="20"/>
        </w:rPr>
        <w:t xml:space="preserve">	11</w:t>
      </w:r>
    </w:p>
    <w:p>
      <w:pPr>
        <w:tabs>
          <w:tab w:val="right" w:pos="9026"/>
        </w:tabs>
        <w:spacing w:after="100"/>
      </w:pPr>
      <w:r>
        <w:rPr>
          <w:rFonts w:ascii="Arial" w:cs="Arial" w:eastAsia="Arial" w:hAnsi="Arial"/>
          <w:color w:val="555555"/>
          <w:sz w:val="20"/>
          <w:szCs w:val="20"/>
        </w:rPr>
        <w:t xml:space="preserve">9. Outstanding Items and Owners</w:t>
      </w:r>
      <w:r>
        <w:rPr>
          <w:rFonts w:ascii="Arial" w:cs="Arial" w:eastAsia="Arial" w:hAnsi="Arial"/>
          <w:color w:val="555555"/>
          <w:sz w:val="20"/>
          <w:szCs w:val="20"/>
        </w:rPr>
        <w:t xml:space="preserve">	12</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 Security Architecture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66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Control</w:t>
            </w:r>
          </w:p>
        </w:tc>
        <w:tc>
          <w:tcPr>
            <w:tcW w:type="dxa" w:w="6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Implementation</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API key management</w:t>
            </w:r>
          </w:p>
        </w:tc>
        <w:tc>
          <w:tcPr>
            <w:tcW w:type="dxa" w:w="6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All third-party API keys (Google, Companies House, DataLedger where used) held in a managed secrets store, never in code or spreadsheets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Database separation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UAT and production Supabase instances strictly separate — no shared credentials, no shared data</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Data minimisation</w:t>
            </w:r>
          </w:p>
        </w:tc>
        <w:tc>
          <w:tcPr>
            <w:tcW w:type="dxa" w:w="6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Only business-contact data is collected — no personal data beyond names and business phone numbers already made public by the business itself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Access control</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Internal review dashboard (Ignored Leads, telemetry) restricted to named management logins, not open to all staff</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CRM write access</w:t>
            </w:r>
          </w:p>
        </w:tc>
        <w:tc>
          <w:tcPr>
            <w:tcW w:type="dxa" w:w="6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Manual, reviewed upload only — no automated write access to Magna Sales Pro in the current phase (see Volume 3, Section 2.2)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Audit trail</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Every lead, every ignored record, every score, and every run is logged permanently — nothing is processed without a traceable record</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Third-party exposure</w:t>
            </w:r>
          </w:p>
        </w:tc>
        <w:tc>
          <w:tcPr>
            <w:tcW w:type="dxa" w:w="6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No customer or lead data is sent to any third party beyond the minimum required for a given lookup (e.g. a company number to Companies House) — no bulk data export to external vendors</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2. Legal and Compliance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Topic</w:t>
            </w:r>
          </w:p>
        </w:tc>
        <w:tc>
          <w:tcPr>
            <w:tcW w:type="dxa" w:w="4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Position</w:t>
            </w:r>
          </w:p>
        </w:tc>
        <w:tc>
          <w:tcPr>
            <w:tcW w:type="dxa" w:w="2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UK Legal Basis</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FSA registration check</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Every food business in England must be registered — an unregistered "business" is not treated as a legitimate target</w:t>
            </w:r>
          </w:p>
        </w:tc>
        <w:tc>
          <w:tcPr>
            <w:tcW w:type="dxa" w:w="2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Food Safety and Hygiene (England) Regulations 2013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WhatsApp / mobile outreach</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Only publicly listed numbers or existing customer relationships are used; mass unsolicited messaging is excluded from the design entirely</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Privacy and Electronic Communications Regulations 2003; UK GDPR / Data Protection Act 2018</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Google data usage</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Official Places API used for fallback lookups only — direct scraping of Google Maps is explicitly excluded from the design</w:t>
            </w:r>
          </w:p>
        </w:tc>
        <w:tc>
          <w:tcPr>
            <w:tcW w:type="dxa" w:w="2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Google Terms of 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Delivery platform data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JustEat via public endpoint (compliant, structured access). Uber Eats/Deliveroo via Apify carries some ToS risk at scale, managed through low volume, randomised delays, and proxy rotation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Platform Terms of Service — risk acknowledged and actively managed, not ignored</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Companies House data</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Free to access and use commercially; director and PSC names are public registered information by law</w:t>
            </w:r>
          </w:p>
        </w:tc>
        <w:tc>
          <w:tcPr>
            <w:tcW w:type="dxa" w:w="2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Companies Act 2006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 retention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Internal lead records retained for operational and audit purposes; no data held beyond legitimate business need</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UK GDPR data minimisation principle</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3. Budget Framework and Cost Caps</w:t>
      </w:r>
    </w:p>
    <w:p>
      <w:pPr>
        <w:pStyle w:val="Heading2"/>
        <w:spacing w:after="120" w:before="240"/>
      </w:pPr>
      <w:r>
        <w:rPr>
          <w:rFonts w:ascii="Arial" w:cs="Arial" w:eastAsia="Arial" w:hAnsi="Arial"/>
          <w:b/>
          <w:bCs/>
          <w:color w:val="2E6DB4"/>
          <w:sz w:val="26"/>
          <w:szCs w:val="26"/>
        </w:rPr>
        <w:t xml:space="preserve">3.1 Hard caps — non-negotiable, configured before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Cap</w:t>
            </w:r>
          </w:p>
        </w:tc>
        <w:tc>
          <w:tcPr>
            <w:tcW w:type="dxa" w:w="4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Enforcement</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Google Places API</w:t>
            </w:r>
          </w:p>
        </w:tc>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£5/day</w:t>
            </w:r>
          </w:p>
        </w:tc>
        <w:tc>
          <w:tcPr>
            <w:tcW w:type="dxa" w:w="4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Billing alert + hard API quota at Google Cloud project level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AWS (Lambda + infrastructure)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£20/month alert threshold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Billing alert configured before first production run</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Apify (platform scraping)</w:t>
            </w:r>
          </w:p>
        </w:tc>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Reviewed monthly against actual run volume</w:t>
            </w:r>
          </w:p>
        </w:tc>
        <w:tc>
          <w:tcPr>
            <w:tcW w:type="dxa" w:w="4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Manual review — no runaway automated scaling without sign-off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Any new paid data source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Must be approved before integration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Standing rule — no exceptions, regardless of urgency</w:t>
            </w:r>
          </w:p>
        </w:tc>
      </w:tr>
    </w:tbl>
    <w:p>
      <w:pPr>
        <w:spacing w:after="60"/>
      </w:pPr>
      <w:r>
        <w:t xml:space="preserve"/>
      </w:r>
    </w:p>
    <w:p>
      <w:pPr>
        <w:pStyle w:val="Heading2"/>
        <w:spacing w:after="120" w:before="240"/>
      </w:pPr>
      <w:r>
        <w:rPr>
          <w:rFonts w:ascii="Arial" w:cs="Arial" w:eastAsia="Arial" w:hAnsi="Arial"/>
          <w:b/>
          <w:bCs/>
          <w:color w:val="2E6DB4"/>
          <w:sz w:val="26"/>
          <w:szCs w:val="26"/>
        </w:rPr>
        <w:t xml:space="preserve">3.2 Per-run cost estimate</w:t>
      </w:r>
    </w:p>
    <w:p>
      <w:pPr>
        <w:spacing w:after="100"/>
      </w:pPr>
      <w:r>
        <w:rPr>
          <w:rFonts w:ascii="Arial" w:cs="Arial" w:eastAsia="Arial" w:hAnsi="Arial"/>
          <w:color w:val="555555"/>
          <w:sz w:val="20"/>
          <w:szCs w:val="20"/>
        </w:rPr>
        <w:t xml:space="preserve">Based on the cost funnel in Volume 3, Section 6: a single outer-code discovery-to-export run is estimated at well under £2 in variable cost, the large majority of which is optional and only triggered when free sources are insufficient (Google Places fallback, DataLedger where still used for cross-checking).</w:t>
      </w:r>
    </w:p>
    <w:p>
      <w:pPr>
        <w:spacing w:after="60"/>
      </w:pPr>
      <w:r>
        <w:t xml:space="preserve"/>
      </w:r>
    </w:p>
    <w:p>
      <w:pPr>
        <w:pStyle w:val="Heading2"/>
        <w:spacing w:after="120" w:before="240"/>
      </w:pPr>
      <w:r>
        <w:rPr>
          <w:rFonts w:ascii="Arial" w:cs="Arial" w:eastAsia="Arial" w:hAnsi="Arial"/>
          <w:b/>
          <w:bCs/>
          <w:color w:val="2E6DB4"/>
          <w:sz w:val="26"/>
          <w:szCs w:val="26"/>
        </w:rPr>
        <w:t xml:space="preserve">3.3 Why the design keeps costs low by construction, not by discipline alone</w:t>
      </w:r>
    </w:p>
    <w:p>
      <w:pPr>
        <w:pStyle w:val="ListParagraph"/>
        <w:numPr>
          <w:ilvl w:val="0"/>
          <w:numId w:val="2"/>
        </w:numPr>
        <w:spacing w:after="60"/>
      </w:pPr>
      <w:r>
        <w:rPr>
          <w:rFonts w:ascii="Arial" w:cs="Arial" w:eastAsia="Arial" w:hAnsi="Arial"/>
          <w:color w:val="555555"/>
          <w:sz w:val="20"/>
          <w:szCs w:val="20"/>
        </w:rPr>
        <w:t xml:space="preserve">Free filters (FSA, dedup, delivery-area scope) always run before any paid call — the pipeline order itself enforces cost discipline</w:t>
      </w:r>
    </w:p>
    <w:p>
      <w:pPr>
        <w:pStyle w:val="ListParagraph"/>
        <w:numPr>
          <w:ilvl w:val="0"/>
          <w:numId w:val="2"/>
        </w:numPr>
        <w:spacing w:after="60"/>
      </w:pPr>
      <w:r>
        <w:rPr>
          <w:rFonts w:ascii="Arial" w:cs="Arial" w:eastAsia="Arial" w:hAnsi="Arial"/>
          <w:color w:val="555555"/>
          <w:sz w:val="20"/>
          <w:szCs w:val="20"/>
        </w:rPr>
        <w:t xml:space="preserve">Financial enrichment is produced in-house from free public filings rather than paid per-record from a third party</w:t>
      </w:r>
    </w:p>
    <w:p>
      <w:pPr>
        <w:pStyle w:val="ListParagraph"/>
        <w:numPr>
          <w:ilvl w:val="0"/>
          <w:numId w:val="2"/>
        </w:numPr>
        <w:spacing w:after="60"/>
      </w:pPr>
      <w:r>
        <w:rPr>
          <w:rFonts w:ascii="Arial" w:cs="Arial" w:eastAsia="Arial" w:hAnsi="Arial"/>
          <w:color w:val="555555"/>
          <w:sz w:val="20"/>
          <w:szCs w:val="20"/>
        </w:rPr>
        <w:t xml:space="preserve">Google Places is fallback-only, never bulk discovery — the single most expensive mistake from the earlier failed project is structurally prevented from recurring</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4. Scalability Design</w:t>
      </w:r>
    </w:p>
    <w:p>
      <w:pPr>
        <w:pStyle w:val="Heading2"/>
        <w:spacing w:after="120" w:before="240"/>
      </w:pPr>
      <w:r>
        <w:rPr>
          <w:rFonts w:ascii="Arial" w:cs="Arial" w:eastAsia="Arial" w:hAnsi="Arial"/>
          <w:b/>
          <w:bCs/>
          <w:color w:val="2E6DB4"/>
          <w:sz w:val="26"/>
          <w:szCs w:val="26"/>
        </w:rPr>
        <w:t xml:space="preserve">4.1 Horizontal scale by territory</w:t>
      </w:r>
    </w:p>
    <w:p>
      <w:pPr>
        <w:spacing w:after="100"/>
      </w:pPr>
      <w:r>
        <w:rPr>
          <w:rFonts w:ascii="Arial" w:cs="Arial" w:eastAsia="Arial" w:hAnsi="Arial"/>
          <w:color w:val="555555"/>
          <w:sz w:val="20"/>
          <w:szCs w:val="20"/>
        </w:rPr>
        <w:t xml:space="preserve">The unit of work is one postcode area per run. Scaling to more territory is adding more scheduled runs, not redesigning the system — the architecture was built for this from the start rather than retrofitted.</w:t>
      </w:r>
    </w:p>
    <w:p>
      <w:pPr>
        <w:spacing w:after="60"/>
      </w:pPr>
      <w:r>
        <w:t xml:space="preserve"/>
      </w:r>
    </w:p>
    <w:p>
      <w:pPr>
        <w:pStyle w:val="Heading2"/>
        <w:spacing w:after="120" w:before="240"/>
      </w:pPr>
      <w:r>
        <w:rPr>
          <w:rFonts w:ascii="Arial" w:cs="Arial" w:eastAsia="Arial" w:hAnsi="Arial"/>
          <w:b/>
          <w:bCs/>
          <w:color w:val="2E6DB4"/>
          <w:sz w:val="26"/>
          <w:szCs w:val="26"/>
        </w:rPr>
        <w:t xml:space="preserve">4.2 Serverless by default</w:t>
      </w:r>
    </w:p>
    <w:p>
      <w:pPr>
        <w:spacing w:after="100"/>
      </w:pPr>
      <w:r>
        <w:rPr>
          <w:rFonts w:ascii="Arial" w:cs="Arial" w:eastAsia="Arial" w:hAnsi="Arial"/>
          <w:color w:val="555555"/>
          <w:sz w:val="20"/>
          <w:szCs w:val="20"/>
        </w:rPr>
        <w:t xml:space="preserve">AWS Lambda functions scale automatically with volume and cost nothing when idle. There is no fixed server capacity to outgrow, and no infrastructure to resize as the business grows into new areas or business types.</w:t>
      </w:r>
    </w:p>
    <w:p>
      <w:pPr>
        <w:spacing w:after="60"/>
      </w:pPr>
      <w:r>
        <w:t xml:space="preserve"/>
      </w:r>
    </w:p>
    <w:p>
      <w:pPr>
        <w:pStyle w:val="Heading2"/>
        <w:spacing w:after="120" w:before="240"/>
      </w:pPr>
      <w:r>
        <w:rPr>
          <w:rFonts w:ascii="Arial" w:cs="Arial" w:eastAsia="Arial" w:hAnsi="Arial"/>
          <w:b/>
          <w:bCs/>
          <w:color w:val="2E6DB4"/>
          <w:sz w:val="26"/>
          <w:szCs w:val="26"/>
        </w:rPr>
        <w:t xml:space="preserve">4.3 Planned expansion paths, already designed for</w:t>
      </w:r>
    </w:p>
    <w:p>
      <w:pPr>
        <w:pStyle w:val="ListParagraph"/>
        <w:numPr>
          <w:ilvl w:val="0"/>
          <w:numId w:val="2"/>
        </w:numPr>
        <w:spacing w:after="60"/>
      </w:pPr>
      <w:r>
        <w:rPr>
          <w:rFonts w:ascii="Arial" w:cs="Arial" w:eastAsia="Arial" w:hAnsi="Arial"/>
          <w:color w:val="555555"/>
          <w:sz w:val="20"/>
          <w:szCs w:val="20"/>
        </w:rPr>
        <w:t xml:space="preserve">New business types beyond restaurants (butchers, supermarkets) — supported by the existing FSA-address-matching approach, which is not restaurant-specific</w:t>
      </w:r>
    </w:p>
    <w:p>
      <w:pPr>
        <w:pStyle w:val="ListParagraph"/>
        <w:numPr>
          <w:ilvl w:val="0"/>
          <w:numId w:val="2"/>
        </w:numPr>
        <w:spacing w:after="60"/>
      </w:pPr>
      <w:r>
        <w:rPr>
          <w:rFonts w:ascii="Arial" w:cs="Arial" w:eastAsia="Arial" w:hAnsi="Arial"/>
          <w:color w:val="555555"/>
          <w:sz w:val="20"/>
          <w:szCs w:val="20"/>
        </w:rPr>
        <w:t xml:space="preserve">Off-platform businesses — the original Google Places / FSA-register sweep approach becomes the Phase 2 discovery source for businesses that avoid delivery platform commissions entirely</w:t>
      </w:r>
    </w:p>
    <w:p>
      <w:pPr>
        <w:pStyle w:val="ListParagraph"/>
        <w:numPr>
          <w:ilvl w:val="0"/>
          <w:numId w:val="2"/>
        </w:numPr>
        <w:spacing w:after="60"/>
      </w:pPr>
      <w:r>
        <w:rPr>
          <w:rFonts w:ascii="Arial" w:cs="Arial" w:eastAsia="Arial" w:hAnsi="Arial"/>
          <w:color w:val="555555"/>
          <w:sz w:val="20"/>
          <w:szCs w:val="20"/>
        </w:rPr>
        <w:t xml:space="preserve">Additional postcode territory — no architectural change required, only additional scheduled runs and delivery-area configuration</w:t>
      </w:r>
    </w:p>
    <w:p>
      <w:pPr>
        <w:pStyle w:val="ListParagraph"/>
        <w:numPr>
          <w:ilvl w:val="0"/>
          <w:numId w:val="2"/>
        </w:numPr>
        <w:spacing w:after="60"/>
      </w:pPr>
      <w:r>
        <w:rPr>
          <w:rFonts w:ascii="Arial" w:cs="Arial" w:eastAsia="Arial" w:hAnsi="Arial"/>
          <w:color w:val="555555"/>
          <w:sz w:val="20"/>
          <w:szCs w:val="20"/>
        </w:rPr>
        <w:t xml:space="preserve">Menu-based product classification — the only component of the roadmap that introduces an LLM into the pipeline, deliberately scoped as an optional Phase 2 enrichment rather than a Phase 1 dependency</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5. Performance and Responsiveness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Requirement</w:t>
            </w:r>
          </w:p>
        </w:tc>
        <w:tc>
          <w:tcPr>
            <w:tcW w:type="dxa" w:w="5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Design Response</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 full territory run should complete well within a working day</w:t>
            </w:r>
          </w:p>
        </w:tc>
        <w:tc>
          <w:tcPr>
            <w:tcW w:type="dxa" w:w="5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Serverless parallel processing across Lambda functions; discovery via structured endpoints rather than slow page-by-page scraping wherever possible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Trigger-flagged leads must reach a rep same-day, not after a weekly batch</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Automatic routing bypass built into the scoring/export stage — see Volume 3, Section 3</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The internal dashboard must stay responsive as lead volume grows</w:t>
            </w:r>
          </w:p>
        </w:tc>
        <w:tc>
          <w:tcPr>
            <w:tcW w:type="dxa" w:w="5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PostgreSQL (Supabase) with proper indexing on the fields used for search/filtering by management — designed in from the schema stage, not retrofitted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No single slow external API call should block the whole pipeline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Fallback sources (e.g. Google Places) are called selectively and only for genuinely missing data, minimising the number of slow calls per run</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6. Reliability and Failure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Failure Mode</w:t>
            </w:r>
          </w:p>
        </w:tc>
        <w:tc>
          <w:tcPr>
            <w:tcW w:type="dxa" w:w="6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Handling</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 platform scraper breaks due to anti-bot changes</w:t>
            </w:r>
          </w:p>
        </w:tc>
        <w:tc>
          <w:tcPr>
            <w:tcW w:type="dxa" w:w="6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JustEat public endpoint (most reliable source) remains unaffected; Apify actors are community-maintained and typically patched quickly; manual fallback exists for a single business lookup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 free API (FSA, Companies House) is temporarily unavailable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Lead is held in a pending state rather than discarded — retried on next scheduled run</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 budget cap is hit mid-run</w:t>
            </w:r>
          </w:p>
        </w:tc>
        <w:tc>
          <w:tcPr>
            <w:tcW w:type="dxa" w:w="6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Run pauses gracefully, does not silently continue spending, and is logged for review before resuming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 scoring or matching error is later discovered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Full audit trail (Volume 3, Section 4.2) allows any past run to be reviewed and, if necessary, reprocessed — nothing is a black box</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7. Project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Role</w:t>
            </w:r>
          </w:p>
        </w:tc>
        <w:tc>
          <w:tcPr>
            <w:tcW w:type="dxa" w:w="6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 (Project Owner)</w:t>
            </w:r>
          </w:p>
        </w:tc>
        <w:tc>
          <w:tcPr>
            <w:tcW w:type="dxa" w:w="6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Overall direction, weekly review, quarterly scoring recalibration, budget sign-off, CTO liaison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CTO</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Magna Sales Pro API and field validation (against the 102-field schema in Volume 2), infrastructure and security sign-off</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Sales Manager</w:t>
            </w:r>
          </w:p>
        </w:tc>
        <w:tc>
          <w:tcPr>
            <w:tcW w:type="dxa" w:w="6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Retention diagnosis and remediation (Volume 1, Section 8), onboarding process design, rep coaching on trigger-flagged leads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Telesales Team</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Working assigned leads, logging outcomes that feed the quarterly recalibration loop</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8. Implementation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600"/>
        <w:gridCol w:w="2426"/>
      </w:tblGrid>
      <w:tr>
        <w:tc>
          <w:tcPr>
            <w:tcW w:type="dxa" w:w="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4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Owner</w:t>
            </w:r>
          </w:p>
        </w:tc>
        <w:tc>
          <w:tcPr>
            <w:tcW w:type="dxa" w:w="2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Gate</w:t>
            </w:r>
          </w:p>
        </w:tc>
      </w:tr>
      <w:tr>
        <w:tc>
          <w:tcPr>
            <w:tcW w:type="dxa" w:w="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Return the completed missing-postcode file for existing customer records</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Blocking — deduplication accuracy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CTO validates the 102-field schema against Magna Sales Pro’s API and confirms which fields the CRM can accept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CTO</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Blocking — before build</w:t>
            </w:r>
          </w:p>
        </w:tc>
      </w:tr>
      <w:tr>
        <w:tc>
          <w:tcPr>
            <w:tcW w:type="dxa" w:w="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3</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Set up API accounts: Google Cloud (capped), Companies House key, Apify, JustEat endpoint access</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 hour, no dependency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Build the orchestration routine and Lambda functions per Volume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Zoeb + Claude</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Before MVP</w:t>
            </w:r>
          </w:p>
        </w:tc>
      </w:tr>
      <w:tr>
        <w:tc>
          <w:tcPr>
            <w:tcW w:type="dxa" w:w="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5</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Manual test protocol (Volume 3, Section 7) run on one business end to end</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Gate before any automated run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MVP: one outer code, full pipeline, manual review before first CRM upload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Gate before scale-up</w:t>
            </w:r>
          </w:p>
        </w:tc>
      </w:tr>
      <w:tr>
        <w:tc>
          <w:tcPr>
            <w:tcW w:type="dxa" w:w="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7</w:t>
            </w:r>
          </w:p>
        </w:tc>
        <w:tc>
          <w:tcPr>
            <w:tcW w:type="dxa" w:w="4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Scale sector by sector, weekly cadence begins (Volume 3, Section 5)</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Ongoing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In parallel, not waiting on the pipeline: Sales Manager begins retention diagnosis and top reactivation calls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Sales Manager</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Immediate, independent track</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9. Outstanding Items and 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Item</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Owner</w:t>
            </w:r>
          </w:p>
        </w:tc>
        <w:tc>
          <w:tcPr>
            <w:tcW w:type="dxa" w:w="3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Missing postcode file (existing customer records)</w:t>
            </w:r>
          </w:p>
        </w:tc>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Outstanding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CTO field validation against Magna Sales Pro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CTO</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Outstanding — requested for this week</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Retention diagnosis and onboarding process fix</w:t>
            </w:r>
          </w:p>
        </w:tc>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Sales Manager</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To be briefed via separate retention document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Faizan Khan 95% churn investigation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Outstanding, flagged, not yet actioned</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Menu classification system (Phase 2)</w:t>
            </w:r>
          </w:p>
        </w:tc>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Deferred</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Not started — correctly scoped as post-MVP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Off-platform business discovery (Phase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Deferred</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Not started — correctly scoped as post-MVP</w:t>
            </w:r>
          </w:p>
        </w:tc>
      </w:tr>
    </w:tbl>
    <w:p>
      <w:pPr>
        <w:spacing w:after="60"/>
      </w:pPr>
      <w:r>
        <w:t xml:space="preserve"/>
      </w:r>
    </w:p>
    <w:p>
      <w:pPr>
        <w:spacing w:after="60"/>
      </w:pPr>
      <w:r>
        <w:t xml:space="preserve"/>
      </w:r>
    </w:p>
    <w:p>
      <w:pPr>
        <w:spacing w:before="200"/>
        <w:jc w:val="center"/>
      </w:pPr>
      <w:r>
        <w:rPr>
          <w:rFonts w:ascii="Arial" w:cs="Arial" w:eastAsia="Arial" w:hAnsi="Arial"/>
          <w:i/>
          <w:iCs/>
          <w:color w:val="555555"/>
          <w:sz w:val="17"/>
          <w:szCs w:val="17"/>
        </w:rPr>
        <w:t xml:space="preserve">Magna Foodservice — Volume 4 of 4 — Security, Scale &amp; Governance — July 2026</w:t>
      </w:r>
    </w:p>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5"/>
        <w:szCs w:val="15"/>
      </w:rPr>
      <w:t xml:space="preserve">Page </w:t>
    </w:r>
    <w:r>
      <w:rPr>
        <w:rFonts w:ascii="Arial" w:cs="Arial" w:eastAsia="Arial" w:hAnsi="Arial"/>
        <w:color w:val="CCCCC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CCCC"/>
        <w:sz w:val="15"/>
        <w:szCs w:val="15"/>
      </w:rPr>
      <w:t xml:space="preserve">Magna Foodservice — Lead Intelligence System — Vol. 4 — Security, Scale &amp;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2026-07-08T23:05:27.792Z</dcterms:created>
  <dcterms:modified xsi:type="dcterms:W3CDTF">2026-07-08T23:05:27.792Z</dcterms:modified>
</cp:coreProperties>
</file>

<file path=docProps/custom.xml><?xml version="1.0" encoding="utf-8"?>
<Properties xmlns="http://schemas.openxmlformats.org/officeDocument/2006/custom-properties" xmlns:vt="http://schemas.openxmlformats.org/officeDocument/2006/docPropsVTypes"/>
</file>