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27C3" w:rsidRDefault="00425366" w14:paraId="3D86747F" w14:textId="02E9B7F0">
      <w:pPr>
        <w:pStyle w:val="Titre1"/>
      </w:pPr>
      <w:r>
        <w:t xml:space="preserve">ATTESTATION DE DÉPLACEMENT PROFESSIONNEL EN TRANSPORT PUBLIC COLLECTIF </w:t>
      </w:r>
    </w:p>
    <w:p w:rsidR="000727C3" w:rsidRDefault="000727C3" w14:paraId="6A3007EC" w14:textId="77777777">
      <w:pPr>
        <w:pStyle w:val="Titre1"/>
        <w:rPr>
          <w:rFonts w:ascii="Marianne Light" w:hAnsi="Marianne Light"/>
          <w:sz w:val="20"/>
          <w:szCs w:val="20"/>
        </w:rPr>
      </w:pPr>
    </w:p>
    <w:p w:rsidR="000727C3" w:rsidRDefault="000727C3" w14:paraId="1EA356F4" w14:textId="4F6294A4"/>
    <w:sectPr w:rsidR="000727C3">
      <w:footerReference w:type="default" r:id="rId8"/>
      <w:pgSz w:w="11906" w:h="16838"/>
      <w:pgMar w:top="1006" w:right="1440" w:bottom="936" w:left="1440" w:header="0" w:footer="0" w:gutter="0"/>
      <w:cols w:space="720"/>
      <w:formProt w:val="0"/>
      <w:docGrid w:linePitch="360"/>
    </w:sectPr>
    <w:p>
      <w:pPr>
        <w:jc w:val="both"/>
        <w:pStyle w:val="Normal"/>
      </w:pPr>
      <w:r>
        <w:t>&lt;&lt;test&gt;&gt;</w:t>
      </w:r>
    </w:p>
    <w:p>
      <w:pPr>
        <w:jc w:val="both"/>
        <w:pStyle w:val="Normal"/>
      </w:pPr>
      <w:r>
        <w:t> </w:t>
      </w:r>
    </w:p>
    <w:p>
      <w:pPr>
        <w:jc w:val="both"/>
        <w:pStyle w:val="Normal"/>
      </w:pPr>
      <w:r>
        <w:t>Mon tableau</w:t>
      </w:r>
    </w:p>
    <w:p>
      <w:pPr>
        <w:jc w:val="both"/>
        <w:pStyle w:val="Normal"/>
      </w:pPr>
      <w:r>
        <w:t> </w:t>
      </w:r>
    </w:p>
    <w:tbl>
      <w:tr>
        <w:trPr>
          <w:cantSplit/>
        </w:trPr>
        <w:tc>
          <w:tcPr>
            <w:tcW w:w="6400" w:type="dxa"/>
            <w:shd w:val="clear"/>
          </w:tcPr>
          <w:p>
            <w:pPr>
              <w:keepNext/>
            </w:pPr>
            <w:pPr>
              <w:jc w:val="center"/>
            </w:pPr>
            <w:r>
              <w:t/>
            </w:r>
          </w:p>
        </w:tc>
        <w:tc>
          <w:tcPr>
            <w:tcW w:w="6400" w:type="dxa"/>
            <w:shd w:val="clear"/>
          </w:tcPr>
          <w:p>
            <w:pPr>
              <w:keepNext/>
            </w:pPr>
            <w:pPr>
              <w:jc w:val="center"/>
            </w:pPr>
            <w:r>
              <w:t/>
            </w:r>
          </w:p>
        </w:tc>
        <w:tc>
          <w:tcPr>
            <w:tcW w:w="6400" w:type="dxa"/>
            <w:shd w:val="clear"/>
          </w:tcPr>
          <w:p>
            <w:pPr>
              <w:keepNext/>
            </w:pPr>
            <w:pPr>
              <w:jc w:val="center"/>
            </w:pPr>
            <w:r>
              <w:t/>
            </w:r>
          </w:p>
        </w:tc>
        <w:tc>
          <w:tcPr>
            <w:tcW w:w="6400" w:type="dxa"/>
            <w:shd w:val="clear"/>
          </w:tcPr>
          <w:p>
            <w:pPr>
              <w:keepNext/>
            </w:pPr>
            <w:pPr>
              <w:jc w:val="center"/>
            </w:pPr>
            <w:r>
              <w:t/>
            </w:r>
          </w:p>
        </w:tc>
      </w:tr>
      <w:tr>
        <w:trPr>
          <w:cantSplit/>
        </w:trPr>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r>
      <w:tr>
        <w:trPr>
          <w:cantSplit/>
        </w:trPr>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r>
      <w:tr>
        <w:trPr>
          <w:cantSplit/>
        </w:trPr>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r>
      <w:tr>
        <w:trPr>
          <w:cantSplit/>
        </w:trPr>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r>
      <w:tr>
        <w:trPr>
          <w:cantSplit/>
        </w:trPr>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c>
          <w:tcPr>
            <w:tcW w:w="6400" w:type="dxa"/>
          </w:tcPr>
          <w:p>
            <w:pPr>
              <w:keepNext/>
            </w:pPr>
            <w:pPr>
              <w:jc w:val="center"/>
            </w:pPr>
            <w:r>
              <w:t/>
            </w:r>
          </w:p>
        </w:tc>
      </w:tr>
    </w:tbl>
    <w:p>
      <w:r>
        <w:drawing>
          <wp:inline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a1651c858ee34c85" cstate="print">
                      <a:extLst>
                        <a:ext uri=""/>
                      </a:extLst>
                    </a:blip>
                    <a:stretch>
                      <a:fillRect/>
                    </a:stretch>
                  </pic:blipFill>
                  <pic:spPr>
                    <a:xfrm>
                      <a:off x="0" y="0"/>
                      <a:ext cx="990000" cy="792000"/>
                    </a:xfrm>
                    <a:prstGeom prst="rect">
                      <a:avLst/>
                    </a:prstGeom>
                  </pic:spPr>
                </pic:pic>
              </a:graphicData>
            </a:graphic>
          </wp:inline>
        </w:drawing>
      </w:r>
    </w:p>
    <w:p>
      <w:pPr>
        <w:jc w:val="left"/>
        <w:pStyle w:val="Titre1"/>
      </w:pPr>
      <w:r>
        <w:t>Opinion</w:t>
      </w:r>
    </w:p>
    <w:p>
      <w:pPr>
        <w:jc w:val="both"/>
        <w:pStyle w:val="Normal"/>
      </w:pPr>
      <w:r>
        <w:t>En exécution de la mission qui nous a été confiée par l'associé unique, nous avons effectué l’audit des comptes annuels de la société SAS GIRASOL 3 relatifs à l’exercice  clos le , tels qu’ils sont joints au présent rapport.</w:t>
      </w:r>
    </w:p>
    <w:p>
      <w:pPr>
        <w:jc w:val="both"/>
        <w:pStyle w:val="Normal"/>
      </w:pPr>
      <w:r>
        <w:t>Nous certifions que les comptes annuels sont, au regard des règles et principes comptables français, réguliers et sincères et donnent une image fidèle du résultat des opérations de l’exercice écoulé ainsi que de la situation financière et du patrimoine de la société à la fin de cet exercice.</w:t>
      </w:r>
    </w:p>
    <w:p>
      <w:pPr>
        <w:jc w:val="left"/>
        <w:pStyle w:val="Titre1"/>
      </w:pPr>
      <w:r>
        <w:t>Fondement de l'opinion</w:t>
      </w:r>
    </w:p>
    <w:p>
      <w:pPr>
        <w:jc w:val="left"/>
        <w:pStyle w:val="Titre2"/>
      </w:pPr>
      <w:r>
        <w:t>Référentiel d'audit</w:t>
      </w:r>
    </w:p>
    <w:p>
      <w:pPr>
        <w:jc w:val="both"/>
        <w:pStyle w:val="Normal"/>
      </w:pPr>
      <w:r>
        <w:t>Nous avons effectué notre audit selon les normes d'exercice professionnel applicables en France. Nous estimons que les éléments que nous avons collectés sont suffisants et appropriés pour fonder notre opinion.</w:t>
      </w:r>
    </w:p>
    <w:p>
      <w:pPr>
        <w:jc w:val="both"/>
        <w:pStyle w:val="Normal"/>
      </w:pPr>
      <w:r>
        <w:t>Les responsabilités qui nous incombent en vertu de ces normes sont indiquées dans la partie "Responsabilités du commissaire aux comptes relatives à l'audit des comptes annuels" du présent rapport.</w:t>
      </w:r>
    </w:p>
    <w:p>
      <w:pPr>
        <w:jc w:val="left"/>
        <w:pStyle w:val="Titre2"/>
      </w:pPr>
      <w:r>
        <w:t>Indépendance</w:t>
      </w:r>
    </w:p>
    <w:p>
      <w:pPr>
        <w:jc w:val="both"/>
        <w:pStyle w:val="Normal"/>
      </w:pPr>
      <w:r>
        <w:t>Nous avons réalisé notre mission d’audit dans le respect des règles d’indépendance qui nous sont applicables, sur la période du  à la date d’émission de notre rapport, et notamment nous n’avons pas fourni de services interdits par le code de déontologie de la profession de commissaire aux comptes.</w:t>
      </w:r>
    </w:p>
    <w:p>
      <w:pPr>
        <w:jc w:val="left"/>
        <w:pStyle w:val="Titre1"/>
      </w:pPr>
      <w:r>
        <w:t>Justification des appréciations</w:t>
      </w:r>
    </w:p>
    <w:p>
      <w:pPr>
        <w:jc w:val="both"/>
        <w:pStyle w:val="Normal"/>
      </w:pPr>
      <w:r>
        <w:t>En application des dispositions des articles L.823-9 et R.823-7 du code de commerce relatives à la justification de nos appréciations, nous vous informons que les appréciations les plus importantes auxquelles nous avons procédé, selon notre jugement professionnel, ont porté sur le caractère approprié des principes comptables appliqués [le cas échéant : et sur le caractère raisonnable des estimations significatives retenues et sur la présentation d’ensemble des comptes], [notamment pour ce qui concerne: &lt;&lt; indiquer les éléments concernés &gt;&gt; ] .</w:t>
      </w:r>
    </w:p>
    <w:p>
      <w:pPr>
        <w:jc w:val="both"/>
        <w:pStyle w:val="Normal"/>
      </w:pPr>
      <w:r>
        <w:t>Les appréciations ainsi portées s'inscrivent dans le contexte de l'audit des comptes annuels pris dans leur ensemble et de la formation de notre opinion exprimée ci-avant. Nous n'exprimons pas d'opinion sur des éléments de ces comptes annuels pris isolément.</w:t>
      </w:r>
    </w:p>
    <w:p>
      <w:pPr>
        <w:jc w:val="left"/>
        <w:pStyle w:val="Titre1"/>
      </w:pPr>
      <w:r>
        <w:t>Vérifications spécifiques</w:t>
      </w:r>
    </w:p>
    <w:p>
      <w:pPr>
        <w:jc w:val="both"/>
        <w:pStyle w:val="Normal"/>
      </w:pPr>
      <w:r>
        <w:t>Nous avons également procédé, conformément aux normes d’exercice professionnel applicables en France, aux vérifications spécifiques prévues par les textes légaux et réglementaires.</w:t>
      </w:r>
    </w:p>
    <w:p>
      <w:pPr>
        <w:jc w:val="both"/>
        <w:pStyle w:val="Normal"/>
      </w:pPr>
      <w:r>
        <w:t>Nous n'avons pas d'observation à formuler sur la sincérité et la concordance avec les comptes annuels des informations données dans le rapport de gestion du Président et dans les autres documents sur la situation financière et les comptes annuels adressés à l'associé unique.</w:t>
      </w:r>
    </w:p>
    <w:p>
      <w:pPr>
        <w:jc w:val="both"/>
        <w:pStyle w:val="Normal"/>
      </w:pPr>
      <w:r>
        <w:t>Nous attestons de la sincérité et de la concordance avec les comptes annuels des informations relatives aux délais de paiement mentionnées à l'article D.441-4 du code de commerce.</w:t>
      </w:r>
    </w:p>
    <w:p>
      <w:pPr>
        <w:jc w:val="both"/>
        <w:pStyle w:val="Normal"/>
      </w:pPr>
      <w:r>
        <w:t>En application de la loi, nous vous signalons que la déclaration de performance extra-financière prévue par l’article L.225-102-1 du code de commerce ne figure pas dans le rapport de gestion et que vos gérants n’ont pas procédé à la désignation d’un organisme tiers indépendant chargé de sa vérification.</w:t>
      </w:r>
    </w:p>
    <w:p>
      <w:pPr>
        <w:jc w:val="both"/>
        <w:pStyle w:val="Normal"/>
      </w:pPr>
      <w:r>
        <w:t>En application de la loi, nous vous signalons que la déclaration de performance extra-financière ne comprend pas &lt;&lt;à décrire&gt;&gt; requis(es) par l’article R. 225-105 du code de commerce et que  n’ont pas procédé à la désignation d’un organisme tiers indépendant chargé de sa vérification.</w:t>
      </w:r>
    </w:p>
    <w:p>
      <w:pPr>
        <w:jc w:val="left"/>
        <w:pStyle w:val="Titre1"/>
      </w:pPr>
      <w:r>
        <w:t>Responsabilités de la direction et des personnes constituant le gouvernement d'entreprise relatives aux comptes annuels</w:t>
      </w:r>
    </w:p>
    <w:p>
      <w:pPr>
        <w:jc w:val="both"/>
        <w:pStyle w:val="Normal"/>
      </w:pPr>
      <w:r>
        <w:t>Il appartient à la direction d’établir des comptes annuels présentant une image fidèle conformément aux règles et principes comptables français ainsi que de mettre en place le contrôle interne qu'elle estime nécessaire à l'établissement de comptes annuels ne comportant pas d'anomalies significatives, que celles-ci proviennent de fraudes ou résultent d'erreurs.</w:t>
      </w:r>
    </w:p>
    <w:p>
      <w:pPr>
        <w:jc w:val="both"/>
        <w:pStyle w:val="Normal"/>
      </w:pPr>
      <w:r>
        <w:t>Lors de l’établissement des comptes annuels, il incombe à la direction d’évaluer la capacité de la société à poursuivre son exploitation, de présenter dans ces comptes, le cas échéant, les informations nécessaires relatives à la continuité d’exploitation et d’appliquer la convention comptable de continuité d’exploitation, sauf s’il est prévu de liquider la société ou de cesser son activité.</w:t>
      </w:r>
    </w:p>
    <w:p>
      <w:pPr>
        <w:jc w:val="both"/>
        <w:pStyle w:val="Normal"/>
      </w:pPr>
      <w:r>
        <w:t>Les comptes annuels ont été arrêtés par le Président.</w:t>
      </w:r>
    </w:p>
    <w:p>
      <w:pPr>
        <w:jc w:val="left"/>
        <w:pStyle w:val="Titre1"/>
      </w:pPr>
      <w:r>
        <w:t>Responsabilités du commissaire aux comptes relatives à l’audit des comptes annuels</w:t>
      </w:r>
    </w:p>
    <w:p>
      <w:pPr>
        <w:jc w:val="both"/>
        <w:pStyle w:val="Normal"/>
      </w:pPr>
      <w:r>
        <w:t>Il nous appartient d’établir un rapport sur les comptes annuels. Notre objectif est d’obtenir l’assurance raisonnable que les comptes annuels pris dans leur ensemble ne comportent pas d’anomalies significatives. L’assurance raisonnable correspond à un niveau élevé d’assurance, sans toutefois garantir qu’un audit réalisé conformément aux normes d’exercice professionnel permet de systématiquement détecter toute anomalie significative. Les anomalies peuvent provenir de fraudes ou résulter d’erreurs et sont considérées comme significatives lorsque l’on peut raisonnablement s’attendre à ce qu’elles puissent, prises individuellement ou en cumulé, influencer les décisions économiques que les utilisateurs des comptes prennent en se fondant sur ceux-ci. </w:t>
      </w:r>
    </w:p>
    <w:p>
      <w:pPr>
        <w:jc w:val="both"/>
        <w:pStyle w:val="Normal"/>
      </w:pPr>
      <w:r>
        <w:t>Comme précisé par l’article L.823-10-1 du code de commerce, notre mission de certification des comptes ne consiste pas à garantir la viabilité ou la qualité de la gestion de votre société.</w:t>
      </w:r>
    </w:p>
    <w:p>
      <w:pPr>
        <w:jc w:val="both"/>
        <w:pStyle w:val="Normal"/>
      </w:pPr>
      <w:r>
        <w:t>Dans le cadre d’un audit réalisé conformément aux normes d’exercice professionnel applicables en France, le commissaire aux comptes exerce son jugement professionnel tout au long de cet audit. En outre :</w:t>
      </w:r>
    </w:p>
    <w:p>
      <w:pPr>
        <w:jc w:val="both"/>
        <w:pStyle w:val="Normal"/>
      </w:pPr>
      <w:r>
        <w:t>•	il identifie et évalue les risques que les comptes annuels comportent des anomalies significatives, que celles-ci proviennent de fraudes ou résultent d’erreurs, définit et met en œuvre des procédures d’audit face à ces risques, et recueille des éléments qu’il estime suffisants et appropriés pour fonder son opinion. Le risque de non-détection d’une anomalie significative provenant d’une fraude est plus élevé que celui d’une anomalie significative résultant d’une erreur, car la fraude peut impliquer la collusion, la falsification, les omissions volontaires, les fausses déclarations ou le contournement du contrôle interne ;</w:t>
      </w:r>
    </w:p>
    <w:p>
      <w:pPr>
        <w:jc w:val="both"/>
        <w:pStyle w:val="Normal"/>
      </w:pPr>
      <w:r>
        <w:t>•	il prend connaissance du contrôle interne pertinent pour l’audit afin de définir des procédures d’audit appropriées en la circonstance, et non dans le but d’exprimer une opinion sur l’efficacité du contrôle interne ;</w:t>
      </w:r>
    </w:p>
    <w:p>
      <w:pPr>
        <w:jc w:val="both"/>
        <w:pStyle w:val="Normal"/>
      </w:pPr>
      <w:r>
        <w:t>•	il apprécie le caractère approprié des méthodes comptables retenues et le caractère raisonnable des estimations comptables faites par la direction, ainsi que les informations les concernant fournies dans les comptes annuels ;</w:t>
      </w:r>
    </w:p>
    <w:p>
      <w:pPr>
        <w:jc w:val="both"/>
        <w:pStyle w:val="Normal"/>
      </w:pPr>
      <w:r>
        <w:t>•	il apprécie le caractère approprié de l’application par la direction de la convention comptable de continuité d’exploitation et, selon les éléments collectés, l’existence ou non d’une incertitude significative liée à des événements ou à des circonstances susceptibles de mettre en cause la capacité de la société à poursuivre son exploitation. Cette appréciation s’appuie sur les éléments collectés jusqu’à la date de son rapport, étant toutefois rappelé que des circonstances ou événements ultérieurs pourraient mettre en cause la continuité d’exploitation. S’il conclut à l’existence d’une incertitude significative, il attire l’attention des lecteurs de son rapport sur les informations fournies dans les comptes annuels au sujet de cette incertitude ou, si ces informations ne sont pas fournies ou ne sont pas pertinentes, il formule une certification avec réserve ou un refus de certifier;</w:t>
      </w:r>
    </w:p>
    <w:p>
      <w:pPr>
        <w:jc w:val="both"/>
        <w:pStyle w:val="Normal"/>
      </w:pPr>
      <w:r>
        <w:t>•	il apprécie la présentation d’ensemble des comptes annuels et évalue si les comptes annuels reflètent les opérations et événements sous-jacents de manière à en donner une image fidèle.</w:t>
      </w:r>
    </w:p>
    <w:p>
      <w:pPr>
        <w:jc w:val="both"/>
        <w:pStyle w:val="Normal"/>
      </w:pPr>
      <w:r>
        <w:t>Le commissaire aux comptes</w:t>
      </w:r>
    </w:p>
    <w:p>
      <w:pPr>
        <w:jc w:val="both"/>
        <w:pStyle w:val="Normal"/>
      </w:pPr>
      <w:r>
        <w:t> </w:t>
      </w:r>
    </w:p>
    <w:tbl>
      <w:tblPr>
        <w:tblBorders>
          <w:top w:val="thick" w:sz="5"/>
          <w:bottom w:val="thick" w:sz="5"/>
          <w:left w:val="thick" w:sz="5"/>
          <w:right w:val="thick" w:sz="5"/>
          <w:insideH w:val="thick" w:sz="5"/>
          <w:insideV w:val="thick" w:sz="1"/>
        </w:tblBorders>
      </w:tblP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Paris La Défense, le 08/07/2020</w:t>
            </w:r>
          </w:p>
        </w:tc>
        <w:tc>
          <w:tcPr>
            <w:tcW w:w="6400" w:type="dxa"/>
          </w:tcPr>
          <w:p>
            <w:pPr>
              <w:keepNext/>
            </w:pPr>
            <w:pPr>
              <w:jc w:val="left"/>
            </w:pPr>
            <w:r>
              <w:t/>
            </w:r>
          </w:p>
        </w:tc>
      </w:t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KPMG AUDIT FS I SAS</w:t>
            </w:r>
          </w:p>
        </w:tc>
        <w:tc>
          <w:tcPr>
            <w:tcW w:w="6400" w:type="dxa"/>
          </w:tcPr>
          <w:p>
            <w:pPr>
              <w:keepNext/>
            </w:pPr>
            <w:pPr>
              <w:jc w:val="left"/>
            </w:pPr>
            <w:r>
              <w:t/>
            </w:r>
          </w:p>
        </w:tc>
      </w:t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
            </w:r>
          </w:p>
        </w:tc>
      </w:t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
            </w:r>
          </w:p>
        </w:tc>
      </w:t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
            </w:r>
          </w:p>
        </w:tc>
      </w:t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Ulrich Sarfati </w:t>
            </w:r>
          </w:p>
        </w:tc>
        <w:tc>
          <w:tcPr>
            <w:tcW w:w="6400" w:type="dxa"/>
          </w:tcPr>
          <w:p>
            <w:pPr>
              <w:keepNext/>
            </w:pPr>
            <w:pPr>
              <w:jc w:val="left"/>
            </w:pPr>
            <w:r>
              <w:t/>
            </w:r>
          </w:p>
        </w:tc>
      </w:tr>
      <w:tr>
        <w:trPr>
          <w:cantSplit/>
        </w:trPr>
        <w:tc>
          <w:tcPr>
            <w:tcW w:w="6400" w:type="dxa"/>
          </w:tcPr>
          <w:p>
            <w:pPr>
              <w:keepNext/>
            </w:pPr>
            <w:pPr>
              <w:jc w:val="left"/>
            </w:pPr>
            <w:r>
              <w:t/>
            </w:r>
          </w:p>
        </w:tc>
        <w:tc>
          <w:tcPr>
            <w:tcW w:w="6400" w:type="dxa"/>
          </w:tcPr>
          <w:p>
            <w:pPr>
              <w:keepNext/>
            </w:pPr>
            <w:pPr>
              <w:jc w:val="left"/>
            </w:pPr>
            <w:r>
              <w:t/>
            </w:r>
          </w:p>
        </w:tc>
        <w:tc>
          <w:tcPr>
            <w:tcW w:w="6400" w:type="dxa"/>
          </w:tcPr>
          <w:p>
            <w:pPr>
              <w:keepNext/>
            </w:pPr>
            <w:pPr>
              <w:jc w:val="left"/>
            </w:pPr>
            <w:r>
              <w:t>Associé</w:t>
            </w:r>
          </w:p>
        </w:tc>
        <w:tc>
          <w:tcPr>
            <w:tcW w:w="6400" w:type="dxa"/>
          </w:tcPr>
          <w:p>
            <w:pPr>
              <w:keepNext/>
            </w:pPr>
            <w:pPr>
              <w:jc w:val="left"/>
            </w:pPr>
            <w:r>
              <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A4689" w14:textId="77777777" w:rsidR="009F2235" w:rsidRDefault="009F2235">
      <w:r>
        <w:separator/>
      </w:r>
    </w:p>
  </w:endnote>
  <w:endnote w:type="continuationSeparator" w:id="0">
    <w:p w14:paraId="5F1AF9B0" w14:textId="77777777" w:rsidR="009F2235" w:rsidRDefault="009F2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Marianne ExtraBold">
    <w:altName w:val="Calibri"/>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Marianne Light">
    <w:altName w:val="Times New Roman"/>
    <w:charset w:val="00"/>
    <w:family w:val="roman"/>
    <w:pitch w:val="variable"/>
  </w:font>
  <w:font w:name="Marianne">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D42A9" w:rsidP="00FD42A9" w:rsidRDefault="00FD42A9" w14:paraId="3EC307AF" w14:textId="5CD55969">
    <w:pPr>
      <w:jc w:val="both"/>
    </w:pPr>
    <w:r>
      <w:rPr>
        <w:rStyle w:val="Appelnotedebasdep"/>
      </w:rPr>
      <w:footnoteRef/>
    </w:r>
    <w:r>
      <w:t xml:space="preserve"> </w:t>
    </w:r>
    <w:r>
      <w:rPr>
        <w:rFonts w:ascii="Marianne Light" w:hAnsi="Marianne Light"/>
        <w:sz w:val="18"/>
        <w:szCs w:val="18"/>
      </w:rPr>
      <w:t>Les horaires sont donnés ici à titre exceptionnel pour répondre à la demande des pouvoirs publics et contribuer à ne pas saturer les transports parisiens aux heures de pointe, ils ne sauraient préjuger d’un horaire fixe pour les personnes qui n’y sont pas assujetties.</w:t>
    </w:r>
  </w:p>
  <w:p w:rsidR="00FD42A9" w:rsidP="00FD42A9" w:rsidRDefault="00FD42A9" w14:paraId="5B0A9AE4" w14:textId="77777777">
    <w:pPr>
      <w:jc w:val="both"/>
    </w:pPr>
    <w:r>
      <w:rPr>
        <w:rFonts w:ascii="Marianne Light" w:hAnsi="Marianne Light"/>
        <w:sz w:val="18"/>
        <w:szCs w:val="18"/>
      </w:rPr>
      <w:t>2- Indiquer tous les lieux d’exercice de l’</w:t>
    </w:r>
    <w:proofErr w:type="spellStart"/>
    <w:r>
      <w:rPr>
        <w:rFonts w:ascii="Marianne Light" w:hAnsi="Marianne Light"/>
        <w:sz w:val="18"/>
        <w:szCs w:val="18"/>
      </w:rPr>
      <w:t>activite</w:t>
    </w:r>
    <w:proofErr w:type="spellEnd"/>
    <w:r>
      <w:rPr>
        <w:rFonts w:ascii="Marianne Light" w:hAnsi="Marianne Light"/>
        <w:sz w:val="18"/>
        <w:szCs w:val="18"/>
      </w:rPr>
      <w:t xml:space="preserve">́ du salarié, sauf si la nature </w:t>
    </w:r>
    <w:proofErr w:type="spellStart"/>
    <w:r>
      <w:rPr>
        <w:rFonts w:ascii="Marianne Light" w:hAnsi="Marianne Light"/>
        <w:sz w:val="18"/>
        <w:szCs w:val="18"/>
      </w:rPr>
      <w:t>même</w:t>
    </w:r>
    <w:proofErr w:type="spellEnd"/>
    <w:r>
      <w:rPr>
        <w:rFonts w:ascii="Marianne Light" w:hAnsi="Marianne Light"/>
        <w:sz w:val="18"/>
        <w:szCs w:val="18"/>
      </w:rPr>
      <w:t xml:space="preserve"> de cette </w:t>
    </w:r>
    <w:proofErr w:type="spellStart"/>
    <w:r>
      <w:rPr>
        <w:rFonts w:ascii="Marianne Light" w:hAnsi="Marianne Light"/>
        <w:sz w:val="18"/>
        <w:szCs w:val="18"/>
      </w:rPr>
      <w:t>activite</w:t>
    </w:r>
    <w:proofErr w:type="spellEnd"/>
    <w:r>
      <w:rPr>
        <w:rFonts w:ascii="Marianne Light" w:hAnsi="Marianne Light"/>
        <w:sz w:val="18"/>
        <w:szCs w:val="18"/>
      </w:rPr>
      <w:t xml:space="preserve">́, qui doit </w:t>
    </w:r>
    <w:proofErr w:type="spellStart"/>
    <w:r>
      <w:rPr>
        <w:rFonts w:ascii="Marianne Light" w:hAnsi="Marianne Light"/>
        <w:sz w:val="18"/>
        <w:szCs w:val="18"/>
      </w:rPr>
      <w:t>être</w:t>
    </w:r>
    <w:proofErr w:type="spellEnd"/>
    <w:r>
      <w:rPr>
        <w:rFonts w:ascii="Marianne Light" w:hAnsi="Marianne Light"/>
        <w:sz w:val="18"/>
        <w:szCs w:val="18"/>
      </w:rPr>
      <w:t xml:space="preserve"> scrupuleusement </w:t>
    </w:r>
    <w:proofErr w:type="spellStart"/>
    <w:r>
      <w:rPr>
        <w:rFonts w:ascii="Marianne Light" w:hAnsi="Marianne Light"/>
        <w:sz w:val="18"/>
        <w:szCs w:val="18"/>
      </w:rPr>
      <w:t>renseignée</w:t>
    </w:r>
    <w:proofErr w:type="spellEnd"/>
    <w:r>
      <w:rPr>
        <w:rFonts w:ascii="Marianne Light" w:hAnsi="Marianne Light"/>
        <w:sz w:val="18"/>
        <w:szCs w:val="18"/>
      </w:rPr>
      <w:t xml:space="preserve">, ne permet pas de les </w:t>
    </w:r>
    <w:proofErr w:type="spellStart"/>
    <w:r>
      <w:rPr>
        <w:rFonts w:ascii="Marianne Light" w:hAnsi="Marianne Light"/>
        <w:sz w:val="18"/>
        <w:szCs w:val="18"/>
      </w:rPr>
      <w:t>connaître</w:t>
    </w:r>
    <w:proofErr w:type="spellEnd"/>
    <w:r>
      <w:rPr>
        <w:rFonts w:ascii="Marianne Light" w:hAnsi="Marianne Light"/>
        <w:sz w:val="18"/>
        <w:szCs w:val="18"/>
      </w:rPr>
      <w:t xml:space="preserve"> à l’avance (par exemple : livraisons, interventions sur appel, etc.).</w:t>
    </w:r>
  </w:p>
  <w:p w:rsidR="00FD42A9" w:rsidP="00FD42A9" w:rsidRDefault="00FD42A9" w14:paraId="4174CC61" w14:textId="7FD40295">
    <w:pPr>
      <w:jc w:val="both"/>
    </w:pPr>
    <w:r w:rsidRPr="00157FE3">
      <w:rPr>
        <w:rFonts w:ascii="Marianne Light" w:hAnsi="Marianne Light"/>
        <w:sz w:val="18"/>
        <w:szCs w:val="18"/>
      </w:rPr>
      <w:t>3</w:t>
    </w:r>
    <w:r>
      <w:rPr>
        <w:rFonts w:ascii="Marianne Light" w:hAnsi="Marianne Light"/>
        <w:sz w:val="18"/>
        <w:szCs w:val="18"/>
      </w:rPr>
      <w:t xml:space="preserve">- La </w:t>
    </w:r>
    <w:proofErr w:type="spellStart"/>
    <w:r>
      <w:rPr>
        <w:rFonts w:ascii="Marianne Light" w:hAnsi="Marianne Light"/>
        <w:sz w:val="18"/>
        <w:szCs w:val="18"/>
      </w:rPr>
      <w:t>durée</w:t>
    </w:r>
    <w:proofErr w:type="spellEnd"/>
    <w:r>
      <w:rPr>
        <w:rFonts w:ascii="Marianne Light" w:hAnsi="Marianne Light"/>
        <w:sz w:val="18"/>
        <w:szCs w:val="18"/>
      </w:rPr>
      <w:t xml:space="preserve"> de </w:t>
    </w:r>
    <w:proofErr w:type="spellStart"/>
    <w:r>
      <w:rPr>
        <w:rFonts w:ascii="Marianne Light" w:hAnsi="Marianne Light"/>
        <w:sz w:val="18"/>
        <w:szCs w:val="18"/>
      </w:rPr>
      <w:t>validite</w:t>
    </w:r>
    <w:proofErr w:type="spellEnd"/>
    <w:r>
      <w:rPr>
        <w:rFonts w:ascii="Marianne Light" w:hAnsi="Marianne Light"/>
        <w:sz w:val="18"/>
        <w:szCs w:val="18"/>
      </w:rPr>
      <w:t xml:space="preserve">́ de ce justificatif est </w:t>
    </w:r>
    <w:proofErr w:type="spellStart"/>
    <w:r>
      <w:rPr>
        <w:rFonts w:ascii="Marianne Light" w:hAnsi="Marianne Light"/>
        <w:sz w:val="18"/>
        <w:szCs w:val="18"/>
      </w:rPr>
      <w:t>déterminée</w:t>
    </w:r>
    <w:proofErr w:type="spellEnd"/>
    <w:r>
      <w:rPr>
        <w:rFonts w:ascii="Marianne Light" w:hAnsi="Marianne Light"/>
        <w:sz w:val="18"/>
        <w:szCs w:val="18"/>
      </w:rPr>
      <w:t xml:space="preserve"> par l’employeur. Il n’est donc pas obligatoire de le renouveler chaque jour. Cette </w:t>
    </w:r>
    <w:proofErr w:type="spellStart"/>
    <w:r>
      <w:rPr>
        <w:rFonts w:ascii="Marianne Light" w:hAnsi="Marianne Light"/>
        <w:sz w:val="18"/>
        <w:szCs w:val="18"/>
      </w:rPr>
      <w:t>durée</w:t>
    </w:r>
    <w:proofErr w:type="spellEnd"/>
    <w:r>
      <w:rPr>
        <w:rFonts w:ascii="Marianne Light" w:hAnsi="Marianne Light"/>
        <w:sz w:val="18"/>
        <w:szCs w:val="18"/>
      </w:rPr>
      <w:t xml:space="preserve"> doit tenir compte de l’organisation du travail mise en place par l’employeur (rotations de personnel par exemple) ainsi que des </w:t>
    </w:r>
    <w:proofErr w:type="spellStart"/>
    <w:r>
      <w:rPr>
        <w:rFonts w:ascii="Marianne Light" w:hAnsi="Marianne Light"/>
        <w:sz w:val="18"/>
        <w:szCs w:val="18"/>
      </w:rPr>
      <w:t>périodes</w:t>
    </w:r>
    <w:proofErr w:type="spellEnd"/>
    <w:r>
      <w:rPr>
        <w:rFonts w:ascii="Marianne Light" w:hAnsi="Marianne Light"/>
        <w:sz w:val="18"/>
        <w:szCs w:val="18"/>
      </w:rPr>
      <w:t xml:space="preserve"> de congé ou de repos. </w:t>
    </w:r>
  </w:p>
  <w:p w:rsidR="00FD42A9" w:rsidRDefault="00FD42A9" w14:paraId="2DF6ABAB"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9022F" w14:textId="77777777" w:rsidR="009F2235" w:rsidRDefault="009F2235">
      <w:r>
        <w:separator/>
      </w:r>
    </w:p>
  </w:footnote>
  <w:footnote w:type="continuationSeparator" w:id="0">
    <w:p w14:paraId="6D7185B8" w14:textId="77777777" w:rsidR="009F2235" w:rsidRDefault="009F2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01326"/>
    <w:multiLevelType w:val="multilevel"/>
    <w:tmpl w:val="93D4D6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BCF624E"/>
    <w:multiLevelType w:val="multilevel"/>
    <w:tmpl w:val="14CAF4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7C3"/>
    <w:rsid w:val="000727C3"/>
    <w:rsid w:val="00157FE3"/>
    <w:rsid w:val="001F7330"/>
    <w:rsid w:val="0022689C"/>
    <w:rsid w:val="003258FB"/>
    <w:rsid w:val="00383D47"/>
    <w:rsid w:val="00407905"/>
    <w:rsid w:val="00425366"/>
    <w:rsid w:val="005E5818"/>
    <w:rsid w:val="0070496A"/>
    <w:rsid w:val="00757B3A"/>
    <w:rsid w:val="00792A23"/>
    <w:rsid w:val="00821FBF"/>
    <w:rsid w:val="009947D5"/>
    <w:rsid w:val="009D5DBE"/>
    <w:rsid w:val="009F2235"/>
    <w:rsid w:val="00A8712F"/>
    <w:rsid w:val="00B10F28"/>
    <w:rsid w:val="00BF2627"/>
    <w:rsid w:val="00E320C2"/>
    <w:rsid w:val="00F73041"/>
    <w:rsid w:val="00FB4B37"/>
    <w:rsid w:val="00FD42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D2A7"/>
  <w15:docId w15:val="{B68BD1CD-5623-4058-A08C-A1132554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Titre1">
    <w:name w:val="heading 1"/>
    <w:basedOn w:val="Normal"/>
    <w:next w:val="Normal"/>
    <w:link w:val="Titre1Car"/>
    <w:uiPriority w:val="9"/>
    <w:qFormat/>
    <w:rsid w:val="00F14F53"/>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Titre2">
    <w:name w:val="heading 2"/>
    <w:basedOn w:val="Normal"/>
    <w:next w:val="Normal"/>
    <w:link w:val="Titre2C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14F53"/>
    <w:rPr>
      <w:rFonts w:ascii="Marianne ExtraBold" w:eastAsiaTheme="majorEastAsia" w:hAnsi="Marianne ExtraBold" w:cstheme="majorBidi"/>
      <w:b/>
      <w:bCs/>
      <w:color w:val="000000" w:themeColor="text1"/>
      <w:sz w:val="32"/>
      <w:szCs w:val="32"/>
      <w:lang w:val="fr-FR"/>
    </w:rPr>
  </w:style>
  <w:style w:type="character" w:customStyle="1" w:styleId="Titre2Car">
    <w:name w:val="Titre 2 Car"/>
    <w:basedOn w:val="Policepardfaut"/>
    <w:link w:val="Titre2"/>
    <w:uiPriority w:val="9"/>
    <w:qFormat/>
    <w:rsid w:val="00223756"/>
    <w:rPr>
      <w:rFonts w:asciiTheme="majorHAnsi" w:eastAsiaTheme="majorEastAsia" w:hAnsiTheme="majorHAnsi" w:cstheme="majorBidi"/>
      <w:color w:val="2F5496" w:themeColor="accent1" w:themeShade="BF"/>
      <w:sz w:val="26"/>
      <w:szCs w:val="26"/>
      <w:lang w:val="fr-FR"/>
    </w:rPr>
  </w:style>
  <w:style w:type="character" w:customStyle="1" w:styleId="ListLabel1">
    <w:name w:val="ListLabel 1"/>
    <w:qFormat/>
    <w:rPr>
      <w:rFonts w:ascii="Marianne Light" w:hAnsi="Marianne Light"/>
      <w:sz w:val="16"/>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Marianne Light" w:hAnsi="Marianne Light" w:cs="Symbol"/>
      <w:sz w:val="16"/>
    </w:rPr>
  </w:style>
  <w:style w:type="character" w:customStyle="1" w:styleId="ListLabel11">
    <w:name w:val="ListLabel 11"/>
    <w:qFormat/>
    <w:rPr>
      <w:rFonts w:cs="Symbol"/>
      <w:sz w:val="20"/>
    </w:rPr>
  </w:style>
  <w:style w:type="character" w:customStyle="1" w:styleId="ListLabel12">
    <w:name w:val="ListLabel 12"/>
    <w:qFormat/>
    <w:rPr>
      <w:rFonts w:cs="Symbol"/>
      <w:sz w:val="20"/>
    </w:rPr>
  </w:style>
  <w:style w:type="character" w:customStyle="1" w:styleId="ListLabel13">
    <w:name w:val="ListLabel 13"/>
    <w:qFormat/>
    <w:rPr>
      <w:rFonts w:cs="Symbol"/>
      <w:sz w:val="20"/>
    </w:rPr>
  </w:style>
  <w:style w:type="character" w:customStyle="1" w:styleId="ListLabel14">
    <w:name w:val="ListLabel 14"/>
    <w:qFormat/>
    <w:rPr>
      <w:rFonts w:cs="Symbol"/>
      <w:sz w:val="20"/>
    </w:rPr>
  </w:style>
  <w:style w:type="character" w:customStyle="1" w:styleId="ListLabel15">
    <w:name w:val="ListLabel 15"/>
    <w:qFormat/>
    <w:rPr>
      <w:rFonts w:cs="Symbol"/>
      <w:sz w:val="20"/>
    </w:rPr>
  </w:style>
  <w:style w:type="character" w:customStyle="1" w:styleId="ListLabel16">
    <w:name w:val="ListLabel 16"/>
    <w:qFormat/>
    <w:rPr>
      <w:rFonts w:cs="Symbol"/>
      <w:sz w:val="20"/>
    </w:rPr>
  </w:style>
  <w:style w:type="character" w:customStyle="1" w:styleId="ListLabel17">
    <w:name w:val="ListLabel 17"/>
    <w:qFormat/>
    <w:rPr>
      <w:rFonts w:cs="Symbol"/>
      <w:sz w:val="20"/>
    </w:rPr>
  </w:style>
  <w:style w:type="character" w:customStyle="1" w:styleId="ListLabel18">
    <w:name w:val="ListLabel 18"/>
    <w:qFormat/>
    <w:rPr>
      <w:rFonts w:cs="Symbol"/>
      <w:sz w:val="20"/>
    </w:rPr>
  </w:style>
  <w:style w:type="character" w:customStyle="1" w:styleId="ListLabel19">
    <w:name w:val="ListLabel 19"/>
    <w:qFormat/>
    <w:rPr>
      <w:rFonts w:ascii="Marianne Light" w:hAnsi="Marianne Light" w:cs="Symbol"/>
      <w:sz w:val="16"/>
    </w:rPr>
  </w:style>
  <w:style w:type="character" w:customStyle="1" w:styleId="ListLabel20">
    <w:name w:val="ListLabel 20"/>
    <w:qFormat/>
    <w:rPr>
      <w:rFonts w:cs="Symbol"/>
      <w:sz w:val="20"/>
    </w:rPr>
  </w:style>
  <w:style w:type="character" w:customStyle="1" w:styleId="ListLabel21">
    <w:name w:val="ListLabel 21"/>
    <w:qFormat/>
    <w:rPr>
      <w:rFonts w:cs="Symbol"/>
      <w:sz w:val="20"/>
    </w:rPr>
  </w:style>
  <w:style w:type="character" w:customStyle="1" w:styleId="ListLabel22">
    <w:name w:val="ListLabel 22"/>
    <w:qFormat/>
    <w:rPr>
      <w:rFonts w:cs="Symbol"/>
      <w:sz w:val="20"/>
    </w:rPr>
  </w:style>
  <w:style w:type="character" w:customStyle="1" w:styleId="ListLabel23">
    <w:name w:val="ListLabel 23"/>
    <w:qFormat/>
    <w:rPr>
      <w:rFonts w:cs="Symbol"/>
      <w:sz w:val="20"/>
    </w:rPr>
  </w:style>
  <w:style w:type="character" w:customStyle="1" w:styleId="ListLabel24">
    <w:name w:val="ListLabel 24"/>
    <w:qFormat/>
    <w:rPr>
      <w:rFonts w:cs="Symbol"/>
      <w:sz w:val="20"/>
    </w:rPr>
  </w:style>
  <w:style w:type="character" w:customStyle="1" w:styleId="ListLabel25">
    <w:name w:val="ListLabel 25"/>
    <w:qFormat/>
    <w:rPr>
      <w:rFonts w:cs="Symbol"/>
      <w:sz w:val="20"/>
    </w:rPr>
  </w:style>
  <w:style w:type="character" w:customStyle="1" w:styleId="ListLabel26">
    <w:name w:val="ListLabel 26"/>
    <w:qFormat/>
    <w:rPr>
      <w:rFonts w:cs="Symbol"/>
      <w:sz w:val="20"/>
    </w:rPr>
  </w:style>
  <w:style w:type="character" w:customStyle="1" w:styleId="ListLabel27">
    <w:name w:val="ListLabel 27"/>
    <w:qFormat/>
    <w:rPr>
      <w:rFonts w:cs="Symbol"/>
      <w:sz w:val="20"/>
    </w:rPr>
  </w:style>
  <w:style w:type="character" w:customStyle="1" w:styleId="ListLabel28">
    <w:name w:val="ListLabel 28"/>
    <w:qFormat/>
    <w:rPr>
      <w:rFonts w:cs="Symbol"/>
      <w:sz w:val="16"/>
    </w:rPr>
  </w:style>
  <w:style w:type="character" w:customStyle="1" w:styleId="ListLabel29">
    <w:name w:val="ListLabel 29"/>
    <w:qFormat/>
    <w:rPr>
      <w:rFonts w:cs="Symbol"/>
      <w:sz w:val="20"/>
    </w:rPr>
  </w:style>
  <w:style w:type="character" w:customStyle="1" w:styleId="ListLabel30">
    <w:name w:val="ListLabel 30"/>
    <w:qFormat/>
    <w:rPr>
      <w:rFonts w:cs="Symbol"/>
      <w:sz w:val="20"/>
    </w:rPr>
  </w:style>
  <w:style w:type="character" w:customStyle="1" w:styleId="ListLabel31">
    <w:name w:val="ListLabel 31"/>
    <w:qFormat/>
    <w:rPr>
      <w:rFonts w:cs="Symbol"/>
      <w:sz w:val="20"/>
    </w:rPr>
  </w:style>
  <w:style w:type="character" w:customStyle="1" w:styleId="ListLabel32">
    <w:name w:val="ListLabel 32"/>
    <w:qFormat/>
    <w:rPr>
      <w:rFonts w:cs="Symbol"/>
      <w:sz w:val="20"/>
    </w:rPr>
  </w:style>
  <w:style w:type="character" w:customStyle="1" w:styleId="ListLabel33">
    <w:name w:val="ListLabel 33"/>
    <w:qFormat/>
    <w:rPr>
      <w:rFonts w:cs="Symbol"/>
      <w:sz w:val="20"/>
    </w:rPr>
  </w:style>
  <w:style w:type="character" w:customStyle="1" w:styleId="ListLabel34">
    <w:name w:val="ListLabel 34"/>
    <w:qFormat/>
    <w:rPr>
      <w:rFonts w:cs="Symbol"/>
      <w:sz w:val="20"/>
    </w:rPr>
  </w:style>
  <w:style w:type="character" w:customStyle="1" w:styleId="ListLabel35">
    <w:name w:val="ListLabel 35"/>
    <w:qFormat/>
    <w:rPr>
      <w:rFonts w:cs="Symbol"/>
      <w:sz w:val="20"/>
    </w:rPr>
  </w:style>
  <w:style w:type="character" w:customStyle="1" w:styleId="ListLabel36">
    <w:name w:val="ListLabel 36"/>
    <w:qFormat/>
    <w:rPr>
      <w:rFonts w:cs="Symbol"/>
      <w:sz w:val="20"/>
    </w:rPr>
  </w:style>
  <w:style w:type="character" w:customStyle="1" w:styleId="ListLabel37">
    <w:name w:val="ListLabel 37"/>
    <w:qFormat/>
    <w:rPr>
      <w:rFonts w:ascii="Marianne" w:eastAsia="Calibri" w:hAnsi="Marianne"/>
      <w:sz w:val="20"/>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ascii="Marianne" w:hAnsi="Marianne"/>
      <w:sz w:val="20"/>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Puces">
    <w:name w:val="Puces"/>
    <w:qFormat/>
    <w:rPr>
      <w:rFonts w:ascii="OpenSymbol" w:eastAsia="OpenSymbol" w:hAnsi="OpenSymbol"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Ancredenotedebasdepage">
    <w:name w:val="Ancre de note de bas de page"/>
    <w:rPr>
      <w:vertAlign w:val="superscript"/>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M3">
    <w:name w:val="toc 3"/>
    <w:basedOn w:val="Normal"/>
    <w:next w:val="Normal"/>
    <w:autoRedefine/>
    <w:uiPriority w:val="39"/>
    <w:semiHidden/>
    <w:unhideWhenUsed/>
    <w:rsid w:val="007E709C"/>
    <w:pPr>
      <w:ind w:left="480"/>
      <w:jc w:val="both"/>
    </w:pPr>
    <w:rPr>
      <w:rFonts w:cstheme="minorHAnsi"/>
      <w:bCs/>
      <w:color w:val="3A68F7"/>
      <w:sz w:val="20"/>
      <w:szCs w:val="20"/>
    </w:rPr>
  </w:style>
  <w:style w:type="paragraph" w:styleId="Paragraphedeliste">
    <w:name w:val="List Paragraph"/>
    <w:basedOn w:val="Normal"/>
    <w:uiPriority w:val="34"/>
    <w:qFormat/>
    <w:rsid w:val="00F906AA"/>
    <w:pPr>
      <w:ind w:left="720"/>
      <w:contextualSpacing/>
    </w:pPr>
  </w:style>
  <w:style w:type="paragraph" w:styleId="Notedebasdepage">
    <w:name w:val="footnote text"/>
    <w:basedOn w:val="Normal"/>
    <w:pPr>
      <w:suppressLineNumbers/>
      <w:ind w:left="339" w:hanging="339"/>
    </w:pPr>
    <w:rPr>
      <w:sz w:val="20"/>
      <w:szCs w:val="20"/>
    </w:rPr>
  </w:style>
  <w:style w:type="paragraph" w:styleId="Notedefin">
    <w:name w:val="endnote text"/>
    <w:basedOn w:val="Normal"/>
    <w:link w:val="NotedefinCar"/>
    <w:uiPriority w:val="99"/>
    <w:semiHidden/>
    <w:unhideWhenUsed/>
    <w:rsid w:val="00BF2627"/>
    <w:rPr>
      <w:sz w:val="20"/>
      <w:szCs w:val="20"/>
    </w:rPr>
  </w:style>
  <w:style w:type="character" w:customStyle="1" w:styleId="NotedefinCar">
    <w:name w:val="Note de fin Car"/>
    <w:basedOn w:val="Policepardfaut"/>
    <w:link w:val="Notedefin"/>
    <w:uiPriority w:val="99"/>
    <w:semiHidden/>
    <w:rsid w:val="00BF2627"/>
    <w:rPr>
      <w:szCs w:val="20"/>
    </w:rPr>
  </w:style>
  <w:style w:type="character" w:styleId="Appeldenotedefin">
    <w:name w:val="endnote reference"/>
    <w:basedOn w:val="Policepardfaut"/>
    <w:uiPriority w:val="99"/>
    <w:semiHidden/>
    <w:unhideWhenUsed/>
    <w:rsid w:val="00BF2627"/>
    <w:rPr>
      <w:vertAlign w:val="superscript"/>
    </w:rPr>
  </w:style>
  <w:style w:type="character" w:styleId="Appelnotedebasdep">
    <w:name w:val="footnote reference"/>
    <w:basedOn w:val="Policepardfaut"/>
    <w:uiPriority w:val="99"/>
    <w:semiHidden/>
    <w:unhideWhenUsed/>
    <w:rsid w:val="00BF2627"/>
    <w:rPr>
      <w:vertAlign w:val="superscript"/>
    </w:rPr>
  </w:style>
  <w:style w:type="paragraph" w:styleId="En-tte">
    <w:name w:val="header"/>
    <w:basedOn w:val="Normal"/>
    <w:link w:val="En-tteCar"/>
    <w:uiPriority w:val="99"/>
    <w:unhideWhenUsed/>
    <w:rsid w:val="00FD42A9"/>
    <w:pPr>
      <w:tabs>
        <w:tab w:val="center" w:pos="4536"/>
        <w:tab w:val="right" w:pos="9072"/>
      </w:tabs>
    </w:pPr>
  </w:style>
  <w:style w:type="character" w:customStyle="1" w:styleId="En-tteCar">
    <w:name w:val="En-tête Car"/>
    <w:basedOn w:val="Policepardfaut"/>
    <w:link w:val="En-tte"/>
    <w:uiPriority w:val="99"/>
    <w:rsid w:val="00FD42A9"/>
    <w:rPr>
      <w:sz w:val="24"/>
    </w:rPr>
  </w:style>
  <w:style w:type="paragraph" w:styleId="Pieddepage">
    <w:name w:val="footer"/>
    <w:basedOn w:val="Normal"/>
    <w:link w:val="PieddepageCar"/>
    <w:uiPriority w:val="99"/>
    <w:unhideWhenUsed/>
    <w:rsid w:val="00FD42A9"/>
    <w:pPr>
      <w:tabs>
        <w:tab w:val="center" w:pos="4536"/>
        <w:tab w:val="right" w:pos="9072"/>
      </w:tabs>
    </w:pPr>
  </w:style>
  <w:style w:type="character" w:customStyle="1" w:styleId="PieddepageCar">
    <w:name w:val="Pied de page Car"/>
    <w:basedOn w:val="Policepardfaut"/>
    <w:link w:val="Pieddepage"/>
    <w:uiPriority w:val="99"/>
    <w:rsid w:val="00FD42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a1651c858ee34c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BB7B32F610BD4791AC06927D69D4A5" ma:contentTypeVersion="5" ma:contentTypeDescription="Crée un document." ma:contentTypeScope="" ma:versionID="3928eafba5ba20999bffd63925ecf7c9">
  <xsd:schema xmlns:xsd="http://www.w3.org/2001/XMLSchema" xmlns:xs="http://www.w3.org/2001/XMLSchema" xmlns:p="http://schemas.microsoft.com/office/2006/metadata/properties" xmlns:ns2="c86dabb9-9fab-4341-a2a3-f8633dcaac2a" xmlns:ns3="287ef03d-2fb0-4811-a21e-250aee041a1b" targetNamespace="http://schemas.microsoft.com/office/2006/metadata/properties" ma:root="true" ma:fieldsID="81eb99626735bb74e29c21ee71771e25" ns2:_="" ns3:_="">
    <xsd:import namespace="c86dabb9-9fab-4341-a2a3-f8633dcaac2a"/>
    <xsd:import namespace="287ef03d-2fb0-4811-a21e-250aee041a1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dabb9-9fab-4341-a2a3-f8633dcaa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7ef03d-2fb0-4811-a21e-250aee041a1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853C5-5CF2-42D3-9C25-627607764B9D}">
  <ds:schemaRefs>
    <ds:schemaRef ds:uri="http://schemas.openxmlformats.org/officeDocument/2006/bibliography"/>
  </ds:schemaRefs>
</ds:datastoreItem>
</file>

<file path=customXml/itemProps2.xml><?xml version="1.0" encoding="utf-8"?>
<ds:datastoreItem xmlns:ds="http://schemas.openxmlformats.org/officeDocument/2006/customXml" ds:itemID="{3C004049-C556-45FC-8D70-4E2EABF0C1CC}"/>
</file>

<file path=customXml/itemProps3.xml><?xml version="1.0" encoding="utf-8"?>
<ds:datastoreItem xmlns:ds="http://schemas.openxmlformats.org/officeDocument/2006/customXml" ds:itemID="{507B71AD-9C7B-4713-9A6E-192A0B652AD2}"/>
</file>

<file path=customXml/itemProps4.xml><?xml version="1.0" encoding="utf-8"?>
<ds:datastoreItem xmlns:ds="http://schemas.openxmlformats.org/officeDocument/2006/customXml" ds:itemID="{453512AC-502C-4A9C-804B-5F787A0FA6AF}"/>
</file>

<file path=docProps/app.xml><?xml version="1.0" encoding="utf-8"?>
<Properties xmlns="http://schemas.openxmlformats.org/officeDocument/2006/extended-properties" xmlns:vt="http://schemas.openxmlformats.org/officeDocument/2006/docPropsVTypes">
  <Template>Normal</Template>
  <TotalTime>8</TotalTime>
  <Pages>1</Pages>
  <Words>11</Words>
  <Characters>63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Ministères Chargés des Affaires Sociales</Company>
  <LinksUpToDate>false</LinksUpToDate>
  <CharactersWithSpaces>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RUDANT Gaetan (DR-IDF)</dc:creator>
  <cp:lastModifiedBy>Basile Loué</cp:lastModifiedBy>
  <cp:revision>3</cp:revision>
  <dcterms:created xsi:type="dcterms:W3CDTF">2020-05-12T17:04:00Z</dcterms:created>
  <dcterms:modified xsi:type="dcterms:W3CDTF">2020-05-14T09:29:00Z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0x0101002CBB7B32F610BD4791AC06927D69D4A5</vt:lpwstr>
  </property>
</Properties>
</file>