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40" w:after="60"/>
      </w:pPr>
      <w:r>
        <w:rPr>
          <w:b/>
          <w:color w:val="2E74B5"/>
          <w:sz w:val="22"/>
        </w:rPr>
        <w:t>ENGINEERING STATUS REPORT</w:t>
      </w:r>
    </w:p>
    <w:p>
      <w:pPr>
        <w:spacing w:after="80"/>
      </w:pPr>
      <w:r>
        <w:rPr>
          <w:b/>
          <w:color w:val="17365D"/>
          <w:sz w:val="50"/>
        </w:rPr>
        <w:t>Open Cluster Management</w:t>
      </w:r>
    </w:p>
    <w:p>
      <w:pPr>
        <w:spacing w:after="320"/>
      </w:pPr>
      <w:r>
        <w:rPr>
          <w:color w:val="666666"/>
          <w:sz w:val="30"/>
        </w:rPr>
        <w:t>UBI9 Image Migration and Local Functional Validation</w:t>
      </w:r>
    </w:p>
    <w:p>
      <w:pPr>
        <w:spacing w:after="40"/>
      </w:pPr>
      <w:r>
        <w:rPr>
          <w:b/>
        </w:rPr>
        <w:t xml:space="preserve">Prepared for: </w:t>
      </w:r>
      <w:r>
        <w:t>Manager and project stakeholders</w:t>
      </w:r>
    </w:p>
    <w:p>
      <w:pPr>
        <w:spacing w:after="40"/>
      </w:pPr>
      <w:r>
        <w:rPr>
          <w:b/>
        </w:rPr>
        <w:t xml:space="preserve">Prepared by: </w:t>
      </w:r>
      <w:r>
        <w:t>OCM migration engineering</w:t>
      </w:r>
    </w:p>
    <w:p>
      <w:pPr>
        <w:spacing w:after="40"/>
      </w:pPr>
      <w:r>
        <w:t>Date: July 23, 2026</w:t>
      </w:r>
    </w:p>
    <w:p>
      <w:pPr>
        <w:spacing w:after="40"/>
      </w:pPr>
      <w:r>
        <w:rPr>
          <w:b/>
        </w:rPr>
        <w:t xml:space="preserve">Repository: </w:t>
      </w:r>
      <w:r>
        <w:t>zoislam-p/ocm — source revision 0ab9a37d1</w:t>
      </w:r>
    </w:p>
    <w:p>
      <w:pPr>
        <w:spacing w:after="40"/>
      </w:pPr>
      <w:r>
        <w:rPr>
          <w:b/>
        </w:rPr>
        <w:t xml:space="preserve">Target: </w:t>
      </w:r>
      <w:r>
        <w:t>Red Hat UBI9 runtime images on linux/amd64</w:t>
      </w:r>
    </w:p>
    <w:p>
      <w:pPr>
        <w:spacing w:after="40"/>
      </w:pPr>
      <w:r>
        <w:rPr>
          <w:b/>
        </w:rPr>
        <w:t xml:space="preserve">Current status: </w:t>
      </w:r>
      <w:r>
        <w:t>Local build, packaging, deployment, and core functionality validated</w:t>
      </w:r>
    </w:p>
    <w:p>
      <w:pPr>
        <w:spacing w:before="200" w:after="240"/>
        <w:pBdr>
          <w:bottom w:val="single" w:sz="12" w:space="1" w:color="2E74B5"/>
        </w:pBdr>
      </w:pP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E2F0D9"/>
          </w:tcPr>
          <w:p>
            <w:pPr>
              <w:spacing w:after="60"/>
            </w:pPr>
            <w:r/>
            <w:r>
              <w:rPr>
                <w:b/>
                <w:color w:val="17365D"/>
              </w:rPr>
              <w:t xml:space="preserve">Overall conclusion — </w:t>
            </w:r>
            <w:r>
              <w:t>The five OCM images were migrated to UBI9, built for AMD64, tested as non-root containers, deployed through the existing Helm/operator model, and validated through live Placement and ManifestWork workflows. Core OCM functionality is working in the local Minikube environment. This is local engineering validation; IBM release controls and RKE2 acceptance remain pending.</w:t>
            </w:r>
          </w:p>
        </w:tc>
      </w:tr>
    </w:tbl>
    <w:p>
      <w:pPr>
        <w:spacing w:after="0"/>
      </w:pPr>
    </w:p>
    <w:p>
      <w:pPr>
        <w:pStyle w:val="Heading1"/>
      </w:pPr>
      <w:r>
        <w:t>1. Executive summary</w:t>
      </w:r>
    </w:p>
    <w:p>
      <w:pPr>
        <w:pStyle w:val="ListBullet"/>
        <w:spacing w:after="120" w:line="264" w:lineRule="auto"/>
        <w:ind w:left="720" w:hanging="360"/>
      </w:pPr>
      <w:r>
        <w:rPr>
          <w:b/>
        </w:rPr>
        <w:t xml:space="preserve">Images: </w:t>
      </w:r>
      <w:r>
        <w:t>Five UBI9 runtime images built for linux/amd64; all expected binaries execute as UID 10001.</w:t>
      </w:r>
    </w:p>
    <w:p>
      <w:pPr>
        <w:pStyle w:val="ListBullet"/>
        <w:spacing w:after="120" w:line="264" w:lineRule="auto"/>
        <w:ind w:left="720" w:hanging="360"/>
      </w:pPr>
      <w:r>
        <w:rPr>
          <w:b/>
        </w:rPr>
        <w:t xml:space="preserve">Packaging: </w:t>
      </w:r>
      <w:r>
        <w:t>An SPS-style wrapper Makefile preserves upstream build behavior and provides standard build, test, package, and deploy targets.</w:t>
      </w:r>
    </w:p>
    <w:p>
      <w:pPr>
        <w:pStyle w:val="ListBullet"/>
        <w:spacing w:after="120" w:line="264" w:lineRule="auto"/>
        <w:ind w:left="720" w:hanging="360"/>
      </w:pPr>
      <w:r>
        <w:rPr>
          <w:b/>
        </w:rPr>
        <w:t xml:space="preserve">Helm/operators: </w:t>
      </w:r>
      <w:r>
        <w:t>Both existing Helm charts installed successfully. The Cluster Manager and Klusterlet operators are running and managing all OCM application components.</w:t>
      </w:r>
    </w:p>
    <w:p>
      <w:pPr>
        <w:pStyle w:val="ListBullet"/>
        <w:spacing w:after="120" w:line="264" w:lineRule="auto"/>
        <w:ind w:left="720" w:hanging="360"/>
      </w:pPr>
      <w:r>
        <w:rPr>
          <w:b/>
        </w:rPr>
        <w:t xml:space="preserve">Functionality: </w:t>
      </w:r>
      <w:r>
        <w:t>The managed cluster joined the hub; Placement selected it; ManifestWork delivered resources and returned Applied/Available status.</w:t>
      </w:r>
    </w:p>
    <w:p>
      <w:pPr>
        <w:pStyle w:val="ListBullet"/>
        <w:spacing w:after="120" w:line="264" w:lineRule="auto"/>
        <w:ind w:left="720" w:hanging="360"/>
      </w:pPr>
      <w:r>
        <w:rPr>
          <w:b/>
        </w:rPr>
        <w:t xml:space="preserve">Visibility: </w:t>
      </w:r>
      <w:r>
        <w:t>Kubernetes Dashboard is enabled for local inspection. OCM core does not include the ACM product console.</w:t>
      </w:r>
    </w:p>
    <w:tbl>
      <w:tblPr>
        <w:tblStyle w:val="TableGrid"/>
        <w:tblW w:type="dxa" w:w="9360"/>
        <w:jc w:val="left"/>
        <w:tblLayout w:type="fixed"/>
        <w:tblLook w:firstColumn="1" w:firstRow="1" w:lastColumn="0" w:lastRow="0" w:noHBand="0" w:noVBand="1" w:val="04A0"/>
        <w:tblInd w:w="120" w:type="dxa"/>
      </w:tblPr>
      <w:tblGrid>
        <w:gridCol w:w="2160"/>
        <w:gridCol w:w="1800"/>
        <w:gridCol w:w="5400"/>
      </w:tblGrid>
      <w:tr>
        <w:trPr>
          <w:tblHeader w:val="true"/>
          <w:cantSplit/>
        </w:trPr>
        <w:tc>
          <w:tcPr>
            <w:tcW w:type="dxa" w:w="2160"/>
            <w:shd w:fill="17365D"/>
            <w:tcMar>
              <w:top w:w="80" w:type="dxa"/>
              <w:start w:w="120" w:type="dxa"/>
              <w:bottom w:w="80" w:type="dxa"/>
              <w:end w:w="120" w:type="dxa"/>
            </w:tcMar>
            <w:vAlign w:val="center"/>
          </w:tcPr>
          <w:p>
            <w:pPr>
              <w:spacing w:before="0" w:after="0" w:line="252" w:lineRule="auto"/>
              <w:jc w:val="left"/>
            </w:pPr>
            <w:r>
              <w:rPr>
                <w:rFonts w:ascii="Calibri" w:hAnsi="Calibri"/>
                <w:b/>
                <w:color w:val="FFFFFF"/>
                <w:sz w:val="18"/>
              </w:rPr>
              <w:t>Workstream</w:t>
            </w:r>
          </w:p>
        </w:tc>
        <w:tc>
          <w:tcPr>
            <w:tcW w:type="dxa" w:w="1800"/>
            <w:shd w:fill="17365D"/>
            <w:tcMar>
              <w:top w:w="80" w:type="dxa"/>
              <w:start w:w="120" w:type="dxa"/>
              <w:bottom w:w="80" w:type="dxa"/>
              <w:end w:w="120" w:type="dxa"/>
            </w:tcMar>
            <w:vAlign w:val="center"/>
          </w:tcPr>
          <w:p>
            <w:pPr>
              <w:spacing w:before="0" w:after="0" w:line="252" w:lineRule="auto"/>
              <w:jc w:val="left"/>
            </w:pPr>
            <w:r>
              <w:rPr>
                <w:rFonts w:ascii="Calibri" w:hAnsi="Calibri"/>
                <w:b/>
                <w:color w:val="FFFFFF"/>
                <w:sz w:val="18"/>
              </w:rPr>
              <w:t>Status</w:t>
            </w:r>
          </w:p>
        </w:tc>
        <w:tc>
          <w:tcPr>
            <w:tcW w:type="dxa" w:w="5400"/>
            <w:shd w:fill="17365D"/>
            <w:tcMar>
              <w:top w:w="80" w:type="dxa"/>
              <w:start w:w="120" w:type="dxa"/>
              <w:bottom w:w="80" w:type="dxa"/>
              <w:end w:w="120" w:type="dxa"/>
            </w:tcMar>
            <w:vAlign w:val="center"/>
          </w:tcPr>
          <w:p>
            <w:pPr>
              <w:spacing w:before="0" w:after="0" w:line="252" w:lineRule="auto"/>
              <w:jc w:val="left"/>
            </w:pPr>
            <w:r>
              <w:rPr>
                <w:rFonts w:ascii="Calibri" w:hAnsi="Calibri"/>
                <w:b/>
                <w:color w:val="FFFFFF"/>
                <w:sz w:val="18"/>
              </w:rPr>
              <w:t>Management-level result</w:t>
            </w:r>
          </w:p>
        </w:tc>
      </w:tr>
      <w:tr>
        <w:trPr>
          <w:cantSplit/>
        </w:trPr>
        <w:tc>
          <w:tcPr>
            <w:tcW w:type="dxa" w:w="216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UBI9 Dockerfiles</w:t>
            </w:r>
          </w:p>
        </w:tc>
        <w:tc>
          <w:tcPr>
            <w:tcW w:type="dxa" w:w="1800"/>
            <w:shd w:fill="E2F0D9"/>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Complete</w:t>
            </w:r>
          </w:p>
        </w:tc>
        <w:tc>
          <w:tcPr>
            <w:tcW w:type="dxa" w:w="540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Five runtime stages migrated; upstream behavior preserved.</w:t>
            </w:r>
          </w:p>
        </w:tc>
      </w:tr>
      <w:tr>
        <w:trPr>
          <w:cantSplit/>
        </w:trPr>
        <w:tc>
          <w:tcPr>
            <w:tcW w:type="dxa" w:w="216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Image build/test</w:t>
            </w:r>
          </w:p>
        </w:tc>
        <w:tc>
          <w:tcPr>
            <w:tcW w:type="dxa" w:w="1800"/>
            <w:shd w:fill="E2F0D9"/>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Pass</w:t>
            </w:r>
          </w:p>
        </w:tc>
        <w:tc>
          <w:tcPr>
            <w:tcW w:type="dxa" w:w="540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Five images and six binaries validated on linux/amd64.</w:t>
            </w:r>
          </w:p>
        </w:tc>
      </w:tr>
      <w:tr>
        <w:trPr>
          <w:cantSplit/>
        </w:trPr>
        <w:tc>
          <w:tcPr>
            <w:tcW w:type="dxa" w:w="216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SPS Makefile</w:t>
            </w:r>
          </w:p>
        </w:tc>
        <w:tc>
          <w:tcPr>
            <w:tcW w:type="dxa" w:w="1800"/>
            <w:shd w:fill="E2F0D9"/>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Complete locally</w:t>
            </w:r>
          </w:p>
        </w:tc>
        <w:tc>
          <w:tcPr>
            <w:tcW w:type="dxa" w:w="540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Standard targets added; Makefile.org preserves upstream logic.</w:t>
            </w:r>
          </w:p>
        </w:tc>
      </w:tr>
      <w:tr>
        <w:trPr>
          <w:cantSplit/>
        </w:trPr>
        <w:tc>
          <w:tcPr>
            <w:tcW w:type="dxa" w:w="216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Helm packaging</w:t>
            </w:r>
          </w:p>
        </w:tc>
        <w:tc>
          <w:tcPr>
            <w:tcW w:type="dxa" w:w="1800"/>
            <w:shd w:fill="E2F0D9"/>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Pass</w:t>
            </w:r>
          </w:p>
        </w:tc>
        <w:tc>
          <w:tcPr>
            <w:tcW w:type="dxa" w:w="540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Both charts lint, render, and package as version 0.3.0.</w:t>
            </w:r>
          </w:p>
        </w:tc>
      </w:tr>
      <w:tr>
        <w:trPr>
          <w:cantSplit/>
        </w:trPr>
        <w:tc>
          <w:tcPr>
            <w:tcW w:type="dxa" w:w="216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Local deployment</w:t>
            </w:r>
          </w:p>
        </w:tc>
        <w:tc>
          <w:tcPr>
            <w:tcW w:type="dxa" w:w="1800"/>
            <w:shd w:fill="E2F0D9"/>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Deployed</w:t>
            </w:r>
          </w:p>
        </w:tc>
        <w:tc>
          <w:tcPr>
            <w:tcW w:type="dxa" w:w="540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Both operators and all OCM workloads are Ready.</w:t>
            </w:r>
          </w:p>
        </w:tc>
      </w:tr>
      <w:tr>
        <w:trPr>
          <w:cantSplit/>
        </w:trPr>
        <w:tc>
          <w:tcPr>
            <w:tcW w:type="dxa" w:w="216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Core OCM function</w:t>
            </w:r>
          </w:p>
        </w:tc>
        <w:tc>
          <w:tcPr>
            <w:tcW w:type="dxa" w:w="1800"/>
            <w:shd w:fill="E2F0D9"/>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Working</w:t>
            </w:r>
          </w:p>
        </w:tc>
        <w:tc>
          <w:tcPr>
            <w:tcW w:type="dxa" w:w="540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Registration, Placement, ManifestWork, reconciliation, and feedback passed.</w:t>
            </w:r>
          </w:p>
        </w:tc>
      </w:tr>
      <w:tr>
        <w:trPr>
          <w:cantSplit/>
        </w:trPr>
        <w:tc>
          <w:tcPr>
            <w:tcW w:type="dxa" w:w="216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IBM/RKE2 release gates</w:t>
            </w:r>
          </w:p>
        </w:tc>
        <w:tc>
          <w:tcPr>
            <w:tcW w:type="dxa" w:w="1800"/>
            <w:shd w:fill="FFF2CC"/>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External pending</w:t>
            </w:r>
          </w:p>
        </w:tc>
        <w:tc>
          <w:tcPr>
            <w:tcW w:type="dxa" w:w="540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Requires access to SPS, ICR, signing, scanning, mirroring, monorepo, and RKE2.</w:t>
            </w:r>
          </w:p>
        </w:tc>
      </w:tr>
    </w:tbl>
    <w:p>
      <w:pPr>
        <w:spacing w:after="0"/>
      </w:pPr>
    </w:p>
    <w:p>
      <w:pPr>
        <w:pStyle w:val="Heading1"/>
      </w:pPr>
      <w:r>
        <w:t>2. Purpose and scope</w:t>
      </w:r>
    </w:p>
    <w:p>
      <w:r>
        <w:t>Open Cluster Management (OCM) provides a central Kubernetes hub for registering managed clusters, selecting clusters, distributing Kubernetes resources, and reporting delivery status. In the Sovereign Core framework, OCM is the planned upstream OSS foundation for capabilities currently associated with Red Hat Advanced Cluster Management (ACM).</w:t>
      </w: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FF2CC"/>
          </w:tcPr>
          <w:p>
            <w:pPr>
              <w:spacing w:after="60"/>
            </w:pPr>
            <w:r/>
            <w:r>
              <w:rPr>
                <w:b/>
                <w:color w:val="17365D"/>
              </w:rPr>
              <w:t xml:space="preserve">Important scope statement — </w:t>
            </w:r>
            <w:r>
              <w:t>OCM is the upstream multicluster-management foundation, not a one-for-one replacement for every ACM product feature. Governance, observability, search/topology, provisioning workflows, and a full product console require separate capability mapping.</w:t>
            </w:r>
          </w:p>
        </w:tc>
      </w:tr>
    </w:tbl>
    <w:p>
      <w:pPr>
        <w:spacing w:after="0"/>
      </w:pPr>
    </w:p>
    <w:p>
      <w:pPr>
        <w:pStyle w:val="Heading2"/>
      </w:pPr>
      <w:r>
        <w:t>2.1 What OCM does</w:t>
      </w:r>
    </w:p>
    <w:p>
      <w:pPr>
        <w:pStyle w:val="ListBullet"/>
        <w:spacing w:after="120" w:line="264" w:lineRule="auto"/>
        <w:ind w:left="720" w:hanging="360"/>
      </w:pPr>
      <w:r>
        <w:rPr>
          <w:b/>
        </w:rPr>
        <w:t xml:space="preserve">Registration: </w:t>
      </w:r>
      <w:r>
        <w:t>connects managed Kubernetes clusters to the central hub and maintains certificates and status.</w:t>
      </w:r>
    </w:p>
    <w:p>
      <w:pPr>
        <w:pStyle w:val="ListBullet"/>
        <w:spacing w:after="120" w:line="264" w:lineRule="auto"/>
        <w:ind w:left="720" w:hanging="360"/>
      </w:pPr>
      <w:r>
        <w:rPr>
          <w:b/>
        </w:rPr>
        <w:t xml:space="preserve">Work distribution: </w:t>
      </w:r>
      <w:r>
        <w:t>delivers Kubernetes manifests from the hub to managed clusters through ManifestWork.</w:t>
      </w:r>
    </w:p>
    <w:p>
      <w:pPr>
        <w:pStyle w:val="ListBullet"/>
        <w:spacing w:after="120" w:line="264" w:lineRule="auto"/>
        <w:ind w:left="720" w:hanging="360"/>
      </w:pPr>
      <w:r>
        <w:rPr>
          <w:b/>
        </w:rPr>
        <w:t xml:space="preserve">Placement: </w:t>
      </w:r>
      <w:r>
        <w:t>selects eligible managed clusters based on labels, cluster sets, and scheduling rules.</w:t>
      </w:r>
    </w:p>
    <w:p>
      <w:pPr>
        <w:pStyle w:val="ListBullet"/>
        <w:spacing w:after="120" w:line="264" w:lineRule="auto"/>
        <w:ind w:left="720" w:hanging="360"/>
      </w:pPr>
      <w:r>
        <w:rPr>
          <w:b/>
        </w:rPr>
        <w:t xml:space="preserve">Add-ons: </w:t>
      </w:r>
      <w:r>
        <w:t>provides a framework for installing and managing optional multicluster capabilities.</w:t>
      </w:r>
    </w:p>
    <w:p>
      <w:pPr>
        <w:pStyle w:val="ListBullet"/>
        <w:spacing w:after="120" w:line="264" w:lineRule="auto"/>
        <w:ind w:left="720" w:hanging="360"/>
      </w:pPr>
      <w:r>
        <w:rPr>
          <w:b/>
        </w:rPr>
        <w:t xml:space="preserve">Continuous reconciliation: </w:t>
      </w:r>
      <w:r>
        <w:t>operators and controllers maintain requested state and report conditions.</w:t>
      </w:r>
    </w:p>
    <w:p>
      <w:pPr>
        <w:pStyle w:val="Heading2"/>
      </w:pPr>
      <w:r>
        <w:t>2.2 Architecture and installation flow</w:t>
      </w:r>
    </w:p>
    <w:tbl>
      <w:tblPr>
        <w:tblStyle w:val="TableGrid"/>
        <w:tblW w:type="dxa" w:w="9360"/>
        <w:jc w:val="left"/>
        <w:tblLayout w:type="fixed"/>
        <w:tblLook w:firstColumn="1" w:firstRow="1" w:lastColumn="0" w:lastRow="0" w:noHBand="0" w:noVBand="1" w:val="04A0"/>
        <w:tblInd w:w="120" w:type="dxa"/>
      </w:tblPr>
      <w:tblGrid>
        <w:gridCol w:w="720"/>
        <w:gridCol w:w="2160"/>
        <w:gridCol w:w="6480"/>
      </w:tblGrid>
      <w:tr>
        <w:trPr>
          <w:tblHeader w:val="true"/>
          <w:cantSplit/>
        </w:trPr>
        <w:tc>
          <w:tcPr>
            <w:tcW w:type="dxa" w:w="720"/>
            <w:shd w:fill="17365D"/>
            <w:tcMar>
              <w:top w:w="80" w:type="dxa"/>
              <w:start w:w="120" w:type="dxa"/>
              <w:bottom w:w="80" w:type="dxa"/>
              <w:end w:w="120" w:type="dxa"/>
            </w:tcMar>
            <w:vAlign w:val="center"/>
          </w:tcPr>
          <w:p>
            <w:pPr>
              <w:spacing w:before="0" w:after="0" w:line="252" w:lineRule="auto"/>
              <w:jc w:val="left"/>
            </w:pPr>
            <w:r>
              <w:rPr>
                <w:rFonts w:ascii="Calibri" w:hAnsi="Calibri"/>
                <w:b/>
                <w:color w:val="FFFFFF"/>
                <w:sz w:val="18"/>
              </w:rPr>
              <w:t>Step</w:t>
            </w:r>
          </w:p>
        </w:tc>
        <w:tc>
          <w:tcPr>
            <w:tcW w:type="dxa" w:w="2160"/>
            <w:shd w:fill="17365D"/>
            <w:tcMar>
              <w:top w:w="80" w:type="dxa"/>
              <w:start w:w="120" w:type="dxa"/>
              <w:bottom w:w="80" w:type="dxa"/>
              <w:end w:w="120" w:type="dxa"/>
            </w:tcMar>
            <w:vAlign w:val="center"/>
          </w:tcPr>
          <w:p>
            <w:pPr>
              <w:spacing w:before="0" w:after="0" w:line="252" w:lineRule="auto"/>
              <w:jc w:val="left"/>
            </w:pPr>
            <w:r>
              <w:rPr>
                <w:rFonts w:ascii="Calibri" w:hAnsi="Calibri"/>
                <w:b/>
                <w:color w:val="FFFFFF"/>
                <w:sz w:val="18"/>
              </w:rPr>
              <w:t>Component</w:t>
            </w:r>
          </w:p>
        </w:tc>
        <w:tc>
          <w:tcPr>
            <w:tcW w:type="dxa" w:w="6480"/>
            <w:shd w:fill="17365D"/>
            <w:tcMar>
              <w:top w:w="80" w:type="dxa"/>
              <w:start w:w="120" w:type="dxa"/>
              <w:bottom w:w="80" w:type="dxa"/>
              <w:end w:w="120" w:type="dxa"/>
            </w:tcMar>
            <w:vAlign w:val="center"/>
          </w:tcPr>
          <w:p>
            <w:pPr>
              <w:spacing w:before="0" w:after="0" w:line="252" w:lineRule="auto"/>
              <w:jc w:val="left"/>
            </w:pPr>
            <w:r>
              <w:rPr>
                <w:rFonts w:ascii="Calibri" w:hAnsi="Calibri"/>
                <w:b/>
                <w:color w:val="FFFFFF"/>
                <w:sz w:val="18"/>
              </w:rPr>
              <w:t>Responsibility</w:t>
            </w:r>
          </w:p>
        </w:tc>
      </w:tr>
      <w:tr>
        <w:trPr>
          <w:cantSplit/>
        </w:trPr>
        <w:tc>
          <w:tcPr>
            <w:tcW w:type="dxa" w:w="72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1</w:t>
            </w:r>
          </w:p>
        </w:tc>
        <w:tc>
          <w:tcPr>
            <w:tcW w:type="dxa" w:w="216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Helm</w:t>
            </w:r>
          </w:p>
        </w:tc>
        <w:tc>
          <w:tcPr>
            <w:tcW w:type="dxa" w:w="648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Installs CRDs, operator Deployments, and ClusterManager/Klusterlet custom resources.</w:t>
            </w:r>
          </w:p>
        </w:tc>
      </w:tr>
      <w:tr>
        <w:trPr>
          <w:cantSplit/>
        </w:trPr>
        <w:tc>
          <w:tcPr>
            <w:tcW w:type="dxa" w:w="72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2</w:t>
            </w:r>
          </w:p>
        </w:tc>
        <w:tc>
          <w:tcPr>
            <w:tcW w:type="dxa" w:w="216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CRDs and CRs</w:t>
            </w:r>
          </w:p>
        </w:tc>
        <w:tc>
          <w:tcPr>
            <w:tcW w:type="dxa" w:w="648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Define the OCM resource types and declare the requested hub or managed-cluster configuration.</w:t>
            </w:r>
          </w:p>
        </w:tc>
      </w:tr>
      <w:tr>
        <w:trPr>
          <w:cantSplit/>
        </w:trPr>
        <w:tc>
          <w:tcPr>
            <w:tcW w:type="dxa" w:w="72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3</w:t>
            </w:r>
          </w:p>
        </w:tc>
        <w:tc>
          <w:tcPr>
            <w:tcW w:type="dxa" w:w="216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Registration operator</w:t>
            </w:r>
          </w:p>
        </w:tc>
        <w:tc>
          <w:tcPr>
            <w:tcW w:type="dxa" w:w="648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Watches the custom resources and creates/manages the OCM application workloads.</w:t>
            </w:r>
          </w:p>
        </w:tc>
      </w:tr>
      <w:tr>
        <w:trPr>
          <w:cantSplit/>
        </w:trPr>
        <w:tc>
          <w:tcPr>
            <w:tcW w:type="dxa" w:w="72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4</w:t>
            </w:r>
          </w:p>
        </w:tc>
        <w:tc>
          <w:tcPr>
            <w:tcW w:type="dxa" w:w="216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OCM application</w:t>
            </w:r>
          </w:p>
        </w:tc>
        <w:tc>
          <w:tcPr>
            <w:tcW w:type="dxa" w:w="648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Registration, Work, Placement, and Add-on components perform multicluster operations.</w:t>
            </w:r>
          </w:p>
        </w:tc>
      </w:tr>
      <w:tr>
        <w:trPr>
          <w:cantSplit/>
        </w:trPr>
        <w:tc>
          <w:tcPr>
            <w:tcW w:type="dxa" w:w="72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5</w:t>
            </w:r>
          </w:p>
        </w:tc>
        <w:tc>
          <w:tcPr>
            <w:tcW w:type="dxa" w:w="216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Managed-cluster agents</w:t>
            </w:r>
          </w:p>
        </w:tc>
        <w:tc>
          <w:tcPr>
            <w:tcW w:type="dxa" w:w="648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Register the cluster, apply work, and report results to the hub.</w:t>
            </w:r>
          </w:p>
        </w:tc>
      </w:tr>
    </w:tbl>
    <w:p>
      <w:pPr>
        <w:spacing w:after="0"/>
      </w:pPr>
    </w:p>
    <w:p>
      <w:pPr>
        <w:pStyle w:val="Heading2"/>
      </w:pPr>
      <w:r>
        <w:t>2.3 Images in scope</w:t>
      </w:r>
    </w:p>
    <w:tbl>
      <w:tblPr>
        <w:tblStyle w:val="TableGrid"/>
        <w:tblW w:type="dxa" w:w="9360"/>
        <w:jc w:val="left"/>
        <w:tblLayout w:type="fixed"/>
        <w:tblLook w:firstColumn="1" w:firstRow="1" w:lastColumn="0" w:lastRow="0" w:noHBand="0" w:noVBand="1" w:val="04A0"/>
        <w:tblInd w:w="120" w:type="dxa"/>
      </w:tblPr>
      <w:tblGrid>
        <w:gridCol w:w="2520"/>
        <w:gridCol w:w="1800"/>
        <w:gridCol w:w="5040"/>
      </w:tblGrid>
      <w:tr>
        <w:trPr>
          <w:tblHeader w:val="true"/>
          <w:cantSplit/>
        </w:trPr>
        <w:tc>
          <w:tcPr>
            <w:tcW w:type="dxa" w:w="2520"/>
            <w:shd w:fill="17365D"/>
            <w:tcMar>
              <w:top w:w="80" w:type="dxa"/>
              <w:start w:w="120" w:type="dxa"/>
              <w:bottom w:w="80" w:type="dxa"/>
              <w:end w:w="120" w:type="dxa"/>
            </w:tcMar>
            <w:vAlign w:val="center"/>
          </w:tcPr>
          <w:p>
            <w:pPr>
              <w:spacing w:before="0" w:after="0" w:line="252" w:lineRule="auto"/>
              <w:jc w:val="left"/>
            </w:pPr>
            <w:r>
              <w:rPr>
                <w:rFonts w:ascii="Calibri" w:hAnsi="Calibri"/>
                <w:b/>
                <w:color w:val="FFFFFF"/>
                <w:sz w:val="18"/>
              </w:rPr>
              <w:t>Image</w:t>
            </w:r>
          </w:p>
        </w:tc>
        <w:tc>
          <w:tcPr>
            <w:tcW w:type="dxa" w:w="1800"/>
            <w:shd w:fill="17365D"/>
            <w:tcMar>
              <w:top w:w="80" w:type="dxa"/>
              <w:start w:w="120" w:type="dxa"/>
              <w:bottom w:w="80" w:type="dxa"/>
              <w:end w:w="120" w:type="dxa"/>
            </w:tcMar>
            <w:vAlign w:val="center"/>
          </w:tcPr>
          <w:p>
            <w:pPr>
              <w:spacing w:before="0" w:after="0" w:line="252" w:lineRule="auto"/>
              <w:jc w:val="left"/>
            </w:pPr>
            <w:r>
              <w:rPr>
                <w:rFonts w:ascii="Calibri" w:hAnsi="Calibri"/>
                <w:b/>
                <w:color w:val="FFFFFF"/>
                <w:sz w:val="18"/>
              </w:rPr>
              <w:t>Role</w:t>
            </w:r>
          </w:p>
        </w:tc>
        <w:tc>
          <w:tcPr>
            <w:tcW w:type="dxa" w:w="5040"/>
            <w:shd w:fill="17365D"/>
            <w:tcMar>
              <w:top w:w="80" w:type="dxa"/>
              <w:start w:w="120" w:type="dxa"/>
              <w:bottom w:w="80" w:type="dxa"/>
              <w:end w:w="120" w:type="dxa"/>
            </w:tcMar>
            <w:vAlign w:val="center"/>
          </w:tcPr>
          <w:p>
            <w:pPr>
              <w:spacing w:before="0" w:after="0" w:line="252" w:lineRule="auto"/>
              <w:jc w:val="left"/>
            </w:pPr>
            <w:r>
              <w:rPr>
                <w:rFonts w:ascii="Calibri" w:hAnsi="Calibri"/>
                <w:b/>
                <w:color w:val="FFFFFF"/>
                <w:sz w:val="18"/>
              </w:rPr>
              <w:t>What it does</w:t>
            </w:r>
          </w:p>
        </w:tc>
      </w:tr>
      <w:tr>
        <w:trPr>
          <w:cantSplit/>
        </w:trPr>
        <w:tc>
          <w:tcPr>
            <w:tcW w:type="dxa" w:w="252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registration-operator</w:t>
            </w:r>
          </w:p>
        </w:tc>
        <w:tc>
          <w:tcPr>
            <w:tcW w:type="dxa" w:w="180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Operator</w:t>
            </w:r>
          </w:p>
        </w:tc>
        <w:tc>
          <w:tcPr>
            <w:tcW w:type="dxa" w:w="504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Installs and manages the hub and Klusterlet components.</w:t>
            </w:r>
          </w:p>
        </w:tc>
      </w:tr>
      <w:tr>
        <w:trPr>
          <w:cantSplit/>
        </w:trPr>
        <w:tc>
          <w:tcPr>
            <w:tcW w:type="dxa" w:w="252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registration</w:t>
            </w:r>
          </w:p>
        </w:tc>
        <w:tc>
          <w:tcPr>
            <w:tcW w:type="dxa" w:w="180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Application</w:t>
            </w:r>
          </w:p>
        </w:tc>
        <w:tc>
          <w:tcPr>
            <w:tcW w:type="dxa" w:w="504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Connects clusters and manages registration/certificate flows.</w:t>
            </w:r>
          </w:p>
        </w:tc>
      </w:tr>
      <w:tr>
        <w:trPr>
          <w:cantSplit/>
        </w:trPr>
        <w:tc>
          <w:tcPr>
            <w:tcW w:type="dxa" w:w="252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work</w:t>
            </w:r>
          </w:p>
        </w:tc>
        <w:tc>
          <w:tcPr>
            <w:tcW w:type="dxa" w:w="180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Application</w:t>
            </w:r>
          </w:p>
        </w:tc>
        <w:tc>
          <w:tcPr>
            <w:tcW w:type="dxa" w:w="504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Delivers and applies ManifestWork resources.</w:t>
            </w:r>
          </w:p>
        </w:tc>
      </w:tr>
      <w:tr>
        <w:trPr>
          <w:cantSplit/>
        </w:trPr>
        <w:tc>
          <w:tcPr>
            <w:tcW w:type="dxa" w:w="252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placement</w:t>
            </w:r>
          </w:p>
        </w:tc>
        <w:tc>
          <w:tcPr>
            <w:tcW w:type="dxa" w:w="180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Application</w:t>
            </w:r>
          </w:p>
        </w:tc>
        <w:tc>
          <w:tcPr>
            <w:tcW w:type="dxa" w:w="504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Selects managed clusters for higher-level consumers.</w:t>
            </w:r>
          </w:p>
        </w:tc>
      </w:tr>
      <w:tr>
        <w:trPr>
          <w:cantSplit/>
        </w:trPr>
        <w:tc>
          <w:tcPr>
            <w:tcW w:type="dxa" w:w="252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addon</w:t>
            </w:r>
          </w:p>
        </w:tc>
        <w:tc>
          <w:tcPr>
            <w:tcW w:type="dxa" w:w="180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Application</w:t>
            </w:r>
          </w:p>
        </w:tc>
        <w:tc>
          <w:tcPr>
            <w:tcW w:type="dxa" w:w="504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Manages optional OCM add-on lifecycle and configuration.</w:t>
            </w:r>
          </w:p>
        </w:tc>
      </w:tr>
    </w:tbl>
    <w:p>
      <w:pPr>
        <w:spacing w:after="0"/>
      </w:pPr>
    </w:p>
    <w:p>
      <w:pPr>
        <w:pStyle w:val="Heading2"/>
      </w:pPr>
      <w:r>
        <w:t>2.4 How Helm, operators, CRDs, CRs, and images connect</w:t>
      </w:r>
    </w:p>
    <w:p>
      <w:pPr>
        <w:spacing w:after="60"/>
      </w:pPr>
      <w:r>
        <w:rPr>
          <w:b/>
        </w:rPr>
        <w:t xml:space="preserve">1. Helm installs the entry point. </w:t>
      </w:r>
      <w:r>
        <w:t>The existing charts install the CustomResourceDefinitions (CRDs), the operator Deployment, and a ClusterManager or Klusterlet custom resource (CR).</w:t>
      </w:r>
    </w:p>
    <w:p>
      <w:pPr>
        <w:spacing w:after="60"/>
      </w:pPr>
      <w:r>
        <w:rPr>
          <w:b/>
        </w:rPr>
        <w:t xml:space="preserve">2. The CRD defines the API; the CR requests an instance. </w:t>
      </w:r>
      <w:r>
        <w:t>A CRD teaches Kubernetes the schema for an OCM resource. A CR is a YAML object using that schema to describe desired configuration. A CR is not a container and does not have its own image.</w:t>
      </w:r>
    </w:p>
    <w:p>
      <w:pPr>
        <w:spacing w:after="60"/>
      </w:pPr>
      <w:r>
        <w:rPr>
          <w:b/>
        </w:rPr>
        <w:t xml:space="preserve">3. The operator reconciles the request. </w:t>
      </w:r>
      <w:r>
        <w:t>The operator watches the CR and creates or updates standard Kubernetes resources, including Deployments, using the configured image pull specifications.</w:t>
      </w:r>
    </w:p>
    <w:p>
      <w:pPr>
        <w:spacing w:after="60"/>
      </w:pPr>
      <w:r>
        <w:rPr>
          <w:b/>
        </w:rPr>
        <w:t xml:space="preserve">4. Application controllers perform the OCM work. </w:t>
      </w:r>
      <w:r>
        <w:t>Registration, Work, Placement, and Add-on pods then connect clusters, schedule placement, deliver manifests, and report status.</w:t>
      </w:r>
    </w:p>
    <w:p>
      <w:pPr>
        <w:spacing w:after="120" w:before="80"/>
        <w:shd w:fill="FFF2CC"/>
        <w:ind w:left="100" w:right="100"/>
      </w:pPr>
      <w:r>
        <w:rPr>
          <w:b/>
        </w:rPr>
        <w:t xml:space="preserve">Plain-language summary — </w:t>
      </w:r>
      <w:r>
        <w:t>Helm installs the OCM API and operator; the operator installs and continuously maintains the OCM services requested by the CR.</w:t>
      </w:r>
    </w:p>
    <w:p>
      <w:pPr>
        <w:pStyle w:val="Heading1"/>
      </w:pPr>
      <w:r>
        <w:t>3. Implementation completed</w:t>
      </w:r>
    </w:p>
    <w:p>
      <w:pPr>
        <w:pStyle w:val="Heading2"/>
      </w:pPr>
      <w:r>
        <w:t>3.1 Dockerfiles and runtime</w:t>
      </w:r>
    </w:p>
    <w:p>
      <w:r>
        <w:t>All five multi-stage Dockerfiles now use registry.access.redhat.com/ubi9/ubi:latest for the runtime stage. Builder stages remain on the existing Go builder, which minimizes upstream divergence. No apt-get, apk, dnf, or package-name conversion was necessary because the runtime stages do not install packages.</w:t>
      </w:r>
    </w:p>
    <w:p>
      <w:pPr/>
      <w:r>
        <w:t>The requested public UBI9 reference is currently used as a floating :latest tag for local migration validation. Before release, the approved enterprise base should be recorded as an immutable tag or digest so rebuilds are reproducible and auditable.</w:t>
      </w:r>
    </w:p>
    <w:p>
      <w:pPr>
        <w:spacing w:before="80" w:after="120"/>
      </w:pPr>
      <w:r>
        <w:rPr>
          <w:b/>
        </w:rPr>
        <w:t xml:space="preserve">Dockerfile naming convention. </w:t>
      </w:r>
      <w:r>
        <w:t>OCM builds several component images from one repository, so upstream already uses build/Dockerfile.&lt;component&gt; names—for example, Dockerfile.addon, Dockerfile.work, and Dockerfile.registration. Makefile.org references the same five paths. This migration reused those names; it did not introduce or rename them.</w:t>
      </w:r>
    </w:p>
    <w:tbl>
      <w:tblPr>
        <w:tblStyle w:val="TableGrid"/>
        <w:tblW w:type="dxa" w:w="9360"/>
        <w:jc w:val="left"/>
        <w:tblLayout w:type="fixed"/>
        <w:tblLook w:firstColumn="1" w:firstRow="1" w:lastColumn="0" w:lastRow="0" w:noHBand="0" w:noVBand="1" w:val="04A0"/>
        <w:tblInd w:w="120" w:type="dxa"/>
      </w:tblPr>
      <w:tblGrid>
        <w:gridCol w:w="4320"/>
        <w:gridCol w:w="5040"/>
      </w:tblGrid>
      <w:tr>
        <w:trPr>
          <w:tblHeader w:val="true"/>
          <w:cantSplit/>
        </w:trPr>
        <w:tc>
          <w:tcPr>
            <w:tcW w:type="dxa" w:w="4320"/>
            <w:shd w:fill="17365D"/>
            <w:tcMar>
              <w:top w:w="80" w:type="dxa"/>
              <w:start w:w="120" w:type="dxa"/>
              <w:bottom w:w="80" w:type="dxa"/>
              <w:end w:w="120" w:type="dxa"/>
            </w:tcMar>
            <w:vAlign w:val="center"/>
          </w:tcPr>
          <w:p>
            <w:pPr>
              <w:spacing w:before="0" w:after="0" w:line="252" w:lineRule="auto"/>
              <w:jc w:val="left"/>
            </w:pPr>
            <w:r>
              <w:rPr>
                <w:rFonts w:ascii="Calibri" w:hAnsi="Calibri"/>
                <w:b/>
                <w:color w:val="FFFFFF"/>
                <w:sz w:val="18"/>
              </w:rPr>
              <w:t>Dockerfile</w:t>
            </w:r>
          </w:p>
        </w:tc>
        <w:tc>
          <w:tcPr>
            <w:tcW w:type="dxa" w:w="5040"/>
            <w:shd w:fill="17365D"/>
            <w:tcMar>
              <w:top w:w="80" w:type="dxa"/>
              <w:start w:w="120" w:type="dxa"/>
              <w:bottom w:w="80" w:type="dxa"/>
              <w:end w:w="120" w:type="dxa"/>
            </w:tcMar>
            <w:vAlign w:val="center"/>
          </w:tcPr>
          <w:p>
            <w:pPr>
              <w:spacing w:before="0" w:after="0" w:line="252" w:lineRule="auto"/>
              <w:jc w:val="left"/>
            </w:pPr>
            <w:r>
              <w:rPr>
                <w:rFonts w:ascii="Calibri" w:hAnsi="Calibri"/>
                <w:b/>
                <w:color w:val="FFFFFF"/>
                <w:sz w:val="18"/>
              </w:rPr>
              <w:t>Runtime result</w:t>
            </w:r>
          </w:p>
        </w:tc>
      </w:tr>
      <w:tr>
        <w:trPr>
          <w:cantSplit/>
        </w:trPr>
        <w:tc>
          <w:tcPr>
            <w:tcW w:type="dxa" w:w="432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build/Dockerfile.addon</w:t>
            </w:r>
          </w:p>
        </w:tc>
        <w:tc>
          <w:tcPr>
            <w:tcW w:type="dxa" w:w="504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UBI9 runtime; /addon; UID 10001</w:t>
            </w:r>
          </w:p>
        </w:tc>
      </w:tr>
      <w:tr>
        <w:trPr>
          <w:cantSplit/>
        </w:trPr>
        <w:tc>
          <w:tcPr>
            <w:tcW w:type="dxa" w:w="432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build/Dockerfile.placement</w:t>
            </w:r>
          </w:p>
        </w:tc>
        <w:tc>
          <w:tcPr>
            <w:tcW w:type="dxa" w:w="504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UBI9 runtime; /placement; UID 10001</w:t>
            </w:r>
          </w:p>
        </w:tc>
      </w:tr>
      <w:tr>
        <w:trPr>
          <w:cantSplit/>
        </w:trPr>
        <w:tc>
          <w:tcPr>
            <w:tcW w:type="dxa" w:w="432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build/Dockerfile.registration</w:t>
            </w:r>
          </w:p>
        </w:tc>
        <w:tc>
          <w:tcPr>
            <w:tcW w:type="dxa" w:w="504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UBI9 runtime; /registration and /server; UID 10001</w:t>
            </w:r>
          </w:p>
        </w:tc>
      </w:tr>
      <w:tr>
        <w:trPr>
          <w:cantSplit/>
        </w:trPr>
        <w:tc>
          <w:tcPr>
            <w:tcW w:type="dxa" w:w="432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build/Dockerfile.registration-operator</w:t>
            </w:r>
          </w:p>
        </w:tc>
        <w:tc>
          <w:tcPr>
            <w:tcW w:type="dxa" w:w="504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UBI9 runtime; /registration-operator; UID 10001</w:t>
            </w:r>
          </w:p>
        </w:tc>
      </w:tr>
      <w:tr>
        <w:trPr>
          <w:cantSplit/>
        </w:trPr>
        <w:tc>
          <w:tcPr>
            <w:tcW w:type="dxa" w:w="432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build/Dockerfile.work</w:t>
            </w:r>
          </w:p>
        </w:tc>
        <w:tc>
          <w:tcPr>
            <w:tcW w:type="dxa" w:w="504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UBI9 runtime; /work; UID 10001</w:t>
            </w:r>
          </w:p>
        </w:tc>
      </w:tr>
    </w:tbl>
    <w:p>
      <w:pPr>
        <w:spacing w:after="0"/>
      </w:pPr>
    </w:p>
    <w:p>
      <w:pPr>
        <w:pStyle w:val="Heading2"/>
      </w:pPr>
      <w:r>
        <w:t>3.2 Upstream preservation and SPS wrapper</w:t>
      </w:r>
    </w:p>
    <w:p>
      <w:pPr/>
      <w:r>
        <w:t>The upstream Makefile is preserved exactly as Makefile.org. The five commands below are new top-level wrapper targets added for a consistent local/SPS-facing interface; they are not targets copied from the original Makefile. Where upstream behavior already exists, the wrapper delegates to Makefile.org. Exact .org backups also exist for every modified Dockerfile.</w:t>
      </w:r>
    </w:p>
    <w:p>
      <w:pPr>
        <w:spacing w:before="100" w:after="80"/>
      </w:pPr>
      <w:r>
        <w:rPr>
          <w:b/>
          <w:color w:val="17365D"/>
        </w:rPr>
        <w:t>Target-by-target explanation</w:t>
      </w:r>
    </w:p>
    <w:tbl>
      <w:tblPr>
        <w:tblStyle w:val="TableGrid"/>
        <w:tblW w:type="dxa" w:w="10440"/>
        <w:tblLayout w:type="fixed"/>
        <w:tblLook w:firstColumn="1" w:firstRow="1" w:lastColumn="0" w:lastRow="0" w:noHBand="0" w:noVBand="1" w:val="04A0"/>
      </w:tblPr>
      <w:tblGrid>
        <w:gridCol w:w="3120"/>
        <w:gridCol w:w="3120"/>
        <w:gridCol w:w="3120"/>
      </w:tblGrid>
      <w:tr>
        <w:trPr>
          <w:tblHeader w:val="true"/>
        </w:trPr>
        <w:tc>
          <w:tcPr>
            <w:tcW w:type="dxa" w:w="1800"/>
            <w:shd w:fill="17365D"/>
            <w:vAlign w:val="center"/>
          </w:tcPr>
          <w:p>
            <w:pPr>
              <w:spacing w:before="40" w:after="40" w:line="240" w:lineRule="auto"/>
            </w:pPr>
            <w:r>
              <w:rPr>
                <w:rFonts w:ascii="Arial" w:hAnsi="Arial"/>
                <w:b/>
                <w:color w:val="FFFFFF"/>
                <w:sz w:val="17"/>
              </w:rPr>
              <w:t>Target</w:t>
            </w:r>
          </w:p>
        </w:tc>
        <w:tc>
          <w:tcPr>
            <w:tcW w:type="dxa" w:w="3528"/>
            <w:shd w:fill="17365D"/>
            <w:vAlign w:val="center"/>
          </w:tcPr>
          <w:p>
            <w:pPr>
              <w:spacing w:before="40" w:after="40" w:line="240" w:lineRule="auto"/>
            </w:pPr>
            <w:r>
              <w:rPr>
                <w:rFonts w:ascii="Arial" w:hAnsi="Arial"/>
                <w:b/>
                <w:color w:val="FFFFFF"/>
                <w:sz w:val="17"/>
              </w:rPr>
              <w:t>Why it was added</w:t>
            </w:r>
          </w:p>
        </w:tc>
        <w:tc>
          <w:tcPr>
            <w:tcW w:type="dxa" w:w="5112"/>
            <w:shd w:fill="17365D"/>
            <w:vAlign w:val="center"/>
          </w:tcPr>
          <w:p>
            <w:pPr>
              <w:spacing w:before="40" w:after="40" w:line="240" w:lineRule="auto"/>
            </w:pPr>
            <w:r>
              <w:rPr>
                <w:rFonts w:ascii="Arial" w:hAnsi="Arial"/>
                <w:b/>
                <w:color w:val="FFFFFF"/>
                <w:sz w:val="17"/>
              </w:rPr>
              <w:t>What it does / boundary</w:t>
            </w:r>
          </w:p>
        </w:tc>
      </w:tr>
      <w:tr>
        <w:trPr>
          <w:cantSplit/>
        </w:trPr>
        <w:tc>
          <w:tcPr>
            <w:tcW w:type="dxa" w:w="1800"/>
            <w:vAlign w:val="center"/>
          </w:tcPr>
          <w:p>
            <w:pPr>
              <w:spacing w:before="40" w:after="40" w:line="240" w:lineRule="auto"/>
            </w:pPr>
            <w:r>
              <w:rPr>
                <w:rFonts w:ascii="Arial" w:hAnsi="Arial"/>
                <w:sz w:val="17"/>
              </w:rPr>
              <w:t>make pre-build</w:t>
            </w:r>
          </w:p>
        </w:tc>
        <w:tc>
          <w:tcPr>
            <w:tcW w:type="dxa" w:w="3528"/>
            <w:vAlign w:val="center"/>
          </w:tcPr>
          <w:p>
            <w:pPr>
              <w:spacing w:before="40" w:after="40" w:line="240" w:lineRule="auto"/>
            </w:pPr>
            <w:r>
              <w:rPr>
                <w:rFonts w:ascii="Arial" w:hAnsi="Arial"/>
                <w:sz w:val="17"/>
              </w:rPr>
              <w:t>New wrapper target; not in the original Makefile.</w:t>
            </w:r>
          </w:p>
        </w:tc>
        <w:tc>
          <w:tcPr>
            <w:tcW w:type="dxa" w:w="5112"/>
            <w:vAlign w:val="center"/>
          </w:tcPr>
          <w:p>
            <w:pPr>
              <w:spacing w:before="40" w:after="40" w:line="240" w:lineRule="auto"/>
            </w:pPr>
            <w:r>
              <w:rPr>
                <w:rFonts w:ascii="Arial" w:hAnsi="Arial"/>
                <w:sz w:val="17"/>
              </w:rPr>
              <w:t>Checks prerequisites, .org backups, UBI9/non-root Dockerfile rules, and existing Helm charts. It validates readiness; it does not compile binaries or build images.</w:t>
            </w:r>
          </w:p>
        </w:tc>
      </w:tr>
      <w:tr>
        <w:trPr>
          <w:cantSplit/>
        </w:trPr>
        <w:tc>
          <w:tcPr>
            <w:tcW w:type="dxa" w:w="1800"/>
            <w:shd w:fill="F3F5F7"/>
            <w:vAlign w:val="center"/>
          </w:tcPr>
          <w:p>
            <w:pPr>
              <w:spacing w:before="40" w:after="40" w:line="240" w:lineRule="auto"/>
            </w:pPr>
            <w:r>
              <w:rPr>
                <w:rFonts w:ascii="Arial" w:hAnsi="Arial"/>
                <w:sz w:val="17"/>
              </w:rPr>
              <w:t>make docker-build</w:t>
            </w:r>
          </w:p>
        </w:tc>
        <w:tc>
          <w:tcPr>
            <w:tcW w:type="dxa" w:w="3528"/>
            <w:shd w:fill="F3F5F7"/>
            <w:vAlign w:val="center"/>
          </w:tcPr>
          <w:p>
            <w:pPr>
              <w:spacing w:before="40" w:after="40" w:line="240" w:lineRule="auto"/>
            </w:pPr>
            <w:r>
              <w:rPr>
                <w:rFonts w:ascii="Arial" w:hAnsi="Arial"/>
                <w:sz w:val="17"/>
              </w:rPr>
              <w:t>New aggregate wrapper around existing component Dockerfiles.</w:t>
            </w:r>
          </w:p>
        </w:tc>
        <w:tc>
          <w:tcPr>
            <w:tcW w:type="dxa" w:w="5112"/>
            <w:shd w:fill="F3F5F7"/>
            <w:vAlign w:val="center"/>
          </w:tcPr>
          <w:p>
            <w:pPr>
              <w:spacing w:before="40" w:after="40" w:line="240" w:lineRule="auto"/>
            </w:pPr>
            <w:r>
              <w:rPr>
                <w:rFonts w:ascii="Arial" w:hAnsi="Arial"/>
                <w:sz w:val="17"/>
              </w:rPr>
              <w:t>Builds all five OCM component images for linux/amd64 using the upstream Dockerfile paths and configurable engine, registry, and tag values.</w:t>
            </w:r>
          </w:p>
        </w:tc>
      </w:tr>
      <w:tr>
        <w:trPr>
          <w:cantSplit/>
        </w:trPr>
        <w:tc>
          <w:tcPr>
            <w:tcW w:type="dxa" w:w="1800"/>
            <w:vAlign w:val="center"/>
          </w:tcPr>
          <w:p>
            <w:pPr>
              <w:spacing w:before="40" w:after="40" w:line="240" w:lineRule="auto"/>
            </w:pPr>
            <w:r>
              <w:rPr>
                <w:rFonts w:ascii="Arial" w:hAnsi="Arial"/>
                <w:sz w:val="17"/>
              </w:rPr>
              <w:t>make docker-test</w:t>
            </w:r>
          </w:p>
        </w:tc>
        <w:tc>
          <w:tcPr>
            <w:tcW w:type="dxa" w:w="3528"/>
            <w:vAlign w:val="center"/>
          </w:tcPr>
          <w:p>
            <w:pPr>
              <w:spacing w:before="40" w:after="40" w:line="240" w:lineRule="auto"/>
            </w:pPr>
            <w:r>
              <w:rPr>
                <w:rFonts w:ascii="Arial" w:hAnsi="Arial"/>
                <w:sz w:val="17"/>
              </w:rPr>
              <w:t>New image-validation wrapper; separate from upstream Go tests.</w:t>
            </w:r>
          </w:p>
        </w:tc>
        <w:tc>
          <w:tcPr>
            <w:tcW w:type="dxa" w:w="5112"/>
            <w:vAlign w:val="center"/>
          </w:tcPr>
          <w:p>
            <w:pPr>
              <w:spacing w:before="40" w:after="40" w:line="240" w:lineRule="auto"/>
            </w:pPr>
            <w:r>
              <w:rPr>
                <w:rFonts w:ascii="Arial" w:hAnsi="Arial"/>
                <w:sz w:val="17"/>
              </w:rPr>
              <w:t>Checks UBI9 identity, amd64 architecture, non-root UID 10001, expected executables, and help/startup behavior. It does not replace make test.</w:t>
            </w:r>
          </w:p>
        </w:tc>
      </w:tr>
      <w:tr>
        <w:trPr>
          <w:cantSplit/>
        </w:trPr>
        <w:tc>
          <w:tcPr>
            <w:tcW w:type="dxa" w:w="1800"/>
            <w:shd w:fill="F3F5F7"/>
            <w:vAlign w:val="center"/>
          </w:tcPr>
          <w:p>
            <w:pPr>
              <w:spacing w:before="40" w:after="40" w:line="240" w:lineRule="auto"/>
            </w:pPr>
            <w:r>
              <w:rPr>
                <w:rFonts w:ascii="Arial" w:hAnsi="Arial"/>
                <w:sz w:val="17"/>
              </w:rPr>
              <w:t>make helm-package</w:t>
            </w:r>
          </w:p>
        </w:tc>
        <w:tc>
          <w:tcPr>
            <w:tcW w:type="dxa" w:w="3528"/>
            <w:shd w:fill="F3F5F7"/>
            <w:vAlign w:val="center"/>
          </w:tcPr>
          <w:p>
            <w:pPr>
              <w:spacing w:before="40" w:after="40" w:line="240" w:lineRule="auto"/>
            </w:pPr>
            <w:r>
              <w:rPr>
                <w:rFonts w:ascii="Arial" w:hAnsi="Arial"/>
                <w:sz w:val="17"/>
              </w:rPr>
              <w:t>New packaging convenience target for the existing charts.</w:t>
            </w:r>
          </w:p>
        </w:tc>
        <w:tc>
          <w:tcPr>
            <w:tcW w:type="dxa" w:w="5112"/>
            <w:shd w:fill="F3F5F7"/>
            <w:vAlign w:val="center"/>
          </w:tcPr>
          <w:p>
            <w:pPr>
              <w:spacing w:before="40" w:after="40" w:line="240" w:lineRule="auto"/>
            </w:pPr>
            <w:r>
              <w:rPr>
                <w:rFonts w:ascii="Arial" w:hAnsi="Arial"/>
                <w:sz w:val="17"/>
              </w:rPr>
              <w:t>Lints and packages the Cluster Manager and Klusterlet charts with a configurable chart version. It does not publish, sign, or mirror packages.</w:t>
            </w:r>
          </w:p>
        </w:tc>
      </w:tr>
      <w:tr>
        <w:trPr>
          <w:cantSplit/>
        </w:trPr>
        <w:tc>
          <w:tcPr>
            <w:tcW w:type="dxa" w:w="1800"/>
            <w:vAlign w:val="center"/>
          </w:tcPr>
          <w:p>
            <w:pPr>
              <w:spacing w:before="40" w:after="40" w:line="240" w:lineRule="auto"/>
            </w:pPr>
            <w:r>
              <w:rPr>
                <w:rFonts w:ascii="Arial" w:hAnsi="Arial"/>
                <w:sz w:val="17"/>
              </w:rPr>
              <w:t>make deploy</w:t>
            </w:r>
          </w:p>
        </w:tc>
        <w:tc>
          <w:tcPr>
            <w:tcW w:type="dxa" w:w="3528"/>
            <w:vAlign w:val="center"/>
          </w:tcPr>
          <w:p>
            <w:pPr>
              <w:spacing w:before="40" w:after="40" w:line="240" w:lineRule="auto"/>
            </w:pPr>
            <w:r>
              <w:rPr>
                <w:rFonts w:ascii="Arial" w:hAnsi="Arial"/>
                <w:sz w:val="17"/>
              </w:rPr>
              <w:t>New local deployment wrapper for the existing hub chart.</w:t>
            </w:r>
          </w:p>
        </w:tc>
        <w:tc>
          <w:tcPr>
            <w:tcW w:type="dxa" w:w="5112"/>
            <w:vAlign w:val="center"/>
          </w:tcPr>
          <w:p>
            <w:pPr>
              <w:spacing w:before="40" w:after="40" w:line="240" w:lineRule="auto"/>
            </w:pPr>
            <w:r>
              <w:rPr>
                <w:rFonts w:ascii="Arial" w:hAnsi="Arial"/>
                <w:sz w:val="17"/>
              </w:rPr>
              <w:t>Installs or upgrades the hub-side OCM components using local UBI9 image overrides. The managed-cluster side remains the separate deploy-managed flow.</w:t>
            </w:r>
          </w:p>
        </w:tc>
      </w:tr>
    </w:tbl>
    <w:p>
      <w:r>
        <w:t>A credential-free local pipeline interface is documented; no IBM pipeline execution is claimed. Registry, tag, platform, container engine, chart version, Kubernetes context, and bootstrap kubeconfig remain parameters, and no IBM credentials or namespaces are embedded.</w:t>
      </w:r>
    </w:p>
    <w:p>
      <w:pPr>
        <w:pStyle w:val="Heading2"/>
      </w:pPr>
      <w:r>
        <w:t>3.3 Helm delivery</w:t>
      </w:r>
    </w:p>
    <w:p>
      <w:r>
        <w:t>The repository already contains a Cluster Manager chart and a Klusterlet chart, so no replacement chart was created. Local values override all component images with the UBI9 builds and set imagePullPolicy to Never so Minikube uses locally loaded images.</w:t>
      </w:r>
    </w:p>
    <w:p>
      <w:pPr>
        <w:spacing w:after="120"/>
      </w:pPr>
      <w:r>
        <w:rPr>
          <w:b/>
        </w:rPr>
        <w:t xml:space="preserve">Where image references are defined. </w:t>
      </w:r>
      <w:r>
        <w:t>For local testing, all five image names are set in deploy/local/cluster-manager-ubi9-values.yaml; the Klusterlet-side overrides are in deploy/local/klusterlet-ubi9-values.yaml. Helm renders those values into the operator Deployment and the ClusterManager/Klusterlet CR image pull specifications. The operator then uses those specifications when it creates the application Deployments.</w:t>
      </w:r>
    </w:p>
    <w:p>
      <w:pPr>
        <w:pStyle w:val="ListBullet"/>
        <w:spacing w:after="120" w:line="264" w:lineRule="auto"/>
        <w:ind w:left="720" w:hanging="360"/>
      </w:pPr>
      <w:r>
        <w:rPr>
          <w:b/>
        </w:rPr>
        <w:t xml:space="preserve">Cluster Manager chart: </w:t>
      </w:r>
      <w:r>
        <w:t>installs the hub CRD/operator and creates the ClusterManager request; the operator deploys Registration, Work, Placement, and Add-on components.</w:t>
      </w:r>
    </w:p>
    <w:p>
      <w:pPr>
        <w:pStyle w:val="ListBullet"/>
        <w:spacing w:after="120" w:line="264" w:lineRule="auto"/>
        <w:ind w:left="720" w:hanging="360"/>
      </w:pPr>
      <w:r>
        <w:rPr>
          <w:b/>
        </w:rPr>
        <w:t xml:space="preserve">Klusterlet chart: </w:t>
      </w:r>
      <w:r>
        <w:t>installs the managed-cluster CRD/operator and creates the Klusterlet request; the operator deploys Registration and Work agents.</w:t>
      </w:r>
    </w:p>
    <w:p>
      <w:pPr>
        <w:pStyle w:val="ListBullet"/>
        <w:spacing w:after="120" w:line="264" w:lineRule="auto"/>
        <w:ind w:left="720" w:hanging="360"/>
      </w:pPr>
      <w:r>
        <w:rPr>
          <w:b/>
        </w:rPr>
        <w:t xml:space="preserve">Packaging: </w:t>
      </w:r>
      <w:r>
        <w:t>both charts lint and render successfully and package as cluster-manager-0.3.0.tgz and klusterlet-0.3.0.tgz.</w:t>
      </w:r>
    </w:p>
    <w:p>
      <w:pPr>
        <w:pStyle w:val="Heading1"/>
      </w:pPr>
      <w:r>
        <w:t>4. Testing performed</w:t>
      </w:r>
    </w:p>
    <w:p>
      <w:r>
        <w:t>Testing was layered from static packaging checks through live OCM behavior. This separates evidence that an image merely builds from evidence that the platform performs its intended multicluster functions.</w:t>
      </w:r>
    </w:p>
    <w:p>
      <w:pPr>
        <w:spacing w:after="120" w:before="80"/>
        <w:shd w:fill="FFF2CC"/>
        <w:ind w:left="100" w:right="100"/>
      </w:pPr>
      <w:r>
        <w:rPr>
          <w:b/>
        </w:rPr>
        <w:t xml:space="preserve">Local topology — </w:t>
      </w:r>
      <w:r>
        <w:t>The isolated ocm-ubi9 Minikube profile acted as both the hub and the locally registered managed cluster. This exercises the full registration, placement, work-delivery, and feedback control loop, but it does not prove cross-network behavior, multi-cluster scale, high availability, upgrades, or RKE2 compatibility.</w:t>
      </w:r>
    </w:p>
    <w:tbl>
      <w:tblPr>
        <w:tblStyle w:val="TableGrid"/>
        <w:tblW w:type="dxa" w:w="9360"/>
        <w:jc w:val="left"/>
        <w:tblLayout w:type="fixed"/>
        <w:tblLook w:firstColumn="1" w:firstRow="1" w:lastColumn="0" w:lastRow="0" w:noHBand="0" w:noVBand="1" w:val="04A0"/>
        <w:tblInd w:w="120" w:type="dxa"/>
      </w:tblPr>
      <w:tblGrid>
        <w:gridCol w:w="1440"/>
        <w:gridCol w:w="2160"/>
        <w:gridCol w:w="3960"/>
        <w:gridCol w:w="1800"/>
      </w:tblGrid>
      <w:tr>
        <w:trPr>
          <w:tblHeader w:val="true"/>
          <w:cantSplit/>
        </w:trPr>
        <w:tc>
          <w:tcPr>
            <w:tcW w:type="dxa" w:w="1440"/>
            <w:shd w:fill="17365D"/>
            <w:tcMar>
              <w:top w:w="80" w:type="dxa"/>
              <w:start w:w="120" w:type="dxa"/>
              <w:bottom w:w="80" w:type="dxa"/>
              <w:end w:w="120" w:type="dxa"/>
            </w:tcMar>
            <w:vAlign w:val="center"/>
          </w:tcPr>
          <w:p>
            <w:pPr>
              <w:spacing w:before="0" w:after="0" w:line="252" w:lineRule="auto"/>
              <w:jc w:val="left"/>
            </w:pPr>
            <w:r>
              <w:rPr>
                <w:rFonts w:ascii="Calibri" w:hAnsi="Calibri"/>
                <w:b/>
                <w:color w:val="FFFFFF"/>
                <w:sz w:val="18"/>
              </w:rPr>
              <w:t>Test layer</w:t>
            </w:r>
          </w:p>
        </w:tc>
        <w:tc>
          <w:tcPr>
            <w:tcW w:type="dxa" w:w="2160"/>
            <w:shd w:fill="17365D"/>
            <w:tcMar>
              <w:top w:w="80" w:type="dxa"/>
              <w:start w:w="120" w:type="dxa"/>
              <w:bottom w:w="80" w:type="dxa"/>
              <w:end w:w="120" w:type="dxa"/>
            </w:tcMar>
            <w:vAlign w:val="center"/>
          </w:tcPr>
          <w:p>
            <w:pPr>
              <w:spacing w:before="0" w:after="0" w:line="252" w:lineRule="auto"/>
              <w:jc w:val="left"/>
            </w:pPr>
            <w:r>
              <w:rPr>
                <w:rFonts w:ascii="Calibri" w:hAnsi="Calibri"/>
                <w:b/>
                <w:color w:val="FFFFFF"/>
                <w:sz w:val="18"/>
              </w:rPr>
              <w:t>Method</w:t>
            </w:r>
          </w:p>
        </w:tc>
        <w:tc>
          <w:tcPr>
            <w:tcW w:type="dxa" w:w="3960"/>
            <w:shd w:fill="17365D"/>
            <w:tcMar>
              <w:top w:w="80" w:type="dxa"/>
              <w:start w:w="120" w:type="dxa"/>
              <w:bottom w:w="80" w:type="dxa"/>
              <w:end w:w="120" w:type="dxa"/>
            </w:tcMar>
            <w:vAlign w:val="center"/>
          </w:tcPr>
          <w:p>
            <w:pPr>
              <w:spacing w:before="0" w:after="0" w:line="252" w:lineRule="auto"/>
              <w:jc w:val="left"/>
            </w:pPr>
            <w:r>
              <w:rPr>
                <w:rFonts w:ascii="Calibri" w:hAnsi="Calibri"/>
                <w:b/>
                <w:color w:val="FFFFFF"/>
                <w:sz w:val="18"/>
              </w:rPr>
              <w:t>Acceptance criterion</w:t>
            </w:r>
          </w:p>
        </w:tc>
        <w:tc>
          <w:tcPr>
            <w:tcW w:type="dxa" w:w="1800"/>
            <w:shd w:fill="17365D"/>
            <w:tcMar>
              <w:top w:w="80" w:type="dxa"/>
              <w:start w:w="120" w:type="dxa"/>
              <w:bottom w:w="80" w:type="dxa"/>
              <w:end w:w="120" w:type="dxa"/>
            </w:tcMar>
            <w:vAlign w:val="center"/>
          </w:tcPr>
          <w:p>
            <w:pPr>
              <w:spacing w:before="0" w:after="0" w:line="252" w:lineRule="auto"/>
              <w:jc w:val="left"/>
            </w:pPr>
            <w:r>
              <w:rPr>
                <w:rFonts w:ascii="Calibri" w:hAnsi="Calibri"/>
                <w:b/>
                <w:color w:val="FFFFFF"/>
                <w:sz w:val="18"/>
              </w:rPr>
              <w:t>Result</w:t>
            </w:r>
          </w:p>
        </w:tc>
      </w:tr>
      <w:tr>
        <w:trPr>
          <w:cantSplit/>
        </w:trPr>
        <w:tc>
          <w:tcPr>
            <w:tcW w:type="dxa" w:w="144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Dockerfile</w:t>
            </w:r>
          </w:p>
        </w:tc>
        <w:tc>
          <w:tcPr>
            <w:tcW w:type="dxa" w:w="216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Static verification</w:t>
            </w:r>
          </w:p>
        </w:tc>
        <w:tc>
          <w:tcPr>
            <w:tcW w:type="dxa" w:w="396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Every final stage is UBI9 and USER resolves to 10001</w:t>
            </w:r>
          </w:p>
        </w:tc>
        <w:tc>
          <w:tcPr>
            <w:tcW w:type="dxa" w:w="1800"/>
            <w:shd w:fill="E2F0D9"/>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Pass</w:t>
            </w:r>
          </w:p>
        </w:tc>
      </w:tr>
      <w:tr>
        <w:trPr>
          <w:cantSplit/>
        </w:trPr>
        <w:tc>
          <w:tcPr>
            <w:tcW w:type="dxa" w:w="144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Build</w:t>
            </w:r>
          </w:p>
        </w:tc>
        <w:tc>
          <w:tcPr>
            <w:tcW w:type="dxa" w:w="216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Docker, linux/amd64</w:t>
            </w:r>
          </w:p>
        </w:tc>
        <w:tc>
          <w:tcPr>
            <w:tcW w:type="dxa" w:w="396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All five images build successfully</w:t>
            </w:r>
          </w:p>
        </w:tc>
        <w:tc>
          <w:tcPr>
            <w:tcW w:type="dxa" w:w="1800"/>
            <w:shd w:fill="E2F0D9"/>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Pass</w:t>
            </w:r>
          </w:p>
        </w:tc>
      </w:tr>
      <w:tr>
        <w:trPr>
          <w:cantSplit/>
        </w:trPr>
        <w:tc>
          <w:tcPr>
            <w:tcW w:type="dxa" w:w="144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Metadata</w:t>
            </w:r>
          </w:p>
        </w:tc>
        <w:tc>
          <w:tcPr>
            <w:tcW w:type="dxa" w:w="216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docker image inspect</w:t>
            </w:r>
          </w:p>
        </w:tc>
        <w:tc>
          <w:tcPr>
            <w:tcW w:type="dxa" w:w="396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OS linux; architecture amd64; configured user 10001</w:t>
            </w:r>
          </w:p>
        </w:tc>
        <w:tc>
          <w:tcPr>
            <w:tcW w:type="dxa" w:w="1800"/>
            <w:shd w:fill="E2F0D9"/>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Pass</w:t>
            </w:r>
          </w:p>
        </w:tc>
      </w:tr>
      <w:tr>
        <w:trPr>
          <w:cantSplit/>
        </w:trPr>
        <w:tc>
          <w:tcPr>
            <w:tcW w:type="dxa" w:w="144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UBI identity</w:t>
            </w:r>
          </w:p>
        </w:tc>
        <w:tc>
          <w:tcPr>
            <w:tcW w:type="dxa" w:w="216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/etc/redhat-release</w:t>
            </w:r>
          </w:p>
        </w:tc>
        <w:tc>
          <w:tcPr>
            <w:tcW w:type="dxa" w:w="396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RHEL/UBI major version 9</w:t>
            </w:r>
          </w:p>
        </w:tc>
        <w:tc>
          <w:tcPr>
            <w:tcW w:type="dxa" w:w="1800"/>
            <w:shd w:fill="E2F0D9"/>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Pass</w:t>
            </w:r>
          </w:p>
        </w:tc>
      </w:tr>
      <w:tr>
        <w:trPr>
          <w:cantSplit/>
        </w:trPr>
        <w:tc>
          <w:tcPr>
            <w:tcW w:type="dxa" w:w="144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Binary smoke</w:t>
            </w:r>
          </w:p>
        </w:tc>
        <w:tc>
          <w:tcPr>
            <w:tcW w:type="dxa" w:w="216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Run six binaries with --help</w:t>
            </w:r>
          </w:p>
        </w:tc>
        <w:tc>
          <w:tcPr>
            <w:tcW w:type="dxa" w:w="396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Executable and non-empty safe startup</w:t>
            </w:r>
          </w:p>
        </w:tc>
        <w:tc>
          <w:tcPr>
            <w:tcW w:type="dxa" w:w="1800"/>
            <w:shd w:fill="E2F0D9"/>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Pass</w:t>
            </w:r>
          </w:p>
        </w:tc>
      </w:tr>
      <w:tr>
        <w:trPr>
          <w:cantSplit/>
        </w:trPr>
        <w:tc>
          <w:tcPr>
            <w:tcW w:type="dxa" w:w="144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Kubernetes smoke</w:t>
            </w:r>
          </w:p>
        </w:tc>
        <w:tc>
          <w:tcPr>
            <w:tcW w:type="dxa" w:w="216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Six hardened Jobs</w:t>
            </w:r>
          </w:p>
        </w:tc>
        <w:tc>
          <w:tcPr>
            <w:tcW w:type="dxa" w:w="396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Exit 0; zero application restarts</w:t>
            </w:r>
          </w:p>
        </w:tc>
        <w:tc>
          <w:tcPr>
            <w:tcW w:type="dxa" w:w="1800"/>
            <w:shd w:fill="E2F0D9"/>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Pass</w:t>
            </w:r>
          </w:p>
        </w:tc>
      </w:tr>
      <w:tr>
        <w:trPr>
          <w:cantSplit/>
        </w:trPr>
        <w:tc>
          <w:tcPr>
            <w:tcW w:type="dxa" w:w="144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Helm static</w:t>
            </w:r>
          </w:p>
        </w:tc>
        <w:tc>
          <w:tcPr>
            <w:tcW w:type="dxa" w:w="216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helm lint/template</w:t>
            </w:r>
          </w:p>
        </w:tc>
        <w:tc>
          <w:tcPr>
            <w:tcW w:type="dxa" w:w="396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Both charts valid and render UBI9 image references</w:t>
            </w:r>
          </w:p>
        </w:tc>
        <w:tc>
          <w:tcPr>
            <w:tcW w:type="dxa" w:w="1800"/>
            <w:shd w:fill="E2F0D9"/>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Pass</w:t>
            </w:r>
          </w:p>
        </w:tc>
      </w:tr>
      <w:tr>
        <w:trPr>
          <w:cantSplit/>
        </w:trPr>
        <w:tc>
          <w:tcPr>
            <w:tcW w:type="dxa" w:w="144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Operator deploy</w:t>
            </w:r>
          </w:p>
        </w:tc>
        <w:tc>
          <w:tcPr>
            <w:tcW w:type="dxa" w:w="216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Helm + kubectl</w:t>
            </w:r>
          </w:p>
        </w:tc>
        <w:tc>
          <w:tcPr>
            <w:tcW w:type="dxa" w:w="396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Operators and generated workloads Ready</w:t>
            </w:r>
          </w:p>
        </w:tc>
        <w:tc>
          <w:tcPr>
            <w:tcW w:type="dxa" w:w="1800"/>
            <w:shd w:fill="E2F0D9"/>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Pass</w:t>
            </w:r>
          </w:p>
        </w:tc>
      </w:tr>
      <w:tr>
        <w:trPr>
          <w:cantSplit/>
        </w:trPr>
        <w:tc>
          <w:tcPr>
            <w:tcW w:type="dxa" w:w="144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Registration</w:t>
            </w:r>
          </w:p>
        </w:tc>
        <w:tc>
          <w:tcPr>
            <w:tcW w:type="dxa" w:w="216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ManagedCluster conditions</w:t>
            </w:r>
          </w:p>
        </w:tc>
        <w:tc>
          <w:tcPr>
            <w:tcW w:type="dxa" w:w="396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Joined=True and Available=True</w:t>
            </w:r>
          </w:p>
        </w:tc>
        <w:tc>
          <w:tcPr>
            <w:tcW w:type="dxa" w:w="1800"/>
            <w:shd w:fill="E2F0D9"/>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Pass</w:t>
            </w:r>
          </w:p>
        </w:tc>
      </w:tr>
      <w:tr>
        <w:trPr>
          <w:cantSplit/>
        </w:trPr>
        <w:tc>
          <w:tcPr>
            <w:tcW w:type="dxa" w:w="144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Placement</w:t>
            </w:r>
          </w:p>
        </w:tc>
        <w:tc>
          <w:tcPr>
            <w:tcW w:type="dxa" w:w="216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PlacementDecision</w:t>
            </w:r>
          </w:p>
        </w:tc>
        <w:tc>
          <w:tcPr>
            <w:tcW w:type="dxa" w:w="396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Selects ocm-ubi9-local</w:t>
            </w:r>
          </w:p>
        </w:tc>
        <w:tc>
          <w:tcPr>
            <w:tcW w:type="dxa" w:w="1800"/>
            <w:shd w:fill="E2F0D9"/>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Pass</w:t>
            </w:r>
          </w:p>
        </w:tc>
      </w:tr>
      <w:tr>
        <w:trPr>
          <w:cantSplit/>
        </w:trPr>
        <w:tc>
          <w:tcPr>
            <w:tcW w:type="dxa" w:w="144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Work delivery</w:t>
            </w:r>
          </w:p>
        </w:tc>
        <w:tc>
          <w:tcPr>
            <w:tcW w:type="dxa" w:w="216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ManifestWork</w:t>
            </w:r>
          </w:p>
        </w:tc>
        <w:tc>
          <w:tcPr>
            <w:tcW w:type="dxa" w:w="396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Applied=True and Available=True</w:t>
            </w:r>
          </w:p>
        </w:tc>
        <w:tc>
          <w:tcPr>
            <w:tcW w:type="dxa" w:w="1800"/>
            <w:shd w:fill="E2F0D9"/>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Pass</w:t>
            </w:r>
          </w:p>
        </w:tc>
      </w:tr>
      <w:tr>
        <w:trPr>
          <w:cantSplit/>
        </w:trPr>
        <w:tc>
          <w:tcPr>
            <w:tcW w:type="dxa" w:w="144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Feedback</w:t>
            </w:r>
          </w:p>
        </w:tc>
        <w:tc>
          <w:tcPr>
            <w:tcW w:type="dxa" w:w="216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Delivered ConfigMap</w:t>
            </w:r>
          </w:p>
        </w:tc>
        <w:tc>
          <w:tcPr>
            <w:tcW w:type="dxa" w:w="396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Expected result visible on managed cluster</w:t>
            </w:r>
          </w:p>
        </w:tc>
        <w:tc>
          <w:tcPr>
            <w:tcW w:type="dxa" w:w="1800"/>
            <w:shd w:fill="E2F0D9"/>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Pass</w:t>
            </w:r>
          </w:p>
        </w:tc>
      </w:tr>
    </w:tbl>
    <w:p>
      <w:pPr>
        <w:spacing w:after="0"/>
      </w:pPr>
    </w:p>
    <w:p>
      <w:pPr>
        <w:pStyle w:val="Heading2"/>
      </w:pPr>
      <w:r>
        <w:t>4.1 Image build and runtime commands</w:t>
      </w:r>
    </w:p>
    <w:p>
      <w:r>
        <w:t>The standardized wrapper runs the complete build and image-verification sequence. Detailed inspection commands are retained in Appendix A.</w:t>
      </w:r>
    </w:p>
    <w:p>
      <w:pPr>
        <w:keepLines/>
        <w:spacing w:before="60" w:after="140" w:line="240" w:lineRule="auto"/>
        <w:ind w:left="259" w:right="259"/>
        <w:shd w:fill="F5F7F9"/>
      </w:pPr>
      <w:r>
        <w:rPr>
          <w:rFonts w:ascii="Consolas" w:hAnsi="Consolas"/>
          <w:sz w:val="16"/>
        </w:rPr>
        <w:t>make docker-build &amp;&amp; make docker-test</w:t>
      </w:r>
    </w:p>
    <w:p>
      <w:pPr>
        <w:pStyle w:val="Heading1"/>
      </w:pPr>
      <w:r>
        <w:t>5. Current image evidence</w:t>
      </w:r>
    </w:p>
    <w:p>
      <w:r>
        <w:t>Evidence refreshed from the local Docker engine on July 21, 2026.</w:t>
      </w:r>
    </w:p>
    <w:tbl>
      <w:tblPr>
        <w:tblStyle w:val="TableGrid"/>
        <w:tblW w:type="dxa" w:w="9360"/>
        <w:jc w:val="left"/>
        <w:tblLayout w:type="fixed"/>
        <w:tblLook w:firstColumn="1" w:firstRow="1" w:lastColumn="0" w:lastRow="0" w:noHBand="0" w:noVBand="1" w:val="04A0"/>
        <w:tblInd w:w="120" w:type="dxa"/>
      </w:tblPr>
      <w:tblGrid>
        <w:gridCol w:w="2520"/>
        <w:gridCol w:w="2520"/>
        <w:gridCol w:w="1440"/>
        <w:gridCol w:w="2880"/>
      </w:tblGrid>
      <w:tr>
        <w:trPr>
          <w:tblHeader w:val="true"/>
          <w:cantSplit/>
        </w:trPr>
        <w:tc>
          <w:tcPr>
            <w:tcW w:type="dxa" w:w="2520"/>
            <w:shd w:fill="17365D"/>
            <w:tcMar>
              <w:top w:w="80" w:type="dxa"/>
              <w:start w:w="120" w:type="dxa"/>
              <w:bottom w:w="80" w:type="dxa"/>
              <w:end w:w="120" w:type="dxa"/>
            </w:tcMar>
            <w:vAlign w:val="center"/>
          </w:tcPr>
          <w:p>
            <w:pPr>
              <w:spacing w:before="0" w:after="0" w:line="252" w:lineRule="auto"/>
              <w:jc w:val="left"/>
            </w:pPr>
            <w:r>
              <w:rPr>
                <w:rFonts w:ascii="Calibri" w:hAnsi="Calibri"/>
                <w:b/>
                <w:color w:val="FFFFFF"/>
                <w:sz w:val="18"/>
              </w:rPr>
              <w:t>Image</w:t>
            </w:r>
          </w:p>
        </w:tc>
        <w:tc>
          <w:tcPr>
            <w:tcW w:type="dxa" w:w="2520"/>
            <w:shd w:fill="17365D"/>
            <w:tcMar>
              <w:top w:w="80" w:type="dxa"/>
              <w:start w:w="120" w:type="dxa"/>
              <w:bottom w:w="80" w:type="dxa"/>
              <w:end w:w="120" w:type="dxa"/>
            </w:tcMar>
            <w:vAlign w:val="center"/>
          </w:tcPr>
          <w:p>
            <w:pPr>
              <w:spacing w:before="0" w:after="0" w:line="252" w:lineRule="auto"/>
              <w:jc w:val="left"/>
            </w:pPr>
            <w:r>
              <w:rPr>
                <w:rFonts w:ascii="Calibri" w:hAnsi="Calibri"/>
                <w:b/>
                <w:color w:val="FFFFFF"/>
                <w:sz w:val="18"/>
              </w:rPr>
              <w:t>Image ID (short)</w:t>
            </w:r>
          </w:p>
        </w:tc>
        <w:tc>
          <w:tcPr>
            <w:tcW w:type="dxa" w:w="1440"/>
            <w:shd w:fill="17365D"/>
            <w:tcMar>
              <w:top w:w="80" w:type="dxa"/>
              <w:start w:w="120" w:type="dxa"/>
              <w:bottom w:w="80" w:type="dxa"/>
              <w:end w:w="120" w:type="dxa"/>
            </w:tcMar>
            <w:vAlign w:val="center"/>
          </w:tcPr>
          <w:p>
            <w:pPr>
              <w:spacing w:before="0" w:after="0" w:line="252" w:lineRule="auto"/>
              <w:jc w:val="left"/>
            </w:pPr>
            <w:r>
              <w:rPr>
                <w:rFonts w:ascii="Calibri" w:hAnsi="Calibri"/>
                <w:b/>
                <w:color w:val="FFFFFF"/>
                <w:sz w:val="18"/>
              </w:rPr>
              <w:t>Size</w:t>
            </w:r>
          </w:p>
        </w:tc>
        <w:tc>
          <w:tcPr>
            <w:tcW w:type="dxa" w:w="2880"/>
            <w:shd w:fill="17365D"/>
            <w:tcMar>
              <w:top w:w="80" w:type="dxa"/>
              <w:start w:w="120" w:type="dxa"/>
              <w:bottom w:w="80" w:type="dxa"/>
              <w:end w:w="120" w:type="dxa"/>
            </w:tcMar>
            <w:vAlign w:val="center"/>
          </w:tcPr>
          <w:p>
            <w:pPr>
              <w:spacing w:before="0" w:after="0" w:line="252" w:lineRule="auto"/>
              <w:jc w:val="left"/>
            </w:pPr>
            <w:r>
              <w:rPr>
                <w:rFonts w:ascii="Calibri" w:hAnsi="Calibri"/>
                <w:b/>
                <w:color w:val="FFFFFF"/>
                <w:sz w:val="18"/>
              </w:rPr>
              <w:t>Platform / user</w:t>
            </w:r>
          </w:p>
        </w:tc>
      </w:tr>
      <w:tr>
        <w:trPr>
          <w:cantSplit/>
        </w:trPr>
        <w:tc>
          <w:tcPr>
            <w:tcW w:type="dxa" w:w="252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registration</w:t>
            </w:r>
          </w:p>
        </w:tc>
        <w:tc>
          <w:tcPr>
            <w:tcW w:type="dxa" w:w="252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50b55a40c0d4</w:t>
            </w:r>
          </w:p>
        </w:tc>
        <w:tc>
          <w:tcPr>
            <w:tcW w:type="dxa" w:w="144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472.2 MB</w:t>
            </w:r>
          </w:p>
        </w:tc>
        <w:tc>
          <w:tcPr>
            <w:tcW w:type="dxa" w:w="288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linux/amd64 • 10001</w:t>
            </w:r>
          </w:p>
        </w:tc>
      </w:tr>
      <w:tr>
        <w:trPr>
          <w:cantSplit/>
        </w:trPr>
        <w:tc>
          <w:tcPr>
            <w:tcW w:type="dxa" w:w="252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work</w:t>
            </w:r>
          </w:p>
        </w:tc>
        <w:tc>
          <w:tcPr>
            <w:tcW w:type="dxa" w:w="252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3d2354023f76</w:t>
            </w:r>
          </w:p>
        </w:tc>
        <w:tc>
          <w:tcPr>
            <w:tcW w:type="dxa" w:w="144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342.4 MB</w:t>
            </w:r>
          </w:p>
        </w:tc>
        <w:tc>
          <w:tcPr>
            <w:tcW w:type="dxa" w:w="288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linux/amd64 • 10001</w:t>
            </w:r>
          </w:p>
        </w:tc>
      </w:tr>
      <w:tr>
        <w:trPr>
          <w:cantSplit/>
        </w:trPr>
        <w:tc>
          <w:tcPr>
            <w:tcW w:type="dxa" w:w="252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placement</w:t>
            </w:r>
          </w:p>
        </w:tc>
        <w:tc>
          <w:tcPr>
            <w:tcW w:type="dxa" w:w="252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94800173e285</w:t>
            </w:r>
          </w:p>
        </w:tc>
        <w:tc>
          <w:tcPr>
            <w:tcW w:type="dxa" w:w="144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329.4 MB</w:t>
            </w:r>
          </w:p>
        </w:tc>
        <w:tc>
          <w:tcPr>
            <w:tcW w:type="dxa" w:w="288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linux/amd64 • 10001</w:t>
            </w:r>
          </w:p>
        </w:tc>
      </w:tr>
      <w:tr>
        <w:trPr>
          <w:cantSplit/>
        </w:trPr>
        <w:tc>
          <w:tcPr>
            <w:tcW w:type="dxa" w:w="252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registration-operator</w:t>
            </w:r>
          </w:p>
        </w:tc>
        <w:tc>
          <w:tcPr>
            <w:tcW w:type="dxa" w:w="252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29fcd549b3ad</w:t>
            </w:r>
          </w:p>
        </w:tc>
        <w:tc>
          <w:tcPr>
            <w:tcW w:type="dxa" w:w="144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345.0 MB</w:t>
            </w:r>
          </w:p>
        </w:tc>
        <w:tc>
          <w:tcPr>
            <w:tcW w:type="dxa" w:w="288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linux/amd64 • 10001</w:t>
            </w:r>
          </w:p>
        </w:tc>
      </w:tr>
      <w:tr>
        <w:trPr>
          <w:cantSplit/>
        </w:trPr>
        <w:tc>
          <w:tcPr>
            <w:tcW w:type="dxa" w:w="252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addon</w:t>
            </w:r>
          </w:p>
        </w:tc>
        <w:tc>
          <w:tcPr>
            <w:tcW w:type="dxa" w:w="252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363f2f884d9a</w:t>
            </w:r>
          </w:p>
        </w:tc>
        <w:tc>
          <w:tcPr>
            <w:tcW w:type="dxa" w:w="144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337.7 MB</w:t>
            </w:r>
          </w:p>
        </w:tc>
        <w:tc>
          <w:tcPr>
            <w:tcW w:type="dxa" w:w="288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linux/amd64 • 10001</w:t>
            </w:r>
          </w:p>
        </w:tc>
      </w:tr>
    </w:tbl>
    <w:p>
      <w:pPr>
        <w:spacing w:after="0"/>
      </w:pPr>
    </w:p>
    <w:p>
      <w:pPr>
        <w:pStyle w:val="Heading2"/>
      </w:pPr>
      <w:r>
        <w:t>5.1 Kubernetes and Helm evidence</w:t>
      </w:r>
    </w:p>
    <w:p>
      <w:pPr>
        <w:pStyle w:val="ListBullet"/>
        <w:spacing w:after="120" w:line="264" w:lineRule="auto"/>
        <w:ind w:left="720" w:hanging="360"/>
      </w:pPr>
      <w:r>
        <w:rPr>
          <w:b/>
        </w:rPr>
        <w:t xml:space="preserve">Helm releases: </w:t>
      </w:r>
      <w:r>
        <w:t>cluster-manager and klusterlet both report deployed in open-cluster-management.</w:t>
      </w:r>
    </w:p>
    <w:p>
      <w:pPr>
        <w:pStyle w:val="ListBullet"/>
        <w:spacing w:after="120" w:line="264" w:lineRule="auto"/>
        <w:ind w:left="720" w:hanging="360"/>
      </w:pPr>
      <w:r>
        <w:rPr>
          <w:b/>
        </w:rPr>
        <w:t xml:space="preserve">Operators: </w:t>
      </w:r>
      <w:r>
        <w:t>cluster-manager and klusterlet Deployments are 1/1 Ready.</w:t>
      </w:r>
    </w:p>
    <w:p>
      <w:pPr>
        <w:pStyle w:val="ListBullet"/>
        <w:spacing w:after="120" w:line="264" w:lineRule="auto"/>
        <w:ind w:left="720" w:hanging="360"/>
      </w:pPr>
      <w:r>
        <w:rPr>
          <w:b/>
        </w:rPr>
        <w:t xml:space="preserve">Hub workloads: </w:t>
      </w:r>
      <w:r>
        <w:t>registration controller/webhook, work webhook, placement controller, and add-on controller/webhook are Ready.</w:t>
      </w:r>
    </w:p>
    <w:p>
      <w:pPr>
        <w:pStyle w:val="ListBullet"/>
        <w:spacing w:after="120" w:line="264" w:lineRule="auto"/>
        <w:ind w:left="720" w:hanging="360"/>
      </w:pPr>
      <w:r>
        <w:rPr>
          <w:b/>
        </w:rPr>
        <w:t xml:space="preserve">Managed-cluster workload: </w:t>
      </w:r>
      <w:r>
        <w:t>klusterlet-agent is 1/1 Ready.</w:t>
      </w:r>
    </w:p>
    <w:p>
      <w:pPr>
        <w:pStyle w:val="ListBullet"/>
        <w:spacing w:after="120" w:line="264" w:lineRule="auto"/>
        <w:ind w:left="720" w:hanging="360"/>
      </w:pPr>
      <w:r>
        <w:rPr>
          <w:b/>
        </w:rPr>
        <w:t xml:space="preserve">Managed cluster: </w:t>
      </w:r>
      <w:r>
        <w:t>hub accepted; Joined=True; Available=True.</w:t>
      </w:r>
    </w:p>
    <w:p>
      <w:pPr>
        <w:keepLines/>
        <w:spacing w:before="60" w:after="140" w:line="240" w:lineRule="auto"/>
        <w:ind w:left="259" w:right="259"/>
        <w:shd w:fill="F5F7F9"/>
      </w:pPr>
      <w:r>
        <w:rPr>
          <w:rFonts w:ascii="Consolas" w:hAnsi="Consolas"/>
          <w:sz w:val="16"/>
        </w:rPr>
        <w:t>helm --kube-context ocm-ubi9 list --all-namespaces</w:t>
      </w:r>
    </w:p>
    <w:p>
      <w:pPr>
        <w:keepLines/>
        <w:spacing w:before="60" w:after="140" w:line="240" w:lineRule="auto"/>
        <w:ind w:left="259" w:right="259"/>
        <w:shd w:fill="F5F7F9"/>
      </w:pPr>
      <w:r>
        <w:rPr>
          <w:rFonts w:ascii="Consolas" w:hAnsi="Consolas"/>
          <w:sz w:val="16"/>
        </w:rPr>
        <w:t>kubectl --context ocm-ubi9 get deployments,pods --all-namespaces</w:t>
      </w:r>
    </w:p>
    <w:p>
      <w:pPr>
        <w:keepLines/>
        <w:spacing w:before="60" w:after="140" w:line="240" w:lineRule="auto"/>
        <w:ind w:left="259" w:right="259"/>
        <w:shd w:fill="F5F7F9"/>
      </w:pPr>
      <w:r>
        <w:rPr>
          <w:rFonts w:ascii="Consolas" w:hAnsi="Consolas"/>
          <w:sz w:val="16"/>
        </w:rPr>
        <w:t>kubectl --context ocm-ubi9 get clustermanager,klusterlet,managedcluster</w:t>
      </w:r>
    </w:p>
    <w:p>
      <w:pPr>
        <w:pStyle w:val="Heading1"/>
      </w:pPr>
      <w:r>
        <w:t>6. Core OCM functional tests</w:t>
      </w:r>
    </w:p>
    <w:p>
      <w:pPr>
        <w:pStyle w:val="Heading2"/>
      </w:pPr>
      <w:r>
        <w:t>6.1 Placement — cluster selection</w:t>
      </w:r>
    </w:p>
    <w:p>
      <w:r>
        <w:t>The managed cluster was labeled for the local test and assigned to the ocm-local-test ManagedClusterSet. A ManagedClusterSetBinding authorized the test namespace to use that set. Placement then evaluated the label selector and created a PlacementDecision.</w:t>
      </w:r>
    </w:p>
    <w:p>
      <w:pPr>
        <w:keepLines/>
        <w:spacing w:before="60" w:after="140" w:line="240" w:lineRule="auto"/>
        <w:ind w:left="259" w:right="259"/>
        <w:shd w:fill="F5F7F9"/>
      </w:pPr>
      <w:r>
        <w:rPr>
          <w:rFonts w:ascii="Consolas" w:hAnsi="Consolas"/>
          <w:sz w:val="16"/>
        </w:rPr>
        <w:t>kubectl --context ocm-ubi9 label managedcluster ocm-ubi9-local environment=ocm-local-test --overwrite</w:t>
        <w:br/>
        <w:t>kubectl --context ocm-ubi9 label managedcluster ocm-ubi9-local cluster.open-cluster-management.io/clusterset=ocm-local-test --overwrite</w:t>
        <w:br/>
        <w:t>kubectl --context ocm-ubi9 apply -f deploy/local/tests/placement.yaml</w:t>
      </w:r>
    </w:p>
    <w:p>
      <w:pPr>
        <w:keepLines/>
        <w:spacing w:before="60" w:after="140" w:line="240" w:lineRule="auto"/>
        <w:ind w:left="259" w:right="259"/>
        <w:shd w:fill="F5F7F9"/>
      </w:pPr>
      <w:r>
        <w:rPr>
          <w:rFonts w:ascii="Consolas" w:hAnsi="Consolas"/>
          <w:sz w:val="16"/>
        </w:rPr>
        <w:t>kubectl --context ocm-ubi9 -n ocm-functional-test get placement,placementdecision</w:t>
      </w: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E2F0D9"/>
          </w:tcPr>
          <w:p>
            <w:pPr>
              <w:spacing w:after="60"/>
            </w:pPr>
            <w:r/>
            <w:r>
              <w:rPr>
                <w:b/>
                <w:color w:val="17365D"/>
              </w:rPr>
              <w:t xml:space="preserve">Observed result — </w:t>
            </w:r>
            <w:r>
              <w:t>PlacementSatisfied=True; selectedCluster=ocm-ubi9-local.</w:t>
            </w:r>
          </w:p>
        </w:tc>
      </w:tr>
    </w:tbl>
    <w:p>
      <w:pPr>
        <w:spacing w:after="0"/>
      </w:pPr>
    </w:p>
    <w:p>
      <w:r>
        <w:t>This proves that the Placement controller is active, evaluates cluster eligibility, respects cluster-set namespace bindings, and publishes a concrete scheduling decision.</w:t>
      </w:r>
    </w:p>
    <w:p>
      <w:pPr>
        <w:pStyle w:val="Heading2"/>
      </w:pPr>
      <w:r>
        <w:t>6.2 ManifestWork — resource delivery and feedback</w:t>
      </w:r>
    </w:p>
    <w:p>
      <w:r>
        <w:t>A ManifestWork was created on the hub in the namespace associated with ocm-ubi9-local. It requested a target namespace and a ConfigMap. The managed-cluster work agent applied those resources and returned status to the hub.</w:t>
      </w:r>
    </w:p>
    <w:p>
      <w:pPr>
        <w:keepLines/>
        <w:spacing w:before="60" w:after="140" w:line="240" w:lineRule="auto"/>
        <w:ind w:left="259" w:right="259"/>
        <w:shd w:fill="F5F7F9"/>
      </w:pPr>
      <w:r>
        <w:rPr>
          <w:rFonts w:ascii="Consolas" w:hAnsi="Consolas"/>
          <w:sz w:val="16"/>
        </w:rPr>
        <w:t>kubectl --context ocm-ubi9 apply -f deploy/local/tests/manifestwork.yaml</w:t>
        <w:br/>
        <w:t>kubectl --context ocm-ubi9 -n ocm-ubi9-local wait --for=condition=Applied manifestwork/ocm-configmap-delivery --timeout=120s</w:t>
        <w:br/>
        <w:t>kubectl --context ocm-ubi9 -n ocm-ubi9-local wait --for=condition=Available manifestwork/ocm-configmap-delivery --timeout=120s</w:t>
      </w:r>
    </w:p>
    <w:p>
      <w:pPr>
        <w:keepLines/>
        <w:spacing w:before="60" w:after="140" w:line="240" w:lineRule="auto"/>
        <w:ind w:left="259" w:right="259"/>
        <w:shd w:fill="F5F7F9"/>
      </w:pPr>
      <w:r>
        <w:rPr>
          <w:rFonts w:ascii="Consolas" w:hAnsi="Consolas"/>
          <w:sz w:val="16"/>
        </w:rPr>
        <w:t>kubectl --context ocm-ubi9 -n ocm-functional-target get configmap delivered-by-ocm -o yaml</w:t>
      </w: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E2F0D9"/>
          </w:tcPr>
          <w:p>
            <w:pPr>
              <w:spacing w:after="60"/>
            </w:pPr>
            <w:r/>
            <w:r>
              <w:rPr>
                <w:b/>
                <w:color w:val="17365D"/>
              </w:rPr>
              <w:t xml:space="preserve">Observed result — </w:t>
            </w:r>
            <w:r>
              <w:t>Applied=True; Available=True; ConfigMap value: ‘OCM ManifestWork delivery succeeded’.</w:t>
            </w:r>
          </w:p>
        </w:tc>
      </w:tr>
    </w:tbl>
    <w:p>
      <w:pPr>
        <w:spacing w:after="0"/>
      </w:pPr>
    </w:p>
    <w:p>
      <w:r>
        <w:t>This proves the end-to-end OCM work path: the hub records desired work, the agent retrieves and applies it, and the observed result is reported back to the hub.</w:t>
      </w:r>
    </w:p>
    <w:p>
      <w:pPr>
        <w:pStyle w:val="Heading1"/>
      </w:pPr>
      <w:r>
        <w:t>7. Local UI and inspection</w:t>
      </w:r>
    </w:p>
    <w:p>
      <w:r>
        <w:t>OCM core does not provide the Red Hat ACM web console. For local visibility, the Kubernetes Dashboard and metrics-server add-ons were enabled in the isolated ocm-ubi9 Minikube profile. The dashboard shows operator and application Deployments, Pods, namespaces, resource health, events, and logs.</w:t>
      </w:r>
    </w:p>
    <w:p>
      <w:pPr/>
      <w:r>
        <w:t>In this report, “hub” means the Kubernetes cluster and OCM control-plane services—not a browser page. OCM is primarily operated through Kubernetes APIs, kubectl, Helm, and automation. The Dashboard is an infrastructure inspection aid and is not an OCM or ACM replacement UI.</w:t>
      </w:r>
    </w:p>
    <w:p>
      <w:pPr>
        <w:keepLines/>
        <w:spacing w:before="60" w:after="140" w:line="240" w:lineRule="auto"/>
        <w:ind w:left="259" w:right="259"/>
        <w:shd w:fill="F5F7F9"/>
      </w:pPr>
      <w:r>
        <w:rPr>
          <w:rFonts w:ascii="Consolas" w:hAnsi="Consolas"/>
          <w:sz w:val="16"/>
        </w:rPr>
        <w:t>minikube addons enable dashboard --profile ocm-ubi9</w:t>
        <w:br/>
        <w:t>minikube addons enable metrics-server --profile ocm-ubi9</w:t>
        <w:br/>
        <w:t>minikube dashboard --profile ocm-ubi9</w:t>
      </w:r>
    </w:p>
    <w:tbl>
      <w:tblPr>
        <w:tblStyle w:val="TableGrid"/>
        <w:tblW w:type="dxa" w:w="9360"/>
        <w:jc w:val="left"/>
        <w:tblLayout w:type="fixed"/>
        <w:tblLook w:firstColumn="1" w:firstRow="1" w:lastColumn="0" w:lastRow="0" w:noHBand="0" w:noVBand="1" w:val="04A0"/>
        <w:tblInd w:w="120" w:type="dxa"/>
      </w:tblPr>
      <w:tblGrid>
        <w:gridCol w:w="3600"/>
        <w:gridCol w:w="5760"/>
      </w:tblGrid>
      <w:tr>
        <w:trPr>
          <w:tblHeader w:val="true"/>
          <w:cantSplit/>
        </w:trPr>
        <w:tc>
          <w:tcPr>
            <w:tcW w:type="dxa" w:w="3600"/>
            <w:shd w:fill="17365D"/>
            <w:tcMar>
              <w:top w:w="80" w:type="dxa"/>
              <w:start w:w="120" w:type="dxa"/>
              <w:bottom w:w="80" w:type="dxa"/>
              <w:end w:w="120" w:type="dxa"/>
            </w:tcMar>
            <w:vAlign w:val="center"/>
          </w:tcPr>
          <w:p>
            <w:pPr>
              <w:spacing w:before="0" w:after="0" w:line="252" w:lineRule="auto"/>
              <w:jc w:val="left"/>
            </w:pPr>
            <w:r>
              <w:rPr>
                <w:rFonts w:ascii="Calibri" w:hAnsi="Calibri"/>
                <w:b/>
                <w:color w:val="FFFFFF"/>
                <w:sz w:val="18"/>
              </w:rPr>
              <w:t>Namespace</w:t>
            </w:r>
          </w:p>
        </w:tc>
        <w:tc>
          <w:tcPr>
            <w:tcW w:type="dxa" w:w="5760"/>
            <w:shd w:fill="17365D"/>
            <w:tcMar>
              <w:top w:w="80" w:type="dxa"/>
              <w:start w:w="120" w:type="dxa"/>
              <w:bottom w:w="80" w:type="dxa"/>
              <w:end w:w="120" w:type="dxa"/>
            </w:tcMar>
            <w:vAlign w:val="center"/>
          </w:tcPr>
          <w:p>
            <w:pPr>
              <w:spacing w:before="0" w:after="0" w:line="252" w:lineRule="auto"/>
              <w:jc w:val="left"/>
            </w:pPr>
            <w:r>
              <w:rPr>
                <w:rFonts w:ascii="Calibri" w:hAnsi="Calibri"/>
                <w:b/>
                <w:color w:val="FFFFFF"/>
                <w:sz w:val="18"/>
              </w:rPr>
              <w:t>What to inspect</w:t>
            </w:r>
          </w:p>
        </w:tc>
      </w:tr>
      <w:tr>
        <w:trPr>
          <w:cantSplit/>
        </w:trPr>
        <w:tc>
          <w:tcPr>
            <w:tcW w:type="dxa" w:w="360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open-cluster-management</w:t>
            </w:r>
          </w:p>
        </w:tc>
        <w:tc>
          <w:tcPr>
            <w:tcW w:type="dxa" w:w="576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Cluster Manager and Klusterlet operator Deployments</w:t>
            </w:r>
          </w:p>
        </w:tc>
      </w:tr>
      <w:tr>
        <w:trPr>
          <w:cantSplit/>
        </w:trPr>
        <w:tc>
          <w:tcPr>
            <w:tcW w:type="dxa" w:w="360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open-cluster-management-hub</w:t>
            </w:r>
          </w:p>
        </w:tc>
        <w:tc>
          <w:tcPr>
            <w:tcW w:type="dxa" w:w="576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Registration, Work, Placement, and Add-on hub workloads</w:t>
            </w:r>
          </w:p>
        </w:tc>
      </w:tr>
      <w:tr>
        <w:trPr>
          <w:cantSplit/>
        </w:trPr>
        <w:tc>
          <w:tcPr>
            <w:tcW w:type="dxa" w:w="360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open-cluster-management-agent</w:t>
            </w:r>
          </w:p>
        </w:tc>
        <w:tc>
          <w:tcPr>
            <w:tcW w:type="dxa" w:w="576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Klusterlet registration/work agent</w:t>
            </w:r>
          </w:p>
        </w:tc>
      </w:tr>
      <w:tr>
        <w:trPr>
          <w:cantSplit/>
        </w:trPr>
        <w:tc>
          <w:tcPr>
            <w:tcW w:type="dxa" w:w="360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ocm-functional-test</w:t>
            </w:r>
          </w:p>
        </w:tc>
        <w:tc>
          <w:tcPr>
            <w:tcW w:type="dxa" w:w="576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Placement and PlacementDecision test resources</w:t>
            </w:r>
          </w:p>
        </w:tc>
      </w:tr>
      <w:tr>
        <w:trPr>
          <w:cantSplit/>
        </w:trPr>
        <w:tc>
          <w:tcPr>
            <w:tcW w:type="dxa" w:w="360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ocm-ubi9-local</w:t>
            </w:r>
          </w:p>
        </w:tc>
        <w:tc>
          <w:tcPr>
            <w:tcW w:type="dxa" w:w="576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ManifestWork objects for the managed cluster</w:t>
            </w:r>
          </w:p>
        </w:tc>
      </w:tr>
      <w:tr>
        <w:trPr>
          <w:cantSplit/>
        </w:trPr>
        <w:tc>
          <w:tcPr>
            <w:tcW w:type="dxa" w:w="360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ocm-functional-target</w:t>
            </w:r>
          </w:p>
        </w:tc>
        <w:tc>
          <w:tcPr>
            <w:tcW w:type="dxa" w:w="576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Resources delivered by ManifestWork</w:t>
            </w:r>
          </w:p>
        </w:tc>
      </w:tr>
    </w:tbl>
    <w:p>
      <w:pPr>
        <w:spacing w:after="0"/>
      </w:pP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FF2CC"/>
          </w:tcPr>
          <w:p>
            <w:pPr>
              <w:spacing w:after="60"/>
            </w:pPr>
            <w:r/>
            <w:r>
              <w:rPr>
                <w:b/>
                <w:color w:val="17365D"/>
              </w:rPr>
              <w:t xml:space="preserve">UI limitation — </w:t>
            </w:r>
            <w:r>
              <w:t>The Kubernetes Dashboard is an infrastructure view. It confirms workload and resource health but does not provide ACM-style multicluster dashboards, governance, search, topology, or observability experiences.</w:t>
            </w:r>
          </w:p>
        </w:tc>
      </w:tr>
    </w:tbl>
    <w:p>
      <w:pPr>
        <w:spacing w:after="0"/>
      </w:pPr>
    </w:p>
    <w:p>
      <w:pPr>
        <w:pStyle w:val="Heading1"/>
      </w:pPr>
      <w:r>
        <w:t>8. Sovereign Core guideline alignment</w:t>
      </w:r>
    </w:p>
    <w:p>
      <w:r>
        <w:t>The shared SovCore OSS assumptions were used as the delivery framework. The table below distinguishes completed local engineering work from IBM-controlled release gates. This prevents local Minikube results from being presented as final Sovereign Core production acceptance.</w:t>
      </w:r>
    </w:p>
    <w:tbl>
      <w:tblPr>
        <w:tblStyle w:val="TableGrid"/>
        <w:tblW w:type="dxa" w:w="9120"/>
        <w:tblLayout w:type="fixed"/>
        <w:tblLook w:firstColumn="1" w:firstRow="1" w:lastColumn="0" w:lastRow="0" w:noHBand="0" w:noVBand="1" w:val="04A0"/>
        <w:tblInd w:w="120" w:type="dxa"/>
      </w:tblPr>
      <w:tblGrid>
        <w:gridCol w:w="2450"/>
        <w:gridCol w:w="1450"/>
        <w:gridCol w:w="5220"/>
      </w:tblGrid>
      <w:tr>
        <w:tc>
          <w:tcPr>
            <w:tcW w:type="dxa" w:w="2450"/>
            <w:vAlign w:val="center"/>
            <w:shd w:fill="1D3E66"/>
          </w:tcPr>
          <w:p>
            <w:pPr>
              <w:spacing w:before="0" w:after="40" w:line="252" w:lineRule="auto"/>
            </w:pPr>
            <w:r>
              <w:rPr>
                <w:rFonts w:ascii="Arial" w:hAnsi="Arial"/>
                <w:b/>
                <w:color w:val="FFFFFF"/>
                <w:sz w:val="17"/>
              </w:rPr>
              <w:t>Framework requirement</w:t>
            </w:r>
          </w:p>
        </w:tc>
        <w:tc>
          <w:tcPr>
            <w:tcW w:type="dxa" w:w="1450"/>
            <w:vAlign w:val="center"/>
            <w:shd w:fill="1D3E66"/>
          </w:tcPr>
          <w:p>
            <w:pPr>
              <w:spacing w:before="0" w:after="40" w:line="252" w:lineRule="auto"/>
            </w:pPr>
            <w:r>
              <w:rPr>
                <w:rFonts w:ascii="Arial" w:hAnsi="Arial"/>
                <w:b/>
                <w:color w:val="FFFFFF"/>
                <w:sz w:val="17"/>
              </w:rPr>
              <w:t>State</w:t>
            </w:r>
          </w:p>
        </w:tc>
        <w:tc>
          <w:tcPr>
            <w:tcW w:type="dxa" w:w="5220"/>
            <w:vAlign w:val="center"/>
            <w:shd w:fill="1D3E66"/>
          </w:tcPr>
          <w:p>
            <w:pPr>
              <w:spacing w:before="0" w:after="40" w:line="252" w:lineRule="auto"/>
            </w:pPr>
            <w:r>
              <w:rPr>
                <w:rFonts w:ascii="Arial" w:hAnsi="Arial"/>
                <w:b/>
                <w:color w:val="FFFFFF"/>
                <w:sz w:val="17"/>
              </w:rPr>
              <w:t>Evidence / required next action</w:t>
            </w:r>
          </w:p>
        </w:tc>
      </w:tr>
      <w:tr>
        <w:tc>
          <w:tcPr>
            <w:tcW w:type="dxa" w:w="2450"/>
            <w:vAlign w:val="center"/>
            <w:shd w:fill="FFFFFF"/>
          </w:tcPr>
          <w:p>
            <w:pPr>
              <w:spacing w:before="0" w:after="40" w:line="252" w:lineRule="auto"/>
            </w:pPr>
            <w:r>
              <w:rPr>
                <w:rFonts w:ascii="Arial" w:hAnsi="Arial"/>
                <w:sz w:val="17"/>
              </w:rPr>
              <w:t>Preserve upstream API and logic</w:t>
            </w:r>
          </w:p>
        </w:tc>
        <w:tc>
          <w:tcPr>
            <w:tcW w:type="dxa" w:w="1450"/>
            <w:vAlign w:val="center"/>
            <w:shd w:fill="E2F0D9"/>
          </w:tcPr>
          <w:p>
            <w:pPr>
              <w:spacing w:before="0" w:after="40" w:line="252" w:lineRule="auto"/>
              <w:jc w:val="center"/>
            </w:pPr>
            <w:r>
              <w:rPr>
                <w:rFonts w:ascii="Arial" w:hAnsi="Arial"/>
                <w:sz w:val="17"/>
              </w:rPr>
              <w:t>Aligned locally</w:t>
            </w:r>
          </w:p>
        </w:tc>
        <w:tc>
          <w:tcPr>
            <w:tcW w:type="dxa" w:w="5220"/>
            <w:vAlign w:val="center"/>
            <w:shd w:fill="FFFFFF"/>
          </w:tcPr>
          <w:p>
            <w:pPr>
              <w:spacing w:before="0" w:after="40" w:line="252" w:lineRule="auto"/>
            </w:pPr>
            <w:r>
              <w:rPr>
                <w:rFonts w:ascii="Arial" w:hAnsi="Arial"/>
                <w:sz w:val="17"/>
              </w:rPr>
              <w:t>No OCM API changes were introduced. Builder logic remains upstream; packaging changes are isolated in runtime Dockerfiles, local values, scripts, and the wrapper Makefile.</w:t>
            </w:r>
          </w:p>
        </w:tc>
      </w:tr>
      <w:tr>
        <w:tc>
          <w:tcPr>
            <w:tcW w:type="dxa" w:w="2450"/>
            <w:vAlign w:val="center"/>
            <w:shd w:fill="F2F4F7"/>
          </w:tcPr>
          <w:p>
            <w:pPr>
              <w:spacing w:before="0" w:after="40" w:line="252" w:lineRule="auto"/>
            </w:pPr>
            <w:r>
              <w:rPr>
                <w:rFonts w:ascii="Arial" w:hAnsi="Arial"/>
                <w:sz w:val="17"/>
              </w:rPr>
              <w:t>Preserve upstream Makefile</w:t>
            </w:r>
          </w:p>
        </w:tc>
        <w:tc>
          <w:tcPr>
            <w:tcW w:type="dxa" w:w="1450"/>
            <w:vAlign w:val="center"/>
            <w:shd w:fill="E2F0D9"/>
          </w:tcPr>
          <w:p>
            <w:pPr>
              <w:spacing w:before="0" w:after="40" w:line="252" w:lineRule="auto"/>
              <w:jc w:val="center"/>
            </w:pPr>
            <w:r>
              <w:rPr>
                <w:rFonts w:ascii="Arial" w:hAnsi="Arial"/>
                <w:sz w:val="17"/>
              </w:rPr>
              <w:t>Aligned locally</w:t>
            </w:r>
          </w:p>
        </w:tc>
        <w:tc>
          <w:tcPr>
            <w:tcW w:type="dxa" w:w="5220"/>
            <w:vAlign w:val="center"/>
            <w:shd w:fill="F2F4F7"/>
          </w:tcPr>
          <w:p>
            <w:pPr>
              <w:spacing w:before="0" w:after="40" w:line="252" w:lineRule="auto"/>
            </w:pPr>
            <w:r>
              <w:rPr>
                <w:rFonts w:ascii="Arial" w:hAnsi="Arial"/>
                <w:sz w:val="17"/>
              </w:rPr>
              <w:t>Makefile.org exactly matches upstream HEAD. The new top-level Makefile provides pre-build, docker-build, docker-test, deploy, publishing, and Helm targets and delegates upstream build/test/verify behavior.</w:t>
            </w:r>
          </w:p>
        </w:tc>
      </w:tr>
      <w:tr>
        <w:tc>
          <w:tcPr>
            <w:tcW w:type="dxa" w:w="2450"/>
            <w:vAlign w:val="center"/>
            <w:shd w:fill="FFFFFF"/>
          </w:tcPr>
          <w:p>
            <w:pPr>
              <w:spacing w:before="0" w:after="40" w:line="252" w:lineRule="auto"/>
            </w:pPr>
            <w:r>
              <w:rPr>
                <w:rFonts w:ascii="Arial" w:hAnsi="Arial"/>
                <w:sz w:val="17"/>
              </w:rPr>
              <w:t>Approved base image</w:t>
            </w:r>
          </w:p>
        </w:tc>
        <w:tc>
          <w:tcPr>
            <w:tcW w:type="dxa" w:w="1450"/>
            <w:vAlign w:val="center"/>
            <w:shd w:fill="FFF2CC"/>
          </w:tcPr>
          <w:p>
            <w:pPr>
              <w:spacing w:before="0" w:after="40" w:line="252" w:lineRule="auto"/>
              <w:jc w:val="center"/>
            </w:pPr>
            <w:r>
              <w:rPr>
                <w:rFonts w:ascii="Arial" w:hAnsi="Arial"/>
                <w:sz w:val="17"/>
              </w:rPr>
              <w:t>Decision pending</w:t>
            </w:r>
          </w:p>
        </w:tc>
        <w:tc>
          <w:tcPr>
            <w:tcW w:type="dxa" w:w="5220"/>
            <w:vAlign w:val="center"/>
            <w:shd w:fill="FFFFFF"/>
          </w:tcPr>
          <w:p>
            <w:pPr>
              <w:spacing w:before="0" w:after="40" w:line="252" w:lineRule="auto"/>
            </w:pPr>
            <w:r>
              <w:rPr>
                <w:rFonts w:ascii="Arial" w:hAnsi="Arial"/>
                <w:sz w:val="17"/>
              </w:rPr>
              <w:t>All runtime stages use public Red Hat UBI9 as requested. IBM must confirm that this image is accepted as the production Dreadnought-equivalent base.</w:t>
            </w:r>
          </w:p>
        </w:tc>
      </w:tr>
      <w:tr>
        <w:tc>
          <w:tcPr>
            <w:tcW w:type="dxa" w:w="2450"/>
            <w:vAlign w:val="center"/>
            <w:shd w:fill="F2F4F7"/>
          </w:tcPr>
          <w:p>
            <w:pPr>
              <w:spacing w:before="0" w:after="40" w:line="252" w:lineRule="auto"/>
            </w:pPr>
            <w:r>
              <w:rPr>
                <w:rFonts w:ascii="Arial" w:hAnsi="Arial"/>
                <w:sz w:val="17"/>
              </w:rPr>
              <w:t>linux/amd64 support</w:t>
            </w:r>
          </w:p>
        </w:tc>
        <w:tc>
          <w:tcPr>
            <w:tcW w:type="dxa" w:w="1450"/>
            <w:vAlign w:val="center"/>
            <w:shd w:fill="E2F0D9"/>
          </w:tcPr>
          <w:p>
            <w:pPr>
              <w:spacing w:before="0" w:after="40" w:line="252" w:lineRule="auto"/>
              <w:jc w:val="center"/>
            </w:pPr>
            <w:r>
              <w:rPr>
                <w:rFonts w:ascii="Arial" w:hAnsi="Arial"/>
                <w:sz w:val="17"/>
              </w:rPr>
              <w:t>Aligned locally</w:t>
            </w:r>
          </w:p>
        </w:tc>
        <w:tc>
          <w:tcPr>
            <w:tcW w:type="dxa" w:w="5220"/>
            <w:vAlign w:val="center"/>
            <w:shd w:fill="F2F4F7"/>
          </w:tcPr>
          <w:p>
            <w:pPr>
              <w:spacing w:before="0" w:after="40" w:line="252" w:lineRule="auto"/>
            </w:pPr>
            <w:r>
              <w:rPr>
                <w:rFonts w:ascii="Arial" w:hAnsi="Arial"/>
                <w:sz w:val="17"/>
              </w:rPr>
              <w:t>All five images were explicitly built and inspected as linux/amd64; runtime checks use the same platform.</w:t>
            </w:r>
          </w:p>
        </w:tc>
      </w:tr>
      <w:tr>
        <w:tc>
          <w:tcPr>
            <w:tcW w:type="dxa" w:w="2450"/>
            <w:vAlign w:val="center"/>
            <w:shd w:fill="FFFFFF"/>
          </w:tcPr>
          <w:p>
            <w:pPr>
              <w:spacing w:before="0" w:after="40" w:line="252" w:lineRule="auto"/>
            </w:pPr>
            <w:r>
              <w:rPr>
                <w:rFonts w:ascii="Arial" w:hAnsi="Arial"/>
                <w:sz w:val="17"/>
              </w:rPr>
              <w:t>Rebuild binaries and CLIs</w:t>
            </w:r>
          </w:p>
        </w:tc>
        <w:tc>
          <w:tcPr>
            <w:tcW w:type="dxa" w:w="1450"/>
            <w:vAlign w:val="center"/>
            <w:shd w:fill="FFF2CC"/>
          </w:tcPr>
          <w:p>
            <w:pPr>
              <w:spacing w:before="0" w:after="40" w:line="252" w:lineRule="auto"/>
              <w:jc w:val="center"/>
            </w:pPr>
            <w:r>
              <w:rPr>
                <w:rFonts w:ascii="Arial" w:hAnsi="Arial"/>
                <w:sz w:val="17"/>
              </w:rPr>
              <w:t>Partially complete</w:t>
            </w:r>
          </w:p>
        </w:tc>
        <w:tc>
          <w:tcPr>
            <w:tcW w:type="dxa" w:w="5220"/>
            <w:vAlign w:val="center"/>
            <w:shd w:fill="FFFFFF"/>
          </w:tcPr>
          <w:p>
            <w:pPr>
              <w:spacing w:before="0" w:after="40" w:line="252" w:lineRule="auto"/>
            </w:pPr>
            <w:r>
              <w:rPr>
                <w:rFonts w:ascii="Arial" w:hAnsi="Arial"/>
                <w:sz w:val="17"/>
              </w:rPr>
              <w:t>Six repository-produced in-image binaries were rebuilt and executed. Any separately distributed OCM CLI artifacts still require an authoritative inventory and Landing Zone test.</w:t>
            </w:r>
          </w:p>
        </w:tc>
      </w:tr>
      <w:tr>
        <w:tc>
          <w:tcPr>
            <w:tcW w:type="dxa" w:w="2450"/>
            <w:vAlign w:val="center"/>
            <w:shd w:fill="F2F4F7"/>
          </w:tcPr>
          <w:p>
            <w:pPr>
              <w:spacing w:before="0" w:after="40" w:line="252" w:lineRule="auto"/>
            </w:pPr>
            <w:r>
              <w:rPr>
                <w:rFonts w:ascii="Arial" w:hAnsi="Arial"/>
                <w:sz w:val="17"/>
              </w:rPr>
              <w:t>Install with Helm, not OLM</w:t>
            </w:r>
          </w:p>
        </w:tc>
        <w:tc>
          <w:tcPr>
            <w:tcW w:type="dxa" w:w="1450"/>
            <w:vAlign w:val="center"/>
            <w:shd w:fill="E2F0D9"/>
          </w:tcPr>
          <w:p>
            <w:pPr>
              <w:spacing w:before="0" w:after="40" w:line="252" w:lineRule="auto"/>
              <w:jc w:val="center"/>
            </w:pPr>
            <w:r>
              <w:rPr>
                <w:rFonts w:ascii="Arial" w:hAnsi="Arial"/>
                <w:sz w:val="17"/>
              </w:rPr>
              <w:t>Aligned locally</w:t>
            </w:r>
          </w:p>
        </w:tc>
        <w:tc>
          <w:tcPr>
            <w:tcW w:type="dxa" w:w="5220"/>
            <w:vAlign w:val="center"/>
            <w:shd w:fill="F2F4F7"/>
          </w:tcPr>
          <w:p>
            <w:pPr>
              <w:spacing w:before="0" w:after="40" w:line="252" w:lineRule="auto"/>
            </w:pPr>
            <w:r>
              <w:rPr>
                <w:rFonts w:ascii="Arial" w:hAnsi="Arial"/>
                <w:sz w:val="17"/>
              </w:rPr>
              <w:t>The existing Cluster Manager and Klusterlet Helm charts were used directly; local installation did not use OLM.</w:t>
            </w:r>
          </w:p>
        </w:tc>
      </w:tr>
      <w:tr>
        <w:tc>
          <w:tcPr>
            <w:tcW w:type="dxa" w:w="2450"/>
            <w:vAlign w:val="center"/>
            <w:shd w:fill="FFFFFF"/>
          </w:tcPr>
          <w:p>
            <w:pPr>
              <w:spacing w:before="0" w:after="40" w:line="252" w:lineRule="auto"/>
            </w:pPr>
            <w:r>
              <w:rPr>
                <w:rFonts w:ascii="Arial" w:hAnsi="Arial"/>
                <w:sz w:val="17"/>
              </w:rPr>
              <w:t>Chart version 0.3.0</w:t>
            </w:r>
          </w:p>
        </w:tc>
        <w:tc>
          <w:tcPr>
            <w:tcW w:type="dxa" w:w="1450"/>
            <w:vAlign w:val="center"/>
            <w:shd w:fill="E2F0D9"/>
          </w:tcPr>
          <w:p>
            <w:pPr>
              <w:spacing w:before="0" w:after="40" w:line="252" w:lineRule="auto"/>
              <w:jc w:val="center"/>
            </w:pPr>
            <w:r>
              <w:rPr>
                <w:rFonts w:ascii="Arial" w:hAnsi="Arial"/>
                <w:sz w:val="17"/>
              </w:rPr>
              <w:t>Aligned locally</w:t>
            </w:r>
          </w:p>
        </w:tc>
        <w:tc>
          <w:tcPr>
            <w:tcW w:type="dxa" w:w="5220"/>
            <w:vAlign w:val="center"/>
            <w:shd w:fill="FFFFFF"/>
          </w:tcPr>
          <w:p>
            <w:pPr>
              <w:spacing w:before="0" w:after="40" w:line="252" w:lineRule="auto"/>
            </w:pPr>
            <w:r>
              <w:rPr>
                <w:rFonts w:ascii="Arial" w:hAnsi="Arial"/>
                <w:sz w:val="17"/>
              </w:rPr>
              <w:t>Both charts linted, rendered, and packaged locally as version 0.3.0.</w:t>
            </w:r>
          </w:p>
        </w:tc>
      </w:tr>
      <w:tr>
        <w:tc>
          <w:tcPr>
            <w:tcW w:type="dxa" w:w="2450"/>
            <w:vAlign w:val="center"/>
            <w:shd w:fill="F2F4F7"/>
          </w:tcPr>
          <w:p>
            <w:pPr>
              <w:spacing w:before="0" w:after="40" w:line="252" w:lineRule="auto"/>
            </w:pPr>
            <w:r>
              <w:rPr>
                <w:rFonts w:ascii="Arial" w:hAnsi="Arial"/>
                <w:sz w:val="17"/>
              </w:rPr>
              <w:t>IBM GitHub mirror and internal/&lt;release-tag&gt;</w:t>
            </w:r>
          </w:p>
        </w:tc>
        <w:tc>
          <w:tcPr>
            <w:tcW w:type="dxa" w:w="1450"/>
            <w:vAlign w:val="center"/>
            <w:shd w:fill="FFF2CC"/>
          </w:tcPr>
          <w:p>
            <w:pPr>
              <w:spacing w:before="0" w:after="40" w:line="252" w:lineRule="auto"/>
              <w:jc w:val="center"/>
            </w:pPr>
            <w:r>
              <w:rPr>
                <w:rFonts w:ascii="Arial" w:hAnsi="Arial"/>
                <w:sz w:val="17"/>
              </w:rPr>
              <w:t>External pending</w:t>
            </w:r>
          </w:p>
        </w:tc>
        <w:tc>
          <w:tcPr>
            <w:tcW w:type="dxa" w:w="5220"/>
            <w:vAlign w:val="center"/>
            <w:shd w:fill="F2F4F7"/>
          </w:tcPr>
          <w:p>
            <w:pPr>
              <w:spacing w:before="0" w:after="40" w:line="252" w:lineRule="auto"/>
            </w:pPr>
            <w:r>
              <w:rPr>
                <w:rFonts w:ascii="Arial" w:hAnsi="Arial"/>
                <w:sz w:val="17"/>
              </w:rPr>
              <w:t>IBM GitHub access and the approved upstream release tag are required before mirroring refs and creating the prescribed internal branch.</w:t>
            </w:r>
          </w:p>
        </w:tc>
      </w:tr>
      <w:tr>
        <w:tc>
          <w:tcPr>
            <w:tcW w:type="dxa" w:w="2450"/>
            <w:vAlign w:val="center"/>
            <w:shd w:fill="FFFFFF"/>
          </w:tcPr>
          <w:p>
            <w:pPr>
              <w:spacing w:before="0" w:after="40" w:line="252" w:lineRule="auto"/>
            </w:pPr>
            <w:r>
              <w:rPr>
                <w:rFonts w:ascii="Arial" w:hAnsi="Arial"/>
                <w:sz w:val="17"/>
              </w:rPr>
              <w:t>SPS pipeline, ICR, scan, and GaraSign</w:t>
            </w:r>
          </w:p>
        </w:tc>
        <w:tc>
          <w:tcPr>
            <w:tcW w:type="dxa" w:w="1450"/>
            <w:vAlign w:val="center"/>
            <w:shd w:fill="FFF2CC"/>
          </w:tcPr>
          <w:p>
            <w:pPr>
              <w:spacing w:before="0" w:after="40" w:line="252" w:lineRule="auto"/>
              <w:jc w:val="center"/>
            </w:pPr>
            <w:r>
              <w:rPr>
                <w:rFonts w:ascii="Arial" w:hAnsi="Arial"/>
                <w:sz w:val="17"/>
              </w:rPr>
              <w:t>External pending</w:t>
            </w:r>
          </w:p>
        </w:tc>
        <w:tc>
          <w:tcPr>
            <w:tcW w:type="dxa" w:w="5220"/>
            <w:vAlign w:val="center"/>
            <w:shd w:fill="FFFFFF"/>
          </w:tcPr>
          <w:p>
            <w:pPr>
              <w:spacing w:before="0" w:after="40" w:line="252" w:lineRule="auto"/>
            </w:pPr>
            <w:r>
              <w:rPr>
                <w:rFonts w:ascii="Arial" w:hAnsi="Arial"/>
                <w:sz w:val="17"/>
              </w:rPr>
              <w:t>The credential-free Makefile contract is documented. Execution, publication, security scanning, and signing require IBM services and credentials.</w:t>
            </w:r>
          </w:p>
        </w:tc>
      </w:tr>
      <w:tr>
        <w:tc>
          <w:tcPr>
            <w:tcW w:type="dxa" w:w="2450"/>
            <w:vAlign w:val="center"/>
            <w:shd w:fill="F2F4F7"/>
          </w:tcPr>
          <w:p>
            <w:pPr>
              <w:spacing w:before="0" w:after="40" w:line="252" w:lineRule="auto"/>
            </w:pPr>
            <w:r>
              <w:rPr>
                <w:rFonts w:ascii="Arial" w:hAnsi="Arial"/>
                <w:sz w:val="17"/>
              </w:rPr>
              <w:t>MCSP REPLACEMENTS, OCI charts, and mirroring</w:t>
            </w:r>
          </w:p>
        </w:tc>
        <w:tc>
          <w:tcPr>
            <w:tcW w:type="dxa" w:w="1450"/>
            <w:vAlign w:val="center"/>
            <w:shd w:fill="FFF2CC"/>
          </w:tcPr>
          <w:p>
            <w:pPr>
              <w:spacing w:before="0" w:after="40" w:line="252" w:lineRule="auto"/>
              <w:jc w:val="center"/>
            </w:pPr>
            <w:r>
              <w:rPr>
                <w:rFonts w:ascii="Arial" w:hAnsi="Arial"/>
                <w:sz w:val="17"/>
              </w:rPr>
              <w:t>External pending</w:t>
            </w:r>
          </w:p>
        </w:tc>
        <w:tc>
          <w:tcPr>
            <w:tcW w:type="dxa" w:w="5220"/>
            <w:vAlign w:val="center"/>
            <w:shd w:fill="F2F4F7"/>
          </w:tcPr>
          <w:p>
            <w:pPr>
              <w:spacing w:before="0" w:after="40" w:line="252" w:lineRule="auto"/>
            </w:pPr>
            <w:r>
              <w:rPr>
                <w:rFonts w:ascii="Arial" w:hAnsi="Arial"/>
                <w:sz w:val="17"/>
              </w:rPr>
              <w:t>No internal registry or credentials are hardcoded. Approved replacement conventions, deployment-monorepo access, OCI publication, generated manifests, and oc-mirror validation remain.</w:t>
            </w:r>
          </w:p>
        </w:tc>
      </w:tr>
      <w:tr>
        <w:tc>
          <w:tcPr>
            <w:tcW w:type="dxa" w:w="2450"/>
            <w:vAlign w:val="center"/>
            <w:shd w:fill="FFFFFF"/>
          </w:tcPr>
          <w:p>
            <w:pPr>
              <w:spacing w:before="0" w:after="40" w:line="252" w:lineRule="auto"/>
            </w:pPr>
            <w:r>
              <w:rPr>
                <w:rFonts w:ascii="Arial" w:hAnsi="Arial"/>
                <w:sz w:val="17"/>
              </w:rPr>
              <w:t>RKE2 and Landing Zone validation</w:t>
            </w:r>
          </w:p>
        </w:tc>
        <w:tc>
          <w:tcPr>
            <w:tcW w:type="dxa" w:w="1450"/>
            <w:vAlign w:val="center"/>
            <w:shd w:fill="FFF2CC"/>
          </w:tcPr>
          <w:p>
            <w:pPr>
              <w:spacing w:before="0" w:after="40" w:line="252" w:lineRule="auto"/>
              <w:jc w:val="center"/>
            </w:pPr>
            <w:r>
              <w:rPr>
                <w:rFonts w:ascii="Arial" w:hAnsi="Arial"/>
                <w:sz w:val="17"/>
              </w:rPr>
              <w:t>External pending</w:t>
            </w:r>
          </w:p>
        </w:tc>
        <w:tc>
          <w:tcPr>
            <w:tcW w:type="dxa" w:w="5220"/>
            <w:vAlign w:val="center"/>
            <w:shd w:fill="FFFFFF"/>
          </w:tcPr>
          <w:p>
            <w:pPr>
              <w:spacing w:before="0" w:after="40" w:line="252" w:lineRule="auto"/>
            </w:pPr>
            <w:r>
              <w:rPr>
                <w:rFonts w:ascii="Arial" w:hAnsi="Arial"/>
                <w:sz w:val="17"/>
              </w:rPr>
              <w:t>Minikube proves local engineering feasibility. Final chart deployment on RKE2 and CLI execution on Linux AMD64 Landing Zone remain acceptance gates.</w:t>
            </w:r>
          </w:p>
        </w:tc>
      </w:tr>
      <w:tr>
        <w:tc>
          <w:tcPr>
            <w:tcW w:type="dxa" w:w="2450"/>
            <w:vAlign w:val="center"/>
            <w:shd w:fill="F2F4F7"/>
          </w:tcPr>
          <w:p>
            <w:pPr>
              <w:spacing w:before="0" w:after="40" w:line="252" w:lineRule="auto"/>
            </w:pPr>
            <w:r>
              <w:rPr>
                <w:rFonts w:ascii="Arial" w:hAnsi="Arial"/>
                <w:sz w:val="17"/>
              </w:rPr>
              <w:t>ACM-to-OCM capability replacement</w:t>
            </w:r>
          </w:p>
        </w:tc>
        <w:tc>
          <w:tcPr>
            <w:tcW w:type="dxa" w:w="1450"/>
            <w:vAlign w:val="center"/>
            <w:shd w:fill="FFF2CC"/>
          </w:tcPr>
          <w:p>
            <w:pPr>
              <w:spacing w:before="0" w:after="40" w:line="252" w:lineRule="auto"/>
              <w:jc w:val="center"/>
            </w:pPr>
            <w:r>
              <w:rPr>
                <w:rFonts w:ascii="Arial" w:hAnsi="Arial"/>
                <w:sz w:val="17"/>
              </w:rPr>
              <w:t>Discovery pending</w:t>
            </w:r>
          </w:p>
        </w:tc>
        <w:tc>
          <w:tcPr>
            <w:tcW w:type="dxa" w:w="5220"/>
            <w:vAlign w:val="center"/>
            <w:shd w:fill="F2F4F7"/>
          </w:tcPr>
          <w:p>
            <w:pPr>
              <w:spacing w:before="0" w:after="40" w:line="252" w:lineRule="auto"/>
            </w:pPr>
            <w:r>
              <w:rPr>
                <w:rFonts w:ascii="Arial" w:hAnsi="Arial"/>
                <w:sz w:val="17"/>
              </w:rPr>
              <w:t>Core registration, Placement, and ManifestWork are proven locally. Production ACM use cases must still be inventoried and mapped to OCM or other OSS components.</w:t>
            </w:r>
          </w:p>
        </w:tc>
      </w:tr>
    </w:tbl>
    <w:p>
      <w:pPr>
        <w:spacing w:before="200"/>
      </w:pPr>
      <w:r>
        <w:rPr>
          <w:b/>
        </w:rPr>
        <w:t xml:space="preserve">Controlled phase-order deviation — </w:t>
      </w:r>
      <w:r>
        <w:t>The framework normally begins with the IBM repository mirror, release-tag selection, and internal branch. Because IBM access is not yet available, local build, packaging, and functional validation were performed first. These changes must be applied to the approved internal/&lt;release-tag&gt; branch before release.</w:t>
      </w:r>
    </w:p>
    <w:p>
      <w:pPr>
        <w:pStyle w:val="Heading1"/>
      </w:pPr>
      <w:r>
        <w:t>9. What is proven and what remains</w:t>
      </w:r>
    </w:p>
    <w:tbl>
      <w:tblPr>
        <w:tblStyle w:val="TableGrid"/>
        <w:tblW w:type="dxa" w:w="9360"/>
        <w:jc w:val="left"/>
        <w:tblLayout w:type="fixed"/>
        <w:tblLook w:firstColumn="1" w:firstRow="1" w:lastColumn="0" w:lastRow="0" w:noHBand="0" w:noVBand="1" w:val="04A0"/>
        <w:tblInd w:w="120" w:type="dxa"/>
      </w:tblPr>
      <w:tblGrid>
        <w:gridCol w:w="2160"/>
        <w:gridCol w:w="2160"/>
        <w:gridCol w:w="5040"/>
      </w:tblGrid>
      <w:tr>
        <w:trPr>
          <w:tblHeader w:val="true"/>
          <w:cantSplit/>
        </w:trPr>
        <w:tc>
          <w:tcPr>
            <w:tcW w:type="dxa" w:w="2160"/>
            <w:shd w:fill="17365D"/>
            <w:tcMar>
              <w:top w:w="80" w:type="dxa"/>
              <w:start w:w="120" w:type="dxa"/>
              <w:bottom w:w="80" w:type="dxa"/>
              <w:end w:w="120" w:type="dxa"/>
            </w:tcMar>
            <w:vAlign w:val="center"/>
          </w:tcPr>
          <w:p>
            <w:pPr>
              <w:spacing w:before="0" w:after="0" w:line="252" w:lineRule="auto"/>
              <w:jc w:val="left"/>
            </w:pPr>
            <w:r>
              <w:rPr>
                <w:rFonts w:ascii="Calibri" w:hAnsi="Calibri"/>
                <w:b/>
                <w:color w:val="FFFFFF"/>
                <w:sz w:val="18"/>
              </w:rPr>
              <w:t>Area</w:t>
            </w:r>
          </w:p>
        </w:tc>
        <w:tc>
          <w:tcPr>
            <w:tcW w:type="dxa" w:w="2160"/>
            <w:shd w:fill="17365D"/>
            <w:tcMar>
              <w:top w:w="80" w:type="dxa"/>
              <w:start w:w="120" w:type="dxa"/>
              <w:bottom w:w="80" w:type="dxa"/>
              <w:end w:w="120" w:type="dxa"/>
            </w:tcMar>
            <w:vAlign w:val="center"/>
          </w:tcPr>
          <w:p>
            <w:pPr>
              <w:spacing w:before="0" w:after="0" w:line="252" w:lineRule="auto"/>
              <w:jc w:val="left"/>
            </w:pPr>
            <w:r>
              <w:rPr>
                <w:rFonts w:ascii="Calibri" w:hAnsi="Calibri"/>
                <w:b/>
                <w:color w:val="FFFFFF"/>
                <w:sz w:val="18"/>
              </w:rPr>
              <w:t>Assessment</w:t>
            </w:r>
          </w:p>
        </w:tc>
        <w:tc>
          <w:tcPr>
            <w:tcW w:type="dxa" w:w="5040"/>
            <w:shd w:fill="17365D"/>
            <w:tcMar>
              <w:top w:w="80" w:type="dxa"/>
              <w:start w:w="120" w:type="dxa"/>
              <w:bottom w:w="80" w:type="dxa"/>
              <w:end w:w="120" w:type="dxa"/>
            </w:tcMar>
            <w:vAlign w:val="center"/>
          </w:tcPr>
          <w:p>
            <w:pPr>
              <w:spacing w:before="0" w:after="0" w:line="252" w:lineRule="auto"/>
              <w:jc w:val="left"/>
            </w:pPr>
            <w:r>
              <w:rPr>
                <w:rFonts w:ascii="Calibri" w:hAnsi="Calibri"/>
                <w:b/>
                <w:color w:val="FFFFFF"/>
                <w:sz w:val="18"/>
              </w:rPr>
              <w:t>Notes</w:t>
            </w:r>
          </w:p>
        </w:tc>
      </w:tr>
      <w:tr>
        <w:trPr>
          <w:cantSplit/>
        </w:trPr>
        <w:tc>
          <w:tcPr>
            <w:tcW w:type="dxa" w:w="216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Local UBI9 packaging</w:t>
            </w:r>
          </w:p>
        </w:tc>
        <w:tc>
          <w:tcPr>
            <w:tcW w:type="dxa" w:w="216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Proven</w:t>
            </w:r>
          </w:p>
        </w:tc>
        <w:tc>
          <w:tcPr>
            <w:tcW w:type="dxa" w:w="504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All image, metadata, permission, and binary checks passed.</w:t>
            </w:r>
          </w:p>
        </w:tc>
      </w:tr>
      <w:tr>
        <w:trPr>
          <w:cantSplit/>
        </w:trPr>
        <w:tc>
          <w:tcPr>
            <w:tcW w:type="dxa" w:w="216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Operator installation</w:t>
            </w:r>
          </w:p>
        </w:tc>
        <w:tc>
          <w:tcPr>
            <w:tcW w:type="dxa" w:w="216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Proven</w:t>
            </w:r>
          </w:p>
        </w:tc>
        <w:tc>
          <w:tcPr>
            <w:tcW w:type="dxa" w:w="504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Helm installed operators; operators created application workloads.</w:t>
            </w:r>
          </w:p>
        </w:tc>
      </w:tr>
      <w:tr>
        <w:trPr>
          <w:cantSplit/>
        </w:trPr>
        <w:tc>
          <w:tcPr>
            <w:tcW w:type="dxa" w:w="216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Core OCM flow</w:t>
            </w:r>
          </w:p>
        </w:tc>
        <w:tc>
          <w:tcPr>
            <w:tcW w:type="dxa" w:w="216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Proven locally</w:t>
            </w:r>
          </w:p>
        </w:tc>
        <w:tc>
          <w:tcPr>
            <w:tcW w:type="dxa" w:w="504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Registration, Placement, ManifestWork, reconciliation, and feedback passed.</w:t>
            </w:r>
          </w:p>
        </w:tc>
      </w:tr>
      <w:tr>
        <w:trPr>
          <w:cantSplit/>
        </w:trPr>
        <w:tc>
          <w:tcPr>
            <w:tcW w:type="dxa" w:w="216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Production readiness</w:t>
            </w:r>
          </w:p>
        </w:tc>
        <w:tc>
          <w:tcPr>
            <w:tcW w:type="dxa" w:w="216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Not yet proven</w:t>
            </w:r>
          </w:p>
        </w:tc>
        <w:tc>
          <w:tcPr>
            <w:tcW w:type="dxa" w:w="5040"/>
            <w:shd w:fill="F2F4F7"/>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Security, scale, HA, upgrades, failure recovery, and RKE2 remain.</w:t>
            </w:r>
          </w:p>
        </w:tc>
      </w:tr>
      <w:tr>
        <w:trPr>
          <w:cantSplit/>
        </w:trPr>
        <w:tc>
          <w:tcPr>
            <w:tcW w:type="dxa" w:w="216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Full ACM replacement</w:t>
            </w:r>
          </w:p>
        </w:tc>
        <w:tc>
          <w:tcPr>
            <w:tcW w:type="dxa" w:w="216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Not yet proven</w:t>
            </w:r>
          </w:p>
        </w:tc>
        <w:tc>
          <w:tcPr>
            <w:tcW w:type="dxa" w:w="5040"/>
            <w:tcMar>
              <w:top w:w="80" w:type="dxa"/>
              <w:start w:w="120" w:type="dxa"/>
              <w:bottom w:w="80" w:type="dxa"/>
              <w:end w:w="120" w:type="dxa"/>
            </w:tcMar>
            <w:vAlign w:val="center"/>
          </w:tcPr>
          <w:p>
            <w:pPr>
              <w:spacing w:before="0" w:after="0" w:line="252" w:lineRule="auto"/>
              <w:jc w:val="left"/>
            </w:pPr>
            <w:r>
              <w:rPr>
                <w:rFonts w:ascii="Calibri" w:hAnsi="Calibri"/>
                <w:b w:val="0"/>
                <w:color w:val="000000"/>
                <w:sz w:val="18"/>
              </w:rPr>
              <w:t>Requires capability inventory and external components for product-level features.</w:t>
            </w:r>
          </w:p>
        </w:tc>
      </w:tr>
    </w:tbl>
    <w:p>
      <w:pPr>
        <w:spacing w:after="0"/>
      </w:pPr>
    </w:p>
    <w:p>
      <w:pPr>
        <w:pStyle w:val="Heading1"/>
      </w:pPr>
      <w:r>
        <w:t>10. Risks, dependencies, and next steps</w:t>
      </w:r>
    </w:p>
    <w:p>
      <w:pPr>
        <w:pStyle w:val="Heading2"/>
      </w:pPr>
      <w:r>
        <w:t>10.1 Current dependencies</w:t>
      </w:r>
    </w:p>
    <w:p>
      <w:pPr>
        <w:pStyle w:val="ListBullet"/>
        <w:spacing w:after="120" w:line="264" w:lineRule="auto"/>
        <w:ind w:left="720" w:hanging="360"/>
      </w:pPr>
      <w:r>
        <w:rPr>
          <w:b/>
        </w:rPr>
        <w:t xml:space="preserve">Approved base: </w:t>
      </w:r>
      <w:r>
        <w:t>confirm whether public UBI9 is accepted as the production Dreadnought-equivalent image.</w:t>
      </w:r>
    </w:p>
    <w:p>
      <w:pPr>
        <w:pStyle w:val="ListBullet"/>
        <w:spacing w:after="120" w:line="264" w:lineRule="auto"/>
        <w:ind w:left="720" w:hanging="360"/>
      </w:pPr>
      <w:r>
        <w:rPr>
          <w:b/>
        </w:rPr>
        <w:t xml:space="preserve">IBM pipeline: </w:t>
      </w:r>
      <w:r>
        <w:t>obtain the authoritative SPS Makefile target contract and execution environment.</w:t>
      </w:r>
    </w:p>
    <w:p>
      <w:pPr>
        <w:pStyle w:val="ListBullet"/>
        <w:spacing w:after="120" w:line="264" w:lineRule="auto"/>
        <w:ind w:left="720" w:hanging="360"/>
      </w:pPr>
      <w:r>
        <w:rPr>
          <w:b/>
        </w:rPr>
        <w:t xml:space="preserve">Artifact delivery: </w:t>
      </w:r>
      <w:r>
        <w:t>obtain IBM Container Registry namespace and deployment-monorepo access.</w:t>
      </w:r>
    </w:p>
    <w:p>
      <w:pPr>
        <w:pStyle w:val="ListBullet"/>
        <w:spacing w:after="120" w:line="264" w:lineRule="auto"/>
        <w:ind w:left="720" w:hanging="360"/>
      </w:pPr>
      <w:r>
        <w:rPr>
          <w:b/>
        </w:rPr>
        <w:t xml:space="preserve">Release controls: </w:t>
      </w:r>
      <w:r>
        <w:t>run security scanning, GaraSign signing, OCI chart publication, and oc-mirror validation.</w:t>
      </w:r>
    </w:p>
    <w:p>
      <w:pPr>
        <w:pStyle w:val="ListBullet"/>
        <w:spacing w:after="120" w:line="264" w:lineRule="auto"/>
        <w:ind w:left="720" w:hanging="360"/>
      </w:pPr>
      <w:r>
        <w:rPr>
          <w:b/>
        </w:rPr>
        <w:t xml:space="preserve">Final platform: </w:t>
      </w:r>
      <w:r>
        <w:t>deploy and validate the version 0.3.0 charts on RKE2 and run CLI checks on Linux AMD64 Landing Zone.</w:t>
      </w:r>
    </w:p>
    <w:p>
      <w:pPr>
        <w:pStyle w:val="ListBullet"/>
        <w:spacing w:after="120" w:line="264" w:lineRule="auto"/>
        <w:ind w:left="720" w:hanging="360"/>
      </w:pPr>
      <w:r>
        <w:rPr>
          <w:b/>
        </w:rPr>
        <w:t xml:space="preserve">ACM migration scope: </w:t>
      </w:r>
      <w:r>
        <w:t>inventory actual ACM features in use and map each to OCM or another OSS component.</w:t>
      </w:r>
    </w:p>
    <w:p>
      <w:pPr>
        <w:pStyle w:val="Heading2"/>
      </w:pPr>
      <w:r>
        <w:t>10.2 Recommended next steps</w:t>
      </w:r>
    </w:p>
    <w:p>
      <w:pPr>
        <w:pStyle w:val="ListNumber"/>
        <w:spacing w:after="120"/>
        <w:ind w:left="720" w:hanging="360"/>
      </w:pPr>
      <w:r>
        <w:t>Review the wrapper Makefile against the official SPS reference once access is available.</w:t>
      </w:r>
    </w:p>
    <w:p>
      <w:pPr>
        <w:pStyle w:val="ListNumber"/>
        <w:spacing w:after="120"/>
        <w:ind w:left="720" w:hanging="360"/>
      </w:pPr>
      <w:r>
        <w:t>Select and document the upstream OCM release tag and create the internal/&lt;release-tag&gt; branch in IBM GitHub.</w:t>
      </w:r>
    </w:p>
    <w:p>
      <w:pPr>
        <w:pStyle w:val="ListNumber"/>
        <w:spacing w:after="120"/>
        <w:ind w:left="720" w:hanging="360"/>
      </w:pPr>
      <w:r>
        <w:t>Publish images and version 0.3.0 OCI Helm packages through SPS using injected credentials and MCSP REPLACEMENTS.</w:t>
      </w:r>
    </w:p>
    <w:p>
      <w:pPr>
        <w:pStyle w:val="ListNumber"/>
        <w:spacing w:after="120"/>
        <w:ind w:left="720" w:hanging="360"/>
      </w:pPr>
      <w:r>
        <w:t>Run security, signing, and mirror-manifest gates.</w:t>
      </w:r>
    </w:p>
    <w:p>
      <w:pPr>
        <w:pStyle w:val="ListNumber"/>
        <w:spacing w:after="120"/>
        <w:ind w:left="720" w:hanging="360"/>
      </w:pPr>
      <w:r>
        <w:t>Repeat installation and functional tests on RKE2, then expand to failure recovery, upgrades, multiple clusters, and add-on lifecycle.</w:t>
      </w:r>
    </w:p>
    <w:p>
      <w:pPr>
        <w:pStyle w:val="Heading1"/>
      </w:pPr>
      <w:r>
        <w:t>11. Manager-ready status statement</w:t>
      </w: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E2F0D9"/>
          </w:tcPr>
          <w:p>
            <w:pPr>
              <w:spacing w:after="40"/>
            </w:pPr>
            <w:r>
              <w:rPr>
                <w:b/>
              </w:rPr>
              <w:t xml:space="preserve">Status to communicate — </w:t>
            </w:r>
            <w:r>
              <w:t>Local engineering validation is successful. The OCM UBI9 images build and run correctly, Helm installs both operators, the operators manage the expected application components, and live Placement and ManifestWork tests confirm core multicluster behavior. This is not yet final Sovereign Core release approval: IBM repository/release lineage, approved-base confirmation, SPS/ICR publication, security scanning, signing, OCI/mirroring, deployment-monorepo delivery, and RKE2/Landing Zone acceptance remain pending.</w:t>
            </w:r>
          </w:p>
        </w:tc>
      </w:tr>
    </w:tbl>
    <w:p>
      <w:pPr>
        <w:spacing w:after="0"/>
      </w:pPr>
    </w:p>
    <w:p>
      <w:pPr>
        <w:pStyle w:val="Heading1"/>
      </w:pPr>
      <w:r>
        <w:t>12. Terms used in this report</w:t>
      </w:r>
    </w:p>
    <w:p>
      <w:pPr>
        <w:spacing w:after="60"/>
      </w:pPr>
      <w:r>
        <w:rPr>
          <w:b/>
        </w:rPr>
        <w:t xml:space="preserve">OCM (Open Cluster Management): </w:t>
      </w:r>
      <w:r>
        <w:t>The upstream open-source multicluster control plane evaluated in this work.</w:t>
      </w:r>
    </w:p>
    <w:p>
      <w:pPr>
        <w:spacing w:after="60"/>
      </w:pPr>
      <w:r>
        <w:rPr>
          <w:b/>
        </w:rPr>
        <w:t xml:space="preserve">ACM (Advanced Cluster Management): </w:t>
      </w:r>
      <w:r>
        <w:t>Red Hat’s broader supported product. OCM supplies core upstream capabilities but does not by itself reproduce every ACM feature or its console.</w:t>
      </w:r>
    </w:p>
    <w:p>
      <w:pPr>
        <w:spacing w:after="60"/>
      </w:pPr>
      <w:r>
        <w:rPr>
          <w:b/>
        </w:rPr>
        <w:t xml:space="preserve">Hub cluster: </w:t>
      </w:r>
      <w:r>
        <w:t>The central Kubernetes cluster that stores desired multicluster state and runs OCM’s management controllers.</w:t>
      </w:r>
    </w:p>
    <w:p>
      <w:pPr>
        <w:spacing w:after="60"/>
      </w:pPr>
      <w:r>
        <w:rPr>
          <w:b/>
        </w:rPr>
        <w:t xml:space="preserve">Managed cluster: </w:t>
      </w:r>
      <w:r>
        <w:t>A Kubernetes cluster registered with the hub and capable of receiving work.</w:t>
      </w:r>
    </w:p>
    <w:p>
      <w:pPr>
        <w:spacing w:after="60"/>
      </w:pPr>
      <w:r>
        <w:rPr>
          <w:b/>
        </w:rPr>
        <w:t xml:space="preserve">Operator: </w:t>
      </w:r>
      <w:r>
        <w:t>A controller that watches OCM custom resources and continuously creates, updates, or repairs the required Kubernetes workloads.</w:t>
      </w:r>
    </w:p>
    <w:p>
      <w:pPr>
        <w:spacing w:after="60"/>
      </w:pPr>
      <w:r>
        <w:rPr>
          <w:b/>
        </w:rPr>
        <w:t xml:space="preserve">CRD / CR: </w:t>
      </w:r>
      <w:r>
        <w:t>A CustomResourceDefinition adds a Kubernetes API type; a custom resource is one desired instance of that type. Neither is a separate container image.</w:t>
      </w:r>
    </w:p>
    <w:p>
      <w:pPr>
        <w:spacing w:after="60"/>
      </w:pPr>
      <w:r>
        <w:rPr>
          <w:b/>
        </w:rPr>
        <w:t xml:space="preserve">Helm chart: </w:t>
      </w:r>
      <w:r>
        <w:t>A parameterized Kubernetes package used here to install CRDs, operators, and the initial ClusterManager or Klusterlet request.</w:t>
      </w:r>
    </w:p>
    <w:p>
      <w:pPr>
        <w:spacing w:after="60"/>
      </w:pPr>
      <w:r>
        <w:rPr>
          <w:b/>
        </w:rPr>
        <w:t xml:space="preserve">SPS wrapper: </w:t>
      </w:r>
      <w:r>
        <w:t>The standardized Makefile-facing interface prepared for pipeline use. Final SPS contract validation remains pending IBM access.</w:t>
      </w:r>
    </w:p>
    <w:p>
      <w:pPr>
        <w:pStyle w:val="Heading1"/>
        <w:pageBreakBefore/>
      </w:pPr>
      <w:r>
        <w:t>Appendix A — Reproduction command set</w:t>
      </w:r>
    </w:p>
    <w:p>
      <w:pPr>
        <w:pStyle w:val="Heading2"/>
      </w:pPr>
      <w:r>
        <w:t>A.1 Build and test</w:t>
      </w:r>
    </w:p>
    <w:p>
      <w:pPr>
        <w:keepLines/>
        <w:spacing w:before="60" w:after="140" w:line="240" w:lineRule="auto"/>
        <w:ind w:left="259" w:right="259"/>
        <w:shd w:fill="F5F7F9"/>
      </w:pPr>
      <w:r>
        <w:rPr>
          <w:rFonts w:ascii="Consolas" w:hAnsi="Consolas"/>
          <w:sz w:val="16"/>
        </w:rPr>
        <w:t>make pre-build</w:t>
        <w:br/>
        <w:t>make docker-build IMAGE_REGISTRY=ocm-ubi9 IMAGE_TAG=phase1</w:t>
        <w:br/>
        <w:t>make docker-test IMAGE_REGISTRY=ocm-ubi9 IMAGE_TAG=phase1</w:t>
        <w:br/>
        <w:t>make helm-template</w:t>
        <w:br/>
        <w:t>make helm-package HELM_CHART_VERSION=0.3.0</w:t>
        <w:br/>
        <w:t>docker image inspect ocm-ubi9/registration:phase1 --format '{{.Os}}/{{.Architecture}} user={{.Config.User}} id={{.Id}}'</w:t>
        <w:br/>
        <w:t>docker run --rm --platform linux/amd64 ocm-ubi9/registration:phase1 /bin/bash -c 'cat /etc/redhat-release; id; test -x /registration'</w:t>
      </w:r>
    </w:p>
    <w:p>
      <w:pPr>
        <w:pStyle w:val="Heading2"/>
      </w:pPr>
      <w:r>
        <w:t>A.2 Load and deploy</w:t>
      </w:r>
    </w:p>
    <w:p>
      <w:pPr>
        <w:keepLines/>
        <w:spacing w:before="60" w:after="140" w:line="240" w:lineRule="auto"/>
        <w:ind w:left="259" w:right="259"/>
        <w:shd w:fill="F5F7F9"/>
      </w:pPr>
      <w:r>
        <w:rPr>
          <w:rFonts w:ascii="Consolas" w:hAnsi="Consolas"/>
          <w:sz w:val="16"/>
        </w:rPr>
        <w:t>make local-load-images MINIKUBE_PROFILE=ocm-ubi9</w:t>
        <w:br/>
        <w:t>make deploy KUBE_CONTEXT=ocm-ubi9</w:t>
        <w:br/>
        <w:t>make deploy-managed KUBE_CONTEXT=ocm-ubi9 BOOTSTRAP_HUB_KUBECONFIG=&lt;short-lived-kubeconfig&gt;</w:t>
      </w:r>
    </w:p>
    <w:p>
      <w:pPr>
        <w:pStyle w:val="Heading2"/>
      </w:pPr>
      <w:r>
        <w:t>A.3 Validate</w:t>
      </w:r>
    </w:p>
    <w:p>
      <w:pPr>
        <w:keepLines/>
        <w:spacing w:before="60" w:after="140" w:line="240" w:lineRule="auto"/>
        <w:ind w:left="259" w:right="259"/>
        <w:shd w:fill="F5F7F9"/>
      </w:pPr>
      <w:r>
        <w:rPr>
          <w:rFonts w:ascii="Consolas" w:hAnsi="Consolas"/>
          <w:sz w:val="16"/>
        </w:rPr>
        <w:t>make local-status KUBE_CONTEXT=ocm-ubi9</w:t>
        <w:br/>
        <w:t>kubectl --context ocm-ubi9 apply -f deploy/local/tests/placement.yaml</w:t>
        <w:br/>
        <w:t>kubectl --context ocm-ubi9 apply -f deploy/local/tests/manifestwork.yaml</w:t>
      </w:r>
    </w:p>
    <w:sectPr w:rsidR="00FC693F" w:rsidRPr="0006063C" w:rsidSect="00034616">
      <w:headerReference w:type="default" r:id="rId9"/>
      <w:footerReference w:type="default" r:id="rId10"/>
      <w:pgSz w:w="12240" w:h="15840"/>
      <w:pgMar w:top="1152" w:right="1440" w:bottom="1296"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7"/>
      </w:rPr>
      <w:t xml:space="preserve">Engineering status • July 23, 2026  |  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66666"/>
        <w:sz w:val="17"/>
      </w:rPr>
      <w:t>OCM UBI9 Migration  |  Manager Status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OCM UBI9 Migration and Local Functional Validation</dc:title>
  <dc:subject>Manager-facing engineering status report</dc:subject>
  <dc:creator>OCM migration engineering</dc:creator>
  <cp:keywords>OCM, UBI9, Kubernetes, Helm, operator, AMD64, validation</cp:keywords>
  <dc:description>generated by python-docx</dc:description>
  <cp:lastModifiedBy/>
  <cp:revision>1</cp:revision>
  <dcterms:created xsi:type="dcterms:W3CDTF">2013-12-23T23:15:00Z</dcterms:created>
  <dcterms:modified xsi:type="dcterms:W3CDTF">2013-12-23T23:15:00Z</dcterms:modified>
  <cp:category/>
</cp:coreProperties>
</file>