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b/>
          <w:color w:val="2E74B5"/>
          <w:sz w:val="22"/>
        </w:rPr>
        <w:t>ENGINEERING STATUS REPORT</w:t>
      </w:r>
    </w:p>
    <w:p>
      <w:pPr>
        <w:spacing w:after="80"/>
      </w:pPr>
      <w:r>
        <w:rPr>
          <w:b/>
          <w:color w:val="17365D"/>
          <w:sz w:val="50"/>
        </w:rPr>
        <w:t>Open Cluster Management</w:t>
      </w:r>
    </w:p>
    <w:p>
      <w:pPr>
        <w:spacing w:after="320"/>
      </w:pPr>
      <w:r>
        <w:rPr>
          <w:color w:val="666666"/>
          <w:sz w:val="30"/>
        </w:rPr>
        <w:t>UBI9 Image Migration and Local Functional Validation</w:t>
      </w:r>
    </w:p>
    <w:p>
      <w:pPr>
        <w:spacing w:after="40"/>
      </w:pPr>
      <w:r>
        <w:rPr>
          <w:b/>
        </w:rPr>
        <w:t xml:space="preserve">Prepared for: </w:t>
      </w:r>
      <w:r>
        <w:t>Manager and project stakeholders</w:t>
      </w:r>
    </w:p>
    <w:p>
      <w:pPr>
        <w:spacing w:after="40"/>
      </w:pPr>
      <w:r>
        <w:rPr>
          <w:b/>
        </w:rPr>
        <w:t xml:space="preserve">Prepared by: </w:t>
      </w:r>
      <w:r>
        <w:t>OCM migration engineering</w:t>
      </w:r>
    </w:p>
    <w:p>
      <w:pPr>
        <w:spacing w:after="40"/>
      </w:pPr>
      <w:r>
        <w:rPr>
          <w:b/>
        </w:rPr>
        <w:t xml:space="preserve">Date: </w:t>
      </w:r>
      <w:r>
        <w:t>July 21, 2026</w:t>
      </w:r>
    </w:p>
    <w:p>
      <w:pPr>
        <w:spacing w:after="40"/>
      </w:pPr>
      <w:r>
        <w:rPr>
          <w:b/>
        </w:rPr>
        <w:t xml:space="preserve">Repository: </w:t>
      </w:r>
      <w:r>
        <w:t>zoislam-p/ocm — source revision 0ab9a37d1</w:t>
      </w:r>
    </w:p>
    <w:p>
      <w:pPr>
        <w:spacing w:after="40"/>
      </w:pPr>
      <w:r>
        <w:rPr>
          <w:b/>
        </w:rPr>
        <w:t xml:space="preserve">Target: </w:t>
      </w:r>
      <w:r>
        <w:t>Red Hat UBI9 runtime images on linux/amd64</w:t>
      </w:r>
    </w:p>
    <w:p>
      <w:pPr>
        <w:spacing w:after="40"/>
      </w:pPr>
      <w:r>
        <w:rPr>
          <w:b/>
        </w:rPr>
        <w:t xml:space="preserve">Current status: </w:t>
      </w:r>
      <w:r>
        <w:t>Local build, packaging, deployment, and core functionality validated</w:t>
      </w:r>
    </w:p>
    <w:p>
      <w:pPr>
        <w:spacing w:before="200" w:after="240"/>
        <w:pBdr>
          <w:bottom w:val="single" w:sz="12" w:space="1"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2F0D9"/>
          </w:tcPr>
          <w:p>
            <w:pPr>
              <w:spacing w:after="60"/>
            </w:pPr>
            <w:r/>
            <w:r>
              <w:rPr>
                <w:b/>
                <w:color w:val="17365D"/>
              </w:rPr>
              <w:t xml:space="preserve">Overall conclusion — </w:t>
            </w:r>
            <w:r>
              <w:t>The five OCM images were migrated to UBI9, built for AMD64, tested as non-root containers, deployed through the existing Helm/operator model, and validated through live Placement and ManifestWork workflows. Core OCM functionality is working in the local Minikube environment. This is local engineering validation; IBM release controls and RKE2 acceptance remain pending.</w:t>
            </w:r>
          </w:p>
        </w:tc>
      </w:tr>
    </w:tbl>
    <w:p>
      <w:pPr>
        <w:spacing w:after="0"/>
      </w:pPr>
    </w:p>
    <w:p>
      <w:pPr>
        <w:pStyle w:val="Heading1"/>
      </w:pPr>
      <w:r>
        <w:t>1. Executive summary</w:t>
      </w:r>
    </w:p>
    <w:p>
      <w:pPr>
        <w:pStyle w:val="ListBullet"/>
        <w:spacing w:after="120" w:line="264" w:lineRule="auto"/>
        <w:ind w:left="720" w:hanging="360"/>
      </w:pPr>
      <w:r>
        <w:rPr>
          <w:b/>
        </w:rPr>
        <w:t xml:space="preserve">Images: </w:t>
      </w:r>
      <w:r>
        <w:t>Five UBI9 runtime images built for linux/amd64; all expected binaries execute as UID 10001.</w:t>
      </w:r>
    </w:p>
    <w:p>
      <w:pPr>
        <w:pStyle w:val="ListBullet"/>
        <w:spacing w:after="120" w:line="264" w:lineRule="auto"/>
        <w:ind w:left="720" w:hanging="360"/>
      </w:pPr>
      <w:r>
        <w:rPr>
          <w:b/>
        </w:rPr>
        <w:t xml:space="preserve">Packaging: </w:t>
      </w:r>
      <w:r>
        <w:t>An SPS-style wrapper Makefile preserves upstream build behavior and provides standard build, test, package, and deploy targets.</w:t>
      </w:r>
    </w:p>
    <w:p>
      <w:pPr>
        <w:pStyle w:val="ListBullet"/>
        <w:spacing w:after="120" w:line="264" w:lineRule="auto"/>
        <w:ind w:left="720" w:hanging="360"/>
      </w:pPr>
      <w:r>
        <w:rPr>
          <w:b/>
        </w:rPr>
        <w:t xml:space="preserve">Helm/operators: </w:t>
      </w:r>
      <w:r>
        <w:t>Both existing Helm charts installed successfully. The Cluster Manager and Klusterlet operators are running and managing all OCM application components.</w:t>
      </w:r>
    </w:p>
    <w:p>
      <w:pPr>
        <w:pStyle w:val="ListBullet"/>
        <w:spacing w:after="120" w:line="264" w:lineRule="auto"/>
        <w:ind w:left="720" w:hanging="360"/>
      </w:pPr>
      <w:r>
        <w:rPr>
          <w:b/>
        </w:rPr>
        <w:t xml:space="preserve">Functionality: </w:t>
      </w:r>
      <w:r>
        <w:t>The managed cluster joined the hub; Placement selected it; ManifestWork delivered resources and returned Applied/Available status.</w:t>
      </w:r>
    </w:p>
    <w:p>
      <w:pPr>
        <w:pStyle w:val="ListBullet"/>
        <w:spacing w:after="120" w:line="264" w:lineRule="auto"/>
        <w:ind w:left="720" w:hanging="360"/>
      </w:pPr>
      <w:r>
        <w:rPr>
          <w:b/>
        </w:rPr>
        <w:t xml:space="preserve">Visibility: </w:t>
      </w:r>
      <w:r>
        <w:t>Kubernetes Dashboard is enabled for local inspection. OCM core does not include the ACM product console.</w:t>
      </w:r>
    </w:p>
    <w:tbl>
      <w:tblPr>
        <w:tblStyle w:val="TableGrid"/>
        <w:tblW w:type="dxa" w:w="9360"/>
        <w:jc w:val="left"/>
        <w:tblLayout w:type="fixed"/>
        <w:tblLook w:firstColumn="1" w:firstRow="1" w:lastColumn="0" w:lastRow="0" w:noHBand="0" w:noVBand="1" w:val="04A0"/>
        <w:tblInd w:w="120" w:type="dxa"/>
      </w:tblPr>
      <w:tblGrid>
        <w:gridCol w:w="2160"/>
        <w:gridCol w:w="1800"/>
        <w:gridCol w:w="5400"/>
      </w:tblGrid>
      <w:tr>
        <w:trPr>
          <w:tblHeader w:val="true"/>
          <w:cantSplit/>
        </w:trPr>
        <w:tc>
          <w:tcPr>
            <w:tcW w:type="dxa" w:w="21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Workstream</w:t>
            </w:r>
          </w:p>
        </w:tc>
        <w:tc>
          <w:tcPr>
            <w:tcW w:type="dxa" w:w="180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Status</w:t>
            </w:r>
          </w:p>
        </w:tc>
        <w:tc>
          <w:tcPr>
            <w:tcW w:type="dxa" w:w="540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Management-level result</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Dockerfiles</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Complete</w:t>
            </w:r>
          </w:p>
        </w:tc>
        <w:tc>
          <w:tcPr>
            <w:tcW w:type="dxa" w:w="54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Five runtime stages migrated; upstream behavior preserved.</w:t>
            </w:r>
          </w:p>
        </w:tc>
      </w:tr>
      <w:tr>
        <w:trPr>
          <w:cantSplit/>
        </w:trPr>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Image build/test</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c>
          <w:tcPr>
            <w:tcW w:type="dxa" w:w="54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Five images and six binaries validated on linux/amd64.</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SPS Makefile</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Complete locally</w:t>
            </w:r>
          </w:p>
        </w:tc>
        <w:tc>
          <w:tcPr>
            <w:tcW w:type="dxa" w:w="54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Standard targets added; Makefile.org preserves upstream logic.</w:t>
            </w:r>
          </w:p>
        </w:tc>
      </w:tr>
      <w:tr>
        <w:trPr>
          <w:cantSplit/>
        </w:trPr>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 packaging</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c>
          <w:tcPr>
            <w:tcW w:type="dxa" w:w="54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Both charts lint, render, and package as version 0.3.0.</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Local deployment</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Deployed</w:t>
            </w:r>
          </w:p>
        </w:tc>
        <w:tc>
          <w:tcPr>
            <w:tcW w:type="dxa" w:w="54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Both operators and all OCM workloads are Ready.</w:t>
            </w:r>
          </w:p>
        </w:tc>
      </w:tr>
      <w:tr>
        <w:trPr>
          <w:cantSplit/>
        </w:trPr>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Core OCM function</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Working</w:t>
            </w:r>
          </w:p>
        </w:tc>
        <w:tc>
          <w:tcPr>
            <w:tcW w:type="dxa" w:w="54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 Placement, ManifestWork, reconciliation, and feedback passed.</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IBM/RKE2 release gates</w:t>
            </w:r>
          </w:p>
        </w:tc>
        <w:tc>
          <w:tcPr>
            <w:tcW w:type="dxa" w:w="1800"/>
            <w:shd w:fill="FFF2CC"/>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External pending</w:t>
            </w:r>
          </w:p>
        </w:tc>
        <w:tc>
          <w:tcPr>
            <w:tcW w:type="dxa" w:w="54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Requires access to SPS, ICR, signing, scanning, mirroring, monorepo, and RKE2.</w:t>
            </w:r>
          </w:p>
        </w:tc>
      </w:tr>
    </w:tbl>
    <w:p>
      <w:pPr>
        <w:spacing w:after="0"/>
      </w:pPr>
    </w:p>
    <w:p>
      <w:pPr>
        <w:pStyle w:val="Heading1"/>
      </w:pPr>
      <w:r>
        <w:t>2. Purpose and scope</w:t>
      </w:r>
    </w:p>
    <w:p>
      <w:r>
        <w:t>Open Cluster Management (OCM) provides a central Kubernetes hub for registering managed clusters, selecting clusters, distributing Kubernetes resources, and reporting delivery status. In the Sovereign Core framework, OCM is the planned upstream OSS foundation for capabilities currently associated with Red Hat Advanced Cluster Management (ACM).</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2CC"/>
          </w:tcPr>
          <w:p>
            <w:pPr>
              <w:spacing w:after="60"/>
            </w:pPr>
            <w:r/>
            <w:r>
              <w:rPr>
                <w:b/>
                <w:color w:val="17365D"/>
              </w:rPr>
              <w:t xml:space="preserve">Important scope statement — </w:t>
            </w:r>
            <w:r>
              <w:t>OCM is the upstream multicluster-management foundation, not a one-for-one replacement for every ACM product feature. Governance, observability, search/topology, provisioning workflows, and a full product console require separate capability mapping.</w:t>
            </w:r>
          </w:p>
        </w:tc>
      </w:tr>
    </w:tbl>
    <w:p>
      <w:pPr>
        <w:spacing w:after="0"/>
      </w:pPr>
    </w:p>
    <w:p>
      <w:pPr>
        <w:pStyle w:val="Heading2"/>
      </w:pPr>
      <w:r>
        <w:t>2.1 What OCM does</w:t>
      </w:r>
    </w:p>
    <w:p>
      <w:pPr>
        <w:pStyle w:val="ListBullet"/>
        <w:spacing w:after="120" w:line="264" w:lineRule="auto"/>
        <w:ind w:left="720" w:hanging="360"/>
      </w:pPr>
      <w:r>
        <w:rPr>
          <w:b/>
        </w:rPr>
        <w:t xml:space="preserve">Registration: </w:t>
      </w:r>
      <w:r>
        <w:t>connects managed Kubernetes clusters to the central hub and maintains certificates and status.</w:t>
      </w:r>
    </w:p>
    <w:p>
      <w:pPr>
        <w:pStyle w:val="ListBullet"/>
        <w:spacing w:after="120" w:line="264" w:lineRule="auto"/>
        <w:ind w:left="720" w:hanging="360"/>
      </w:pPr>
      <w:r>
        <w:rPr>
          <w:b/>
        </w:rPr>
        <w:t xml:space="preserve">Work distribution: </w:t>
      </w:r>
      <w:r>
        <w:t>delivers Kubernetes manifests from the hub to managed clusters through ManifestWork.</w:t>
      </w:r>
    </w:p>
    <w:p>
      <w:pPr>
        <w:pStyle w:val="ListBullet"/>
        <w:spacing w:after="120" w:line="264" w:lineRule="auto"/>
        <w:ind w:left="720" w:hanging="360"/>
      </w:pPr>
      <w:r>
        <w:rPr>
          <w:b/>
        </w:rPr>
        <w:t xml:space="preserve">Placement: </w:t>
      </w:r>
      <w:r>
        <w:t>selects eligible managed clusters based on labels, cluster sets, and scheduling rules.</w:t>
      </w:r>
    </w:p>
    <w:p>
      <w:pPr>
        <w:pStyle w:val="ListBullet"/>
        <w:spacing w:after="120" w:line="264" w:lineRule="auto"/>
        <w:ind w:left="720" w:hanging="360"/>
      </w:pPr>
      <w:r>
        <w:rPr>
          <w:b/>
        </w:rPr>
        <w:t xml:space="preserve">Add-ons: </w:t>
      </w:r>
      <w:r>
        <w:t>provides a framework for installing and managing optional multicluster capabilities.</w:t>
      </w:r>
    </w:p>
    <w:p>
      <w:pPr>
        <w:pStyle w:val="ListBullet"/>
        <w:spacing w:after="120" w:line="264" w:lineRule="auto"/>
        <w:ind w:left="720" w:hanging="360"/>
      </w:pPr>
      <w:r>
        <w:rPr>
          <w:b/>
        </w:rPr>
        <w:t xml:space="preserve">Continuous reconciliation: </w:t>
      </w:r>
      <w:r>
        <w:t>operators and controllers maintain requested state and report conditions.</w:t>
      </w:r>
    </w:p>
    <w:p>
      <w:pPr>
        <w:pStyle w:val="Heading2"/>
      </w:pPr>
      <w:r>
        <w:t>2.2 Architecture and installation flow</w:t>
      </w:r>
    </w:p>
    <w:tbl>
      <w:tblPr>
        <w:tblStyle w:val="TableGrid"/>
        <w:tblW w:type="dxa" w:w="9360"/>
        <w:jc w:val="left"/>
        <w:tblLayout w:type="fixed"/>
        <w:tblLook w:firstColumn="1" w:firstRow="1" w:lastColumn="0" w:lastRow="0" w:noHBand="0" w:noVBand="1" w:val="04A0"/>
        <w:tblInd w:w="120" w:type="dxa"/>
      </w:tblPr>
      <w:tblGrid>
        <w:gridCol w:w="720"/>
        <w:gridCol w:w="2160"/>
        <w:gridCol w:w="6480"/>
      </w:tblGrid>
      <w:tr>
        <w:trPr>
          <w:tblHeader w:val="true"/>
          <w:cantSplit/>
        </w:trPr>
        <w:tc>
          <w:tcPr>
            <w:tcW w:type="dxa" w:w="72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Step</w:t>
            </w:r>
          </w:p>
        </w:tc>
        <w:tc>
          <w:tcPr>
            <w:tcW w:type="dxa" w:w="21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Component</w:t>
            </w:r>
          </w:p>
        </w:tc>
        <w:tc>
          <w:tcPr>
            <w:tcW w:type="dxa" w:w="648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Responsibility</w:t>
            </w:r>
          </w:p>
        </w:tc>
      </w:tr>
      <w:tr>
        <w:trPr>
          <w:cantSplit/>
        </w:trPr>
        <w:tc>
          <w:tcPr>
            <w:tcW w:type="dxa" w:w="7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1</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w:t>
            </w:r>
          </w:p>
        </w:tc>
        <w:tc>
          <w:tcPr>
            <w:tcW w:type="dxa" w:w="64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Installs CRDs, operator Deployments, and ClusterManager/Klusterlet custom resources.</w:t>
            </w:r>
          </w:p>
        </w:tc>
      </w:tr>
      <w:tr>
        <w:trPr>
          <w:cantSplit/>
        </w:trPr>
        <w:tc>
          <w:tcPr>
            <w:tcW w:type="dxa" w:w="7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2</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CRDs and CRs</w:t>
            </w:r>
          </w:p>
        </w:tc>
        <w:tc>
          <w:tcPr>
            <w:tcW w:type="dxa" w:w="648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Define the OCM resource types and declare the requested hub or managed-cluster configuration.</w:t>
            </w:r>
          </w:p>
        </w:tc>
      </w:tr>
      <w:tr>
        <w:trPr>
          <w:cantSplit/>
        </w:trPr>
        <w:tc>
          <w:tcPr>
            <w:tcW w:type="dxa" w:w="7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 operator</w:t>
            </w:r>
          </w:p>
        </w:tc>
        <w:tc>
          <w:tcPr>
            <w:tcW w:type="dxa" w:w="64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Watches the custom resources and creates/manages the OCM application workloads.</w:t>
            </w:r>
          </w:p>
        </w:tc>
      </w:tr>
      <w:tr>
        <w:trPr>
          <w:cantSplit/>
        </w:trPr>
        <w:tc>
          <w:tcPr>
            <w:tcW w:type="dxa" w:w="7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4</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OCM application</w:t>
            </w:r>
          </w:p>
        </w:tc>
        <w:tc>
          <w:tcPr>
            <w:tcW w:type="dxa" w:w="648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 Work, Placement, and Add-on components perform multicluster operations.</w:t>
            </w:r>
          </w:p>
        </w:tc>
      </w:tr>
      <w:tr>
        <w:trPr>
          <w:cantSplit/>
        </w:trPr>
        <w:tc>
          <w:tcPr>
            <w:tcW w:type="dxa" w:w="7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5</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Managed-cluster agents</w:t>
            </w:r>
          </w:p>
        </w:tc>
        <w:tc>
          <w:tcPr>
            <w:tcW w:type="dxa" w:w="64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Register the cluster, apply work, and report results to the hub.</w:t>
            </w:r>
          </w:p>
        </w:tc>
      </w:tr>
    </w:tbl>
    <w:p>
      <w:pPr>
        <w:spacing w:after="0"/>
      </w:pPr>
    </w:p>
    <w:p>
      <w:pPr>
        <w:pStyle w:val="Heading2"/>
      </w:pPr>
      <w:r>
        <w:t>2.3 Images in scope</w:t>
      </w:r>
    </w:p>
    <w:tbl>
      <w:tblPr>
        <w:tblStyle w:val="TableGrid"/>
        <w:tblW w:type="dxa" w:w="9360"/>
        <w:jc w:val="left"/>
        <w:tblLayout w:type="fixed"/>
        <w:tblLook w:firstColumn="1" w:firstRow="1" w:lastColumn="0" w:lastRow="0" w:noHBand="0" w:noVBand="1" w:val="04A0"/>
        <w:tblInd w:w="120" w:type="dxa"/>
      </w:tblPr>
      <w:tblGrid>
        <w:gridCol w:w="2520"/>
        <w:gridCol w:w="1800"/>
        <w:gridCol w:w="5040"/>
      </w:tblGrid>
      <w:tr>
        <w:trPr>
          <w:tblHeader w:val="true"/>
          <w:cantSplit/>
        </w:trPr>
        <w:tc>
          <w:tcPr>
            <w:tcW w:type="dxa" w:w="252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Image</w:t>
            </w:r>
          </w:p>
        </w:tc>
        <w:tc>
          <w:tcPr>
            <w:tcW w:type="dxa" w:w="180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Role</w:t>
            </w:r>
          </w:p>
        </w:tc>
        <w:tc>
          <w:tcPr>
            <w:tcW w:type="dxa" w:w="504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What it does</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registration-operator</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Operator</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Installs and manages the hub and Klusterlet components.</w:t>
            </w:r>
          </w:p>
        </w:tc>
      </w:tr>
      <w:tr>
        <w:trPr>
          <w:cantSplit/>
        </w:trPr>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w:t>
            </w:r>
          </w:p>
        </w:tc>
        <w:tc>
          <w:tcPr>
            <w:tcW w:type="dxa" w:w="18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Application</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Connects clusters and manages registration/certificate flows.</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work</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Application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Delivers and applies ManifestWork resources.</w:t>
            </w:r>
          </w:p>
        </w:tc>
      </w:tr>
      <w:tr>
        <w:trPr>
          <w:cantSplit/>
        </w:trPr>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placement</w:t>
            </w:r>
          </w:p>
        </w:tc>
        <w:tc>
          <w:tcPr>
            <w:tcW w:type="dxa" w:w="18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Application</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Selects managed clusters for higher-level consumers.</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addon</w:t>
            </w:r>
          </w:p>
        </w:tc>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Application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Manages optional OCM add-on lifecycle and configuration.</w:t>
            </w:r>
          </w:p>
        </w:tc>
      </w:tr>
    </w:tbl>
    <w:p>
      <w:pPr>
        <w:spacing w:after="0"/>
      </w:pPr>
    </w:p>
    <w:p>
      <w:pPr>
        <w:pStyle w:val="Heading1"/>
      </w:pPr>
      <w:r>
        <w:t>3. Implementation completed</w:t>
      </w:r>
    </w:p>
    <w:p>
      <w:pPr>
        <w:pStyle w:val="Heading2"/>
      </w:pPr>
      <w:r>
        <w:t>3.1 Dockerfiles and runtime</w:t>
      </w:r>
    </w:p>
    <w:p>
      <w:r>
        <w:t>All five multi-stage Dockerfiles now use registry.access.redhat.com/ubi9/ubi:latest for the runtime stage. Builder stages remain on the existing Go builder, which minimizes upstream divergence. No apt-get, apk, dnf, or package-name conversion was necessary because the runtime stages do not install packages.</w:t>
      </w:r>
    </w:p>
    <w:tbl>
      <w:tblPr>
        <w:tblStyle w:val="TableGrid"/>
        <w:tblW w:type="dxa" w:w="9360"/>
        <w:jc w:val="left"/>
        <w:tblLayout w:type="fixed"/>
        <w:tblLook w:firstColumn="1" w:firstRow="1" w:lastColumn="0" w:lastRow="0" w:noHBand="0" w:noVBand="1" w:val="04A0"/>
        <w:tblInd w:w="120" w:type="dxa"/>
      </w:tblPr>
      <w:tblGrid>
        <w:gridCol w:w="4320"/>
        <w:gridCol w:w="5040"/>
      </w:tblGrid>
      <w:tr>
        <w:trPr>
          <w:tblHeader w:val="true"/>
          <w:cantSplit/>
        </w:trPr>
        <w:tc>
          <w:tcPr>
            <w:tcW w:type="dxa" w:w="432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Dockerfile</w:t>
            </w:r>
          </w:p>
        </w:tc>
        <w:tc>
          <w:tcPr>
            <w:tcW w:type="dxa" w:w="504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Runtime result</w:t>
            </w:r>
          </w:p>
        </w:tc>
      </w:tr>
      <w:tr>
        <w:trPr>
          <w:cantSplit/>
        </w:trPr>
        <w:tc>
          <w:tcPr>
            <w:tcW w:type="dxa" w:w="43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build/Dockerfile.addon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runtime; /addon; UID 10001</w:t>
            </w:r>
          </w:p>
        </w:tc>
      </w:tr>
      <w:tr>
        <w:trPr>
          <w:cantSplit/>
        </w:trPr>
        <w:tc>
          <w:tcPr>
            <w:tcW w:type="dxa" w:w="43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build/Dockerfile.placement</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runtime; /placement; UID 10001</w:t>
            </w:r>
          </w:p>
        </w:tc>
      </w:tr>
      <w:tr>
        <w:trPr>
          <w:cantSplit/>
        </w:trPr>
        <w:tc>
          <w:tcPr>
            <w:tcW w:type="dxa" w:w="43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build/Dockerfile.registration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runtime; /registration and /server; UID 10001</w:t>
            </w:r>
          </w:p>
        </w:tc>
      </w:tr>
      <w:tr>
        <w:trPr>
          <w:cantSplit/>
        </w:trPr>
        <w:tc>
          <w:tcPr>
            <w:tcW w:type="dxa" w:w="43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build/Dockerfile.registration-operator</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runtime; /registration-operator; UID 10001</w:t>
            </w:r>
          </w:p>
        </w:tc>
      </w:tr>
      <w:tr>
        <w:trPr>
          <w:cantSplit/>
        </w:trPr>
        <w:tc>
          <w:tcPr>
            <w:tcW w:type="dxa" w:w="43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build/Dockerfile.work</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UBI9 runtime; /work; UID 10001</w:t>
            </w:r>
          </w:p>
        </w:tc>
      </w:tr>
    </w:tbl>
    <w:p>
      <w:pPr>
        <w:spacing w:after="0"/>
      </w:pPr>
    </w:p>
    <w:p>
      <w:pPr>
        <w:pStyle w:val="Heading2"/>
      </w:pPr>
      <w:r>
        <w:t>3.2 Upstream preservation and SPS wrapper</w:t>
      </w:r>
    </w:p>
    <w:p>
      <w:r>
        <w:t>The upstream Makefile is preserved exactly as Makefile.org. A new top-level wrapper exposes the standardized local/SPS interface while delegating upstream build, unit-test, verification, update, and lint behavior back to Makefile.org. Exact .org backups also exist for every modified Dockerfile.</w:t>
      </w:r>
    </w:p>
    <w:p>
      <w:pPr>
        <w:keepLines/>
        <w:spacing w:before="60" w:after="140" w:line="240" w:lineRule="auto"/>
        <w:ind w:left="259" w:right="259"/>
        <w:shd w:fill="F5F7F9"/>
      </w:pPr>
      <w:r>
        <w:rPr>
          <w:rFonts w:ascii="Consolas" w:hAnsi="Consolas"/>
          <w:sz w:val="16"/>
        </w:rPr>
        <w:t>make pre-build</w:t>
        <w:br/>
        <w:t>make docker-build</w:t>
        <w:br/>
        <w:t>make docker-test</w:t>
        <w:br/>
        <w:t>make helm-package</w:t>
        <w:br/>
        <w:t>make deploy</w:t>
      </w:r>
    </w:p>
    <w:p>
      <w:r>
        <w:t>A credential-free local pipeline interface is documented; no IBM pipeline execution is claimed. Registry, tag, platform, container engine, chart version, Kubernetes context, and bootstrap kubeconfig remain parameters, and no IBM credentials or namespaces are embedded.</w:t>
      </w:r>
    </w:p>
    <w:p>
      <w:pPr>
        <w:pStyle w:val="Heading2"/>
      </w:pPr>
      <w:r>
        <w:t>3.3 Helm delivery</w:t>
      </w:r>
    </w:p>
    <w:p>
      <w:r>
        <w:t>The repository already contains a Cluster Manager chart and a Klusterlet chart, so no replacement chart was created. Local values override all component images with the UBI9 builds and set imagePullPolicy to Never so Minikube uses locally loaded images.</w:t>
      </w:r>
    </w:p>
    <w:p>
      <w:pPr>
        <w:pStyle w:val="ListBullet"/>
        <w:spacing w:after="120" w:line="264" w:lineRule="auto"/>
        <w:ind w:left="720" w:hanging="360"/>
      </w:pPr>
      <w:r>
        <w:rPr>
          <w:b/>
        </w:rPr>
        <w:t xml:space="preserve">Cluster Manager chart: </w:t>
      </w:r>
      <w:r>
        <w:t>installs the hub CRD/operator and creates the ClusterManager request; the operator deploys Registration, Work, Placement, and Add-on components.</w:t>
      </w:r>
    </w:p>
    <w:p>
      <w:pPr>
        <w:pStyle w:val="ListBullet"/>
        <w:spacing w:after="120" w:line="264" w:lineRule="auto"/>
        <w:ind w:left="720" w:hanging="360"/>
      </w:pPr>
      <w:r>
        <w:rPr>
          <w:b/>
        </w:rPr>
        <w:t xml:space="preserve">Klusterlet chart: </w:t>
      </w:r>
      <w:r>
        <w:t>installs the managed-cluster CRD/operator and creates the Klusterlet request; the operator deploys Registration and Work agents.</w:t>
      </w:r>
    </w:p>
    <w:p>
      <w:pPr>
        <w:pStyle w:val="ListBullet"/>
        <w:spacing w:after="120" w:line="264" w:lineRule="auto"/>
        <w:ind w:left="720" w:hanging="360"/>
      </w:pPr>
      <w:r>
        <w:rPr>
          <w:b/>
        </w:rPr>
        <w:t xml:space="preserve">Packaging: </w:t>
      </w:r>
      <w:r>
        <w:t>both charts lint and render successfully and package as cluster-manager-0.3.0.tgz and klusterlet-0.3.0.tgz.</w:t>
      </w:r>
    </w:p>
    <w:p>
      <w:pPr>
        <w:pStyle w:val="Heading1"/>
      </w:pPr>
      <w:r>
        <w:t>4. Testing performed</w:t>
      </w:r>
    </w:p>
    <w:p>
      <w:r>
        <w:t>Testing was layered from static packaging checks through live OCM behavior. This separates evidence that an image merely builds from evidence that the platform performs its intended multicluster functions.</w:t>
      </w:r>
    </w:p>
    <w:tbl>
      <w:tblPr>
        <w:tblStyle w:val="TableGrid"/>
        <w:tblW w:type="dxa" w:w="9360"/>
        <w:jc w:val="left"/>
        <w:tblLayout w:type="fixed"/>
        <w:tblLook w:firstColumn="1" w:firstRow="1" w:lastColumn="0" w:lastRow="0" w:noHBand="0" w:noVBand="1" w:val="04A0"/>
        <w:tblInd w:w="120" w:type="dxa"/>
      </w:tblPr>
      <w:tblGrid>
        <w:gridCol w:w="1440"/>
        <w:gridCol w:w="2160"/>
        <w:gridCol w:w="3960"/>
        <w:gridCol w:w="1800"/>
      </w:tblGrid>
      <w:tr>
        <w:trPr>
          <w:tblHeader w:val="true"/>
          <w:cantSplit/>
        </w:trPr>
        <w:tc>
          <w:tcPr>
            <w:tcW w:type="dxa" w:w="144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Test layer</w:t>
            </w:r>
          </w:p>
        </w:tc>
        <w:tc>
          <w:tcPr>
            <w:tcW w:type="dxa" w:w="21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Method</w:t>
            </w:r>
          </w:p>
        </w:tc>
        <w:tc>
          <w:tcPr>
            <w:tcW w:type="dxa" w:w="39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Acceptance criterion</w:t>
            </w:r>
          </w:p>
        </w:tc>
        <w:tc>
          <w:tcPr>
            <w:tcW w:type="dxa" w:w="180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Result</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Dockerfile</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Static verification</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Every final stage is UBI9 and USER resolves to 10001</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Build</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Docker, linux/amd64</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All five images build successfully</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Metadata</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docker image inspect</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OS linux; architecture amd64; configured user 10001</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UBI identity</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/etc/redhat-release</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RHEL/UBI major version 9</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Binary smoke</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Run six binaries with --help</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Executable and non-empty safe startup</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Kubernetes smoke</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Six hardened Jobs</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Exit 0; zero application restarts</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 static</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 lint/template</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Both charts valid and render UBI9 image references</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Operator deploy</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 + kubectl</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Operators and generated workloads Ready</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ManagedCluster conditions</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Joined=True and Available=True</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Placement</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PlacementDecision</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Selects ocm-ubi9-local</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Work delivery</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ManifestWork</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Applied=True and Available=True</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r>
        <w:trPr>
          <w:cantSplit/>
        </w:trPr>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Feedback</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Delivered ConfigMap</w:t>
            </w:r>
          </w:p>
        </w:tc>
        <w:tc>
          <w:tcPr>
            <w:tcW w:type="dxa" w:w="39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Expected result visible on managed cluster</w:t>
            </w:r>
          </w:p>
        </w:tc>
        <w:tc>
          <w:tcPr>
            <w:tcW w:type="dxa" w:w="1800"/>
            <w:shd w:fill="E2F0D9"/>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Pass</w:t>
            </w:r>
          </w:p>
        </w:tc>
      </w:tr>
    </w:tbl>
    <w:p>
      <w:pPr>
        <w:spacing w:after="0"/>
      </w:pPr>
    </w:p>
    <w:p>
      <w:pPr>
        <w:pStyle w:val="Heading2"/>
      </w:pPr>
      <w:r>
        <w:t>4.1 Image build and runtime commands</w:t>
      </w:r>
    </w:p>
    <w:p>
      <w:r>
        <w:t>The standardized wrapper runs the complete build and image-verification sequence. Detailed inspection commands are retained in Appendix A.</w:t>
      </w:r>
    </w:p>
    <w:p>
      <w:pPr>
        <w:keepLines/>
        <w:spacing w:before="60" w:after="140" w:line="240" w:lineRule="auto"/>
        <w:ind w:left="259" w:right="259"/>
        <w:shd w:fill="F5F7F9"/>
      </w:pPr>
      <w:r>
        <w:rPr>
          <w:rFonts w:ascii="Consolas" w:hAnsi="Consolas"/>
          <w:sz w:val="16"/>
        </w:rPr>
        <w:t>make docker-build &amp;&amp; make docker-test</w:t>
      </w:r>
    </w:p>
    <w:p>
      <w:pPr>
        <w:pStyle w:val="Heading1"/>
      </w:pPr>
      <w:r>
        <w:t>5. Current image evidence</w:t>
      </w:r>
    </w:p>
    <w:p>
      <w:r>
        <w:t>Evidence refreshed from the local Docker engine on July 21, 2026.</w:t>
      </w:r>
    </w:p>
    <w:tbl>
      <w:tblPr>
        <w:tblStyle w:val="TableGrid"/>
        <w:tblW w:type="dxa" w:w="9360"/>
        <w:jc w:val="left"/>
        <w:tblLayout w:type="fixed"/>
        <w:tblLook w:firstColumn="1" w:firstRow="1" w:lastColumn="0" w:lastRow="0" w:noHBand="0" w:noVBand="1" w:val="04A0"/>
        <w:tblInd w:w="120" w:type="dxa"/>
      </w:tblPr>
      <w:tblGrid>
        <w:gridCol w:w="2520"/>
        <w:gridCol w:w="2520"/>
        <w:gridCol w:w="1440"/>
        <w:gridCol w:w="2880"/>
      </w:tblGrid>
      <w:tr>
        <w:trPr>
          <w:tblHeader w:val="true"/>
          <w:cantSplit/>
        </w:trPr>
        <w:tc>
          <w:tcPr>
            <w:tcW w:type="dxa" w:w="252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Image</w:t>
            </w:r>
          </w:p>
        </w:tc>
        <w:tc>
          <w:tcPr>
            <w:tcW w:type="dxa" w:w="252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Image ID (short)</w:t>
            </w:r>
          </w:p>
        </w:tc>
        <w:tc>
          <w:tcPr>
            <w:tcW w:type="dxa" w:w="144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Size</w:t>
            </w:r>
          </w:p>
        </w:tc>
        <w:tc>
          <w:tcPr>
            <w:tcW w:type="dxa" w:w="288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Platform / user</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w:t>
            </w:r>
          </w:p>
        </w:tc>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50b55a40c0d4</w:t>
            </w:r>
          </w:p>
        </w:tc>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472.2 MB</w:t>
            </w:r>
          </w:p>
        </w:tc>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linux/amd64 • 10001</w:t>
            </w:r>
          </w:p>
        </w:tc>
      </w:tr>
      <w:tr>
        <w:trPr>
          <w:cantSplit/>
        </w:trPr>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work</w:t>
            </w:r>
          </w:p>
        </w:tc>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3d2354023f76</w:t>
            </w:r>
          </w:p>
        </w:tc>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342.4 MB</w:t>
            </w:r>
          </w:p>
        </w:tc>
        <w:tc>
          <w:tcPr>
            <w:tcW w:type="dxa" w:w="288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linux/amd64 • 10001</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placement</w:t>
            </w:r>
          </w:p>
        </w:tc>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94800173e285</w:t>
            </w:r>
          </w:p>
        </w:tc>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329.4 MB</w:t>
            </w:r>
          </w:p>
        </w:tc>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linux/amd64 • 10001</w:t>
            </w:r>
          </w:p>
        </w:tc>
      </w:tr>
      <w:tr>
        <w:trPr>
          <w:cantSplit/>
        </w:trPr>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registration-operator</w:t>
            </w:r>
          </w:p>
        </w:tc>
        <w:tc>
          <w:tcPr>
            <w:tcW w:type="dxa" w:w="252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29fcd549b3ad</w:t>
            </w:r>
          </w:p>
        </w:tc>
        <w:tc>
          <w:tcPr>
            <w:tcW w:type="dxa" w:w="14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345.0 MB</w:t>
            </w:r>
          </w:p>
        </w:tc>
        <w:tc>
          <w:tcPr>
            <w:tcW w:type="dxa" w:w="288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linux/amd64 • 10001</w:t>
            </w:r>
          </w:p>
        </w:tc>
      </w:tr>
      <w:tr>
        <w:trPr>
          <w:cantSplit/>
        </w:trPr>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addon</w:t>
            </w:r>
          </w:p>
        </w:tc>
        <w:tc>
          <w:tcPr>
            <w:tcW w:type="dxa" w:w="252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363f2f884d9a</w:t>
            </w:r>
          </w:p>
        </w:tc>
        <w:tc>
          <w:tcPr>
            <w:tcW w:type="dxa" w:w="14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337.7 MB</w:t>
            </w:r>
          </w:p>
        </w:tc>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linux/amd64 • 10001</w:t>
            </w:r>
          </w:p>
        </w:tc>
      </w:tr>
    </w:tbl>
    <w:p>
      <w:pPr>
        <w:spacing w:after="0"/>
      </w:pPr>
    </w:p>
    <w:p>
      <w:pPr>
        <w:pStyle w:val="Heading2"/>
      </w:pPr>
      <w:r>
        <w:t>5.1 Kubernetes and Helm evidence</w:t>
      </w:r>
    </w:p>
    <w:p>
      <w:pPr>
        <w:pStyle w:val="ListBullet"/>
        <w:spacing w:after="120" w:line="264" w:lineRule="auto"/>
        <w:ind w:left="720" w:hanging="360"/>
      </w:pPr>
      <w:r>
        <w:rPr>
          <w:b/>
        </w:rPr>
        <w:t xml:space="preserve">Helm releases: </w:t>
      </w:r>
      <w:r>
        <w:t>cluster-manager and klusterlet both report deployed in open-cluster-management.</w:t>
      </w:r>
    </w:p>
    <w:p>
      <w:pPr>
        <w:pStyle w:val="ListBullet"/>
        <w:spacing w:after="120" w:line="264" w:lineRule="auto"/>
        <w:ind w:left="720" w:hanging="360"/>
      </w:pPr>
      <w:r>
        <w:rPr>
          <w:b/>
        </w:rPr>
        <w:t xml:space="preserve">Operators: </w:t>
      </w:r>
      <w:r>
        <w:t>cluster-manager and klusterlet Deployments are 1/1 Ready.</w:t>
      </w:r>
    </w:p>
    <w:p>
      <w:pPr>
        <w:pStyle w:val="ListBullet"/>
        <w:spacing w:after="120" w:line="264" w:lineRule="auto"/>
        <w:ind w:left="720" w:hanging="360"/>
      </w:pPr>
      <w:r>
        <w:rPr>
          <w:b/>
        </w:rPr>
        <w:t xml:space="preserve">Hub workloads: </w:t>
      </w:r>
      <w:r>
        <w:t>registration controller/webhook, work webhook, placement controller, and add-on controller/webhook are Ready.</w:t>
      </w:r>
    </w:p>
    <w:p>
      <w:pPr>
        <w:pStyle w:val="ListBullet"/>
        <w:spacing w:after="120" w:line="264" w:lineRule="auto"/>
        <w:ind w:left="720" w:hanging="360"/>
      </w:pPr>
      <w:r>
        <w:rPr>
          <w:b/>
        </w:rPr>
        <w:t xml:space="preserve">Managed-cluster workload: </w:t>
      </w:r>
      <w:r>
        <w:t>klusterlet-agent is 1/1 Ready.</w:t>
      </w:r>
    </w:p>
    <w:p>
      <w:pPr>
        <w:pStyle w:val="ListBullet"/>
        <w:spacing w:after="120" w:line="264" w:lineRule="auto"/>
        <w:ind w:left="720" w:hanging="360"/>
      </w:pPr>
      <w:r>
        <w:rPr>
          <w:b/>
        </w:rPr>
        <w:t xml:space="preserve">Managed cluster: </w:t>
      </w:r>
      <w:r>
        <w:t>hub accepted; Joined=True; Available=True.</w:t>
      </w:r>
    </w:p>
    <w:p>
      <w:pPr>
        <w:keepLines/>
        <w:spacing w:before="60" w:after="140" w:line="240" w:lineRule="auto"/>
        <w:ind w:left="259" w:right="259"/>
        <w:shd w:fill="F5F7F9"/>
      </w:pPr>
      <w:r>
        <w:rPr>
          <w:rFonts w:ascii="Consolas" w:hAnsi="Consolas"/>
          <w:sz w:val="16"/>
        </w:rPr>
        <w:t>helm --kube-context ocm-ubi9 list --all-namespaces</w:t>
      </w:r>
    </w:p>
    <w:p>
      <w:pPr>
        <w:keepLines/>
        <w:spacing w:before="60" w:after="140" w:line="240" w:lineRule="auto"/>
        <w:ind w:left="259" w:right="259"/>
        <w:shd w:fill="F5F7F9"/>
      </w:pPr>
      <w:r>
        <w:rPr>
          <w:rFonts w:ascii="Consolas" w:hAnsi="Consolas"/>
          <w:sz w:val="16"/>
        </w:rPr>
        <w:t>kubectl --context ocm-ubi9 get deployments,pods --all-namespaces</w:t>
      </w:r>
    </w:p>
    <w:p>
      <w:pPr>
        <w:keepLines/>
        <w:spacing w:before="60" w:after="140" w:line="240" w:lineRule="auto"/>
        <w:ind w:left="259" w:right="259"/>
        <w:shd w:fill="F5F7F9"/>
      </w:pPr>
      <w:r>
        <w:rPr>
          <w:rFonts w:ascii="Consolas" w:hAnsi="Consolas"/>
          <w:sz w:val="16"/>
        </w:rPr>
        <w:t>kubectl --context ocm-ubi9 get clustermanager,klusterlet,managedcluster</w:t>
      </w:r>
    </w:p>
    <w:p>
      <w:pPr>
        <w:pStyle w:val="Heading1"/>
      </w:pPr>
      <w:r>
        <w:t>6. Core OCM functional tests</w:t>
      </w:r>
    </w:p>
    <w:p>
      <w:pPr>
        <w:pStyle w:val="Heading2"/>
      </w:pPr>
      <w:r>
        <w:t>6.1 Placement — cluster selection</w:t>
      </w:r>
    </w:p>
    <w:p>
      <w:r>
        <w:t>The managed cluster was labeled for the local test and assigned to the ocm-local-test ManagedClusterSet. A ManagedClusterSetBinding authorized the test namespace to use that set. Placement then evaluated the label selector and created a PlacementDecision.</w:t>
      </w:r>
    </w:p>
    <w:p>
      <w:pPr>
        <w:keepLines/>
        <w:spacing w:before="60" w:after="140" w:line="240" w:lineRule="auto"/>
        <w:ind w:left="259" w:right="259"/>
        <w:shd w:fill="F5F7F9"/>
      </w:pPr>
      <w:r>
        <w:rPr>
          <w:rFonts w:ascii="Consolas" w:hAnsi="Consolas"/>
          <w:sz w:val="16"/>
        </w:rPr>
        <w:t>kubectl --context ocm-ubi9 label managedcluster ocm-ubi9-local environment=ocm-local-test --overwrite</w:t>
        <w:br/>
        <w:t>kubectl --context ocm-ubi9 label managedcluster ocm-ubi9-local cluster.open-cluster-management.io/clusterset=ocm-local-test --overwrite</w:t>
        <w:br/>
        <w:t>kubectl --context ocm-ubi9 apply -f deploy/local/tests/placement.yaml</w:t>
      </w:r>
    </w:p>
    <w:p>
      <w:pPr>
        <w:keepLines/>
        <w:spacing w:before="60" w:after="140" w:line="240" w:lineRule="auto"/>
        <w:ind w:left="259" w:right="259"/>
        <w:shd w:fill="F5F7F9"/>
      </w:pPr>
      <w:r>
        <w:rPr>
          <w:rFonts w:ascii="Consolas" w:hAnsi="Consolas"/>
          <w:sz w:val="16"/>
        </w:rPr>
        <w:t>kubectl --context ocm-ubi9 -n ocm-functional-test get placement,placementdecision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2F0D9"/>
          </w:tcPr>
          <w:p>
            <w:pPr>
              <w:spacing w:after="60"/>
            </w:pPr>
            <w:r/>
            <w:r>
              <w:rPr>
                <w:b/>
                <w:color w:val="17365D"/>
              </w:rPr>
              <w:t xml:space="preserve">Observed result — </w:t>
            </w:r>
            <w:r>
              <w:t>PlacementSatisfied=True; selectedCluster=ocm-ubi9-local.</w:t>
            </w:r>
          </w:p>
        </w:tc>
      </w:tr>
    </w:tbl>
    <w:p>
      <w:pPr>
        <w:spacing w:after="0"/>
      </w:pPr>
    </w:p>
    <w:p>
      <w:r>
        <w:t>This proves that the Placement controller is active, evaluates cluster eligibility, respects cluster-set namespace bindings, and publishes a concrete scheduling decision.</w:t>
      </w:r>
    </w:p>
    <w:p>
      <w:pPr>
        <w:pStyle w:val="Heading2"/>
      </w:pPr>
      <w:r>
        <w:t>6.2 ManifestWork — resource delivery and feedback</w:t>
      </w:r>
    </w:p>
    <w:p>
      <w:r>
        <w:t>A ManifestWork was created on the hub in the namespace associated with ocm-ubi9-local. It requested a target namespace and a ConfigMap. The managed-cluster work agent applied those resources and returned status to the hub.</w:t>
      </w:r>
    </w:p>
    <w:p>
      <w:pPr>
        <w:keepLines/>
        <w:spacing w:before="60" w:after="140" w:line="240" w:lineRule="auto"/>
        <w:ind w:left="259" w:right="259"/>
        <w:shd w:fill="F5F7F9"/>
      </w:pPr>
      <w:r>
        <w:rPr>
          <w:rFonts w:ascii="Consolas" w:hAnsi="Consolas"/>
          <w:sz w:val="16"/>
        </w:rPr>
        <w:t>kubectl --context ocm-ubi9 apply -f deploy/local/tests/manifestwork.yaml</w:t>
        <w:br/>
        <w:t>kubectl --context ocm-ubi9 -n ocm-ubi9-local wait --for=condition=Applied manifestwork/ocm-configmap-delivery --timeout=120s</w:t>
        <w:br/>
        <w:t>kubectl --context ocm-ubi9 -n ocm-ubi9-local wait --for=condition=Available manifestwork/ocm-configmap-delivery --timeout=120s</w:t>
      </w:r>
    </w:p>
    <w:p>
      <w:pPr>
        <w:keepLines/>
        <w:spacing w:before="60" w:after="140" w:line="240" w:lineRule="auto"/>
        <w:ind w:left="259" w:right="259"/>
        <w:shd w:fill="F5F7F9"/>
      </w:pPr>
      <w:r>
        <w:rPr>
          <w:rFonts w:ascii="Consolas" w:hAnsi="Consolas"/>
          <w:sz w:val="16"/>
        </w:rPr>
        <w:t>kubectl --context ocm-ubi9 -n ocm-functional-target get configmap delivered-by-ocm -o yaml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2F0D9"/>
          </w:tcPr>
          <w:p>
            <w:pPr>
              <w:spacing w:after="60"/>
            </w:pPr>
            <w:r/>
            <w:r>
              <w:rPr>
                <w:b/>
                <w:color w:val="17365D"/>
              </w:rPr>
              <w:t xml:space="preserve">Observed result — </w:t>
            </w:r>
            <w:r>
              <w:t>Applied=True; Available=True; ConfigMap value: ‘OCM ManifestWork delivery succeeded’.</w:t>
            </w:r>
          </w:p>
        </w:tc>
      </w:tr>
    </w:tbl>
    <w:p>
      <w:pPr>
        <w:spacing w:after="0"/>
      </w:pPr>
    </w:p>
    <w:p>
      <w:r>
        <w:t>This proves the end-to-end OCM work path: the hub records desired work, the agent retrieves and applies it, and the observed result is reported back to the hub.</w:t>
      </w:r>
    </w:p>
    <w:p>
      <w:pPr>
        <w:pStyle w:val="Heading1"/>
      </w:pPr>
      <w:r>
        <w:t>7. Local UI and inspection</w:t>
      </w:r>
    </w:p>
    <w:p>
      <w:r>
        <w:t>OCM core does not provide the Red Hat ACM web console. For local visibility, the Kubernetes Dashboard and metrics-server add-ons were enabled in the isolated ocm-ubi9 Minikube profile. The dashboard shows operator and application Deployments, Pods, namespaces, resource health, events, and logs.</w:t>
      </w:r>
    </w:p>
    <w:p>
      <w:pPr>
        <w:keepLines/>
        <w:spacing w:before="60" w:after="140" w:line="240" w:lineRule="auto"/>
        <w:ind w:left="259" w:right="259"/>
        <w:shd w:fill="F5F7F9"/>
      </w:pPr>
      <w:r>
        <w:rPr>
          <w:rFonts w:ascii="Consolas" w:hAnsi="Consolas"/>
          <w:sz w:val="16"/>
        </w:rPr>
        <w:t>minikube addons enable dashboard --profile ocm-ubi9</w:t>
        <w:br/>
        <w:t>minikube addons enable metrics-server --profile ocm-ubi9</w:t>
        <w:br/>
        <w:t>minikube dashboard --profile ocm-ubi9</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Namespace</w:t>
            </w:r>
          </w:p>
        </w:tc>
        <w:tc>
          <w:tcPr>
            <w:tcW w:type="dxa" w:w="57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What to inspect</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open-cluster-management</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Cluster Manager and Klusterlet operator Deployments</w:t>
            </w:r>
          </w:p>
        </w:tc>
      </w:tr>
      <w:tr>
        <w:trPr>
          <w:cantSplit/>
        </w:trPr>
        <w:tc>
          <w:tcPr>
            <w:tcW w:type="dxa" w:w="36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open-cluster-management-hub</w:t>
            </w:r>
          </w:p>
        </w:tc>
        <w:tc>
          <w:tcPr>
            <w:tcW w:type="dxa" w:w="57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 Work, Placement, and Add-on hub workloads</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open-cluster-management-agent</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Klusterlet registration/work agent</w:t>
            </w:r>
          </w:p>
        </w:tc>
      </w:tr>
      <w:tr>
        <w:trPr>
          <w:cantSplit/>
        </w:trPr>
        <w:tc>
          <w:tcPr>
            <w:tcW w:type="dxa" w:w="36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ocm-functional-test</w:t>
            </w:r>
          </w:p>
        </w:tc>
        <w:tc>
          <w:tcPr>
            <w:tcW w:type="dxa" w:w="57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Placement and PlacementDecision test resources</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ocm-ubi9-local</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ManifestWork objects for the managed cluster</w:t>
            </w:r>
          </w:p>
        </w:tc>
      </w:tr>
      <w:tr>
        <w:trPr>
          <w:cantSplit/>
        </w:trPr>
        <w:tc>
          <w:tcPr>
            <w:tcW w:type="dxa" w:w="360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ocm-functional-target</w:t>
            </w:r>
          </w:p>
        </w:tc>
        <w:tc>
          <w:tcPr>
            <w:tcW w:type="dxa" w:w="57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Resources delivered by ManifestWork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2CC"/>
          </w:tcPr>
          <w:p>
            <w:pPr>
              <w:spacing w:after="60"/>
            </w:pPr>
            <w:r/>
            <w:r>
              <w:rPr>
                <w:b/>
                <w:color w:val="17365D"/>
              </w:rPr>
              <w:t xml:space="preserve">UI limitation — </w:t>
            </w:r>
            <w:r>
              <w:t>The Kubernetes Dashboard is an infrastructure view. It confirms workload and resource health but does not provide ACM-style multicluster dashboards, governance, search, topology, or observability experiences.</w:t>
            </w:r>
          </w:p>
        </w:tc>
      </w:tr>
    </w:tbl>
    <w:p>
      <w:pPr>
        <w:spacing w:after="0"/>
      </w:pPr>
    </w:p>
    <w:p>
      <w:pPr>
        <w:pStyle w:val="Heading1"/>
      </w:pPr>
      <w:r>
        <w:t>8. Sovereign Core guideline alignment</w:t>
      </w:r>
    </w:p>
    <w:p>
      <w:r>
        <w:t>The shared SovCore OSS assumptions were used as the delivery framework. The table below distinguishes completed local engineering work from IBM-controlled release gates. This prevents local Minikube results from being presented as final Sovereign Core production acceptance.</w:t>
      </w:r>
    </w:p>
    <w:tbl>
      <w:tblPr>
        <w:tblStyle w:val="TableGrid"/>
        <w:tblW w:type="dxa" w:w="9120"/>
        <w:tblLayout w:type="fixed"/>
        <w:tblLook w:firstColumn="1" w:firstRow="1" w:lastColumn="0" w:lastRow="0" w:noHBand="0" w:noVBand="1" w:val="04A0"/>
        <w:tblInd w:w="120" w:type="dxa"/>
      </w:tblPr>
      <w:tblGrid>
        <w:gridCol w:w="2450"/>
        <w:gridCol w:w="1450"/>
        <w:gridCol w:w="5220"/>
      </w:tblGrid>
      <w:tr>
        <w:tc>
          <w:tcPr>
            <w:tcW w:type="dxa" w:w="2450"/>
            <w:vAlign w:val="center"/>
            <w:shd w:fill="1D3E66"/>
          </w:tcPr>
          <w:p>
            <w:pPr>
              <w:spacing w:before="0" w:after="40" w:line="252" w:lineRule="auto"/>
            </w:pPr>
            <w:r>
              <w:rPr>
                <w:rFonts w:ascii="Arial" w:hAnsi="Arial"/>
                <w:b/>
                <w:color w:val="FFFFFF"/>
                <w:sz w:val="17"/>
              </w:rPr>
              <w:t>Framework requirement</w:t>
            </w:r>
          </w:p>
        </w:tc>
        <w:tc>
          <w:tcPr>
            <w:tcW w:type="dxa" w:w="1450"/>
            <w:vAlign w:val="center"/>
            <w:shd w:fill="1D3E66"/>
          </w:tcPr>
          <w:p>
            <w:pPr>
              <w:spacing w:before="0" w:after="40" w:line="252" w:lineRule="auto"/>
            </w:pPr>
            <w:r>
              <w:rPr>
                <w:rFonts w:ascii="Arial" w:hAnsi="Arial"/>
                <w:b/>
                <w:color w:val="FFFFFF"/>
                <w:sz w:val="17"/>
              </w:rPr>
              <w:t>State</w:t>
            </w:r>
          </w:p>
        </w:tc>
        <w:tc>
          <w:tcPr>
            <w:tcW w:type="dxa" w:w="5220"/>
            <w:vAlign w:val="center"/>
            <w:shd w:fill="1D3E66"/>
          </w:tcPr>
          <w:p>
            <w:pPr>
              <w:spacing w:before="0" w:after="40" w:line="252" w:lineRule="auto"/>
            </w:pPr>
            <w:r>
              <w:rPr>
                <w:rFonts w:ascii="Arial" w:hAnsi="Arial"/>
                <w:b/>
                <w:color w:val="FFFFFF"/>
                <w:sz w:val="17"/>
              </w:rPr>
              <w:t>Evidence / required next action</w:t>
            </w:r>
          </w:p>
        </w:tc>
      </w:tr>
      <w:tr>
        <w:tc>
          <w:tcPr>
            <w:tcW w:type="dxa" w:w="2450"/>
            <w:vAlign w:val="center"/>
            <w:shd w:fill="FFFFFF"/>
          </w:tcPr>
          <w:p>
            <w:pPr>
              <w:spacing w:before="0" w:after="40" w:line="252" w:lineRule="auto"/>
            </w:pPr>
            <w:r>
              <w:rPr>
                <w:rFonts w:ascii="Arial" w:hAnsi="Arial"/>
                <w:sz w:val="17"/>
              </w:rPr>
              <w:t>Preserve upstream API and logic</w:t>
            </w:r>
          </w:p>
        </w:tc>
        <w:tc>
          <w:tcPr>
            <w:tcW w:type="dxa" w:w="1450"/>
            <w:vAlign w:val="center"/>
            <w:shd w:fill="E2F0D9"/>
          </w:tcPr>
          <w:p>
            <w:pPr>
              <w:spacing w:before="0" w:after="40" w:line="252" w:lineRule="auto"/>
              <w:jc w:val="center"/>
            </w:pPr>
            <w:r>
              <w:rPr>
                <w:rFonts w:ascii="Arial" w:hAnsi="Arial"/>
                <w:sz w:val="17"/>
              </w:rPr>
              <w:t>Aligned locally</w:t>
            </w:r>
          </w:p>
        </w:tc>
        <w:tc>
          <w:tcPr>
            <w:tcW w:type="dxa" w:w="5220"/>
            <w:vAlign w:val="center"/>
            <w:shd w:fill="FFFFFF"/>
          </w:tcPr>
          <w:p>
            <w:pPr>
              <w:spacing w:before="0" w:after="40" w:line="252" w:lineRule="auto"/>
            </w:pPr>
            <w:r>
              <w:rPr>
                <w:rFonts w:ascii="Arial" w:hAnsi="Arial"/>
                <w:sz w:val="17"/>
              </w:rPr>
              <w:t>No OCM API changes were introduced. Builder logic remains upstream; packaging changes are isolated in runtime Dockerfiles, local values, scripts, and the wrapper Makefile.</w:t>
            </w:r>
          </w:p>
        </w:tc>
      </w:tr>
      <w:tr>
        <w:tc>
          <w:tcPr>
            <w:tcW w:type="dxa" w:w="2450"/>
            <w:vAlign w:val="center"/>
            <w:shd w:fill="F2F4F7"/>
          </w:tcPr>
          <w:p>
            <w:pPr>
              <w:spacing w:before="0" w:after="40" w:line="252" w:lineRule="auto"/>
            </w:pPr>
            <w:r>
              <w:rPr>
                <w:rFonts w:ascii="Arial" w:hAnsi="Arial"/>
                <w:sz w:val="17"/>
              </w:rPr>
              <w:t>Preserve upstream Makefile</w:t>
            </w:r>
          </w:p>
        </w:tc>
        <w:tc>
          <w:tcPr>
            <w:tcW w:type="dxa" w:w="1450"/>
            <w:vAlign w:val="center"/>
            <w:shd w:fill="E2F0D9"/>
          </w:tcPr>
          <w:p>
            <w:pPr>
              <w:spacing w:before="0" w:after="40" w:line="252" w:lineRule="auto"/>
              <w:jc w:val="center"/>
            </w:pPr>
            <w:r>
              <w:rPr>
                <w:rFonts w:ascii="Arial" w:hAnsi="Arial"/>
                <w:sz w:val="17"/>
              </w:rPr>
              <w:t>Aligned locally</w:t>
            </w:r>
          </w:p>
        </w:tc>
        <w:tc>
          <w:tcPr>
            <w:tcW w:type="dxa" w:w="5220"/>
            <w:vAlign w:val="center"/>
            <w:shd w:fill="F2F4F7"/>
          </w:tcPr>
          <w:p>
            <w:pPr>
              <w:spacing w:before="0" w:after="40" w:line="252" w:lineRule="auto"/>
            </w:pPr>
            <w:r>
              <w:rPr>
                <w:rFonts w:ascii="Arial" w:hAnsi="Arial"/>
                <w:sz w:val="17"/>
              </w:rPr>
              <w:t>Makefile.org exactly matches upstream HEAD. The new top-level Makefile provides pre-build, docker-build, docker-test, deploy, publishing, and Helm targets and delegates upstream build/test/verify behavior.</w:t>
            </w:r>
          </w:p>
        </w:tc>
      </w:tr>
      <w:tr>
        <w:tc>
          <w:tcPr>
            <w:tcW w:type="dxa" w:w="2450"/>
            <w:vAlign w:val="center"/>
            <w:shd w:fill="FFFFFF"/>
          </w:tcPr>
          <w:p>
            <w:pPr>
              <w:spacing w:before="0" w:after="40" w:line="252" w:lineRule="auto"/>
            </w:pPr>
            <w:r>
              <w:rPr>
                <w:rFonts w:ascii="Arial" w:hAnsi="Arial"/>
                <w:sz w:val="17"/>
              </w:rPr>
              <w:t>Approved base image</w:t>
            </w:r>
          </w:p>
        </w:tc>
        <w:tc>
          <w:tcPr>
            <w:tcW w:type="dxa" w:w="1450"/>
            <w:vAlign w:val="center"/>
            <w:shd w:fill="FFF2CC"/>
          </w:tcPr>
          <w:p>
            <w:pPr>
              <w:spacing w:before="0" w:after="40" w:line="252" w:lineRule="auto"/>
              <w:jc w:val="center"/>
            </w:pPr>
            <w:r>
              <w:rPr>
                <w:rFonts w:ascii="Arial" w:hAnsi="Arial"/>
                <w:sz w:val="17"/>
              </w:rPr>
              <w:t>Decision pending</w:t>
            </w:r>
          </w:p>
        </w:tc>
        <w:tc>
          <w:tcPr>
            <w:tcW w:type="dxa" w:w="5220"/>
            <w:vAlign w:val="center"/>
            <w:shd w:fill="FFFFFF"/>
          </w:tcPr>
          <w:p>
            <w:pPr>
              <w:spacing w:before="0" w:after="40" w:line="252" w:lineRule="auto"/>
            </w:pPr>
            <w:r>
              <w:rPr>
                <w:rFonts w:ascii="Arial" w:hAnsi="Arial"/>
                <w:sz w:val="17"/>
              </w:rPr>
              <w:t>All runtime stages use public Red Hat UBI9 as requested. IBM must confirm that this image is accepted as the production Dreadnought-equivalent base.</w:t>
            </w:r>
          </w:p>
        </w:tc>
      </w:tr>
      <w:tr>
        <w:tc>
          <w:tcPr>
            <w:tcW w:type="dxa" w:w="2450"/>
            <w:vAlign w:val="center"/>
            <w:shd w:fill="F2F4F7"/>
          </w:tcPr>
          <w:p>
            <w:pPr>
              <w:spacing w:before="0" w:after="40" w:line="252" w:lineRule="auto"/>
            </w:pPr>
            <w:r>
              <w:rPr>
                <w:rFonts w:ascii="Arial" w:hAnsi="Arial"/>
                <w:sz w:val="17"/>
              </w:rPr>
              <w:t>linux/amd64 support</w:t>
            </w:r>
          </w:p>
        </w:tc>
        <w:tc>
          <w:tcPr>
            <w:tcW w:type="dxa" w:w="1450"/>
            <w:vAlign w:val="center"/>
            <w:shd w:fill="E2F0D9"/>
          </w:tcPr>
          <w:p>
            <w:pPr>
              <w:spacing w:before="0" w:after="40" w:line="252" w:lineRule="auto"/>
              <w:jc w:val="center"/>
            </w:pPr>
            <w:r>
              <w:rPr>
                <w:rFonts w:ascii="Arial" w:hAnsi="Arial"/>
                <w:sz w:val="17"/>
              </w:rPr>
              <w:t>Aligned locally</w:t>
            </w:r>
          </w:p>
        </w:tc>
        <w:tc>
          <w:tcPr>
            <w:tcW w:type="dxa" w:w="5220"/>
            <w:vAlign w:val="center"/>
            <w:shd w:fill="F2F4F7"/>
          </w:tcPr>
          <w:p>
            <w:pPr>
              <w:spacing w:before="0" w:after="40" w:line="252" w:lineRule="auto"/>
            </w:pPr>
            <w:r>
              <w:rPr>
                <w:rFonts w:ascii="Arial" w:hAnsi="Arial"/>
                <w:sz w:val="17"/>
              </w:rPr>
              <w:t>All five images were explicitly built and inspected as linux/amd64; runtime checks use the same platform.</w:t>
            </w:r>
          </w:p>
        </w:tc>
      </w:tr>
      <w:tr>
        <w:tc>
          <w:tcPr>
            <w:tcW w:type="dxa" w:w="2450"/>
            <w:vAlign w:val="center"/>
            <w:shd w:fill="FFFFFF"/>
          </w:tcPr>
          <w:p>
            <w:pPr>
              <w:spacing w:before="0" w:after="40" w:line="252" w:lineRule="auto"/>
            </w:pPr>
            <w:r>
              <w:rPr>
                <w:rFonts w:ascii="Arial" w:hAnsi="Arial"/>
                <w:sz w:val="17"/>
              </w:rPr>
              <w:t>Rebuild binaries and CLIs</w:t>
            </w:r>
          </w:p>
        </w:tc>
        <w:tc>
          <w:tcPr>
            <w:tcW w:type="dxa" w:w="1450"/>
            <w:vAlign w:val="center"/>
            <w:shd w:fill="FFF2CC"/>
          </w:tcPr>
          <w:p>
            <w:pPr>
              <w:spacing w:before="0" w:after="40" w:line="252" w:lineRule="auto"/>
              <w:jc w:val="center"/>
            </w:pPr>
            <w:r>
              <w:rPr>
                <w:rFonts w:ascii="Arial" w:hAnsi="Arial"/>
                <w:sz w:val="17"/>
              </w:rPr>
              <w:t>Partially complete</w:t>
            </w:r>
          </w:p>
        </w:tc>
        <w:tc>
          <w:tcPr>
            <w:tcW w:type="dxa" w:w="5220"/>
            <w:vAlign w:val="center"/>
            <w:shd w:fill="FFFFFF"/>
          </w:tcPr>
          <w:p>
            <w:pPr>
              <w:spacing w:before="0" w:after="40" w:line="252" w:lineRule="auto"/>
            </w:pPr>
            <w:r>
              <w:rPr>
                <w:rFonts w:ascii="Arial" w:hAnsi="Arial"/>
                <w:sz w:val="17"/>
              </w:rPr>
              <w:t>Six repository-produced in-image binaries were rebuilt and executed. Any separately distributed OCM CLI artifacts still require an authoritative inventory and Landing Zone test.</w:t>
            </w:r>
          </w:p>
        </w:tc>
      </w:tr>
      <w:tr>
        <w:tc>
          <w:tcPr>
            <w:tcW w:type="dxa" w:w="2450"/>
            <w:vAlign w:val="center"/>
            <w:shd w:fill="F2F4F7"/>
          </w:tcPr>
          <w:p>
            <w:pPr>
              <w:spacing w:before="0" w:after="40" w:line="252" w:lineRule="auto"/>
            </w:pPr>
            <w:r>
              <w:rPr>
                <w:rFonts w:ascii="Arial" w:hAnsi="Arial"/>
                <w:sz w:val="17"/>
              </w:rPr>
              <w:t>Install with Helm, not OLM</w:t>
            </w:r>
          </w:p>
        </w:tc>
        <w:tc>
          <w:tcPr>
            <w:tcW w:type="dxa" w:w="1450"/>
            <w:vAlign w:val="center"/>
            <w:shd w:fill="E2F0D9"/>
          </w:tcPr>
          <w:p>
            <w:pPr>
              <w:spacing w:before="0" w:after="40" w:line="252" w:lineRule="auto"/>
              <w:jc w:val="center"/>
            </w:pPr>
            <w:r>
              <w:rPr>
                <w:rFonts w:ascii="Arial" w:hAnsi="Arial"/>
                <w:sz w:val="17"/>
              </w:rPr>
              <w:t>Aligned locally</w:t>
            </w:r>
          </w:p>
        </w:tc>
        <w:tc>
          <w:tcPr>
            <w:tcW w:type="dxa" w:w="5220"/>
            <w:vAlign w:val="center"/>
            <w:shd w:fill="F2F4F7"/>
          </w:tcPr>
          <w:p>
            <w:pPr>
              <w:spacing w:before="0" w:after="40" w:line="252" w:lineRule="auto"/>
            </w:pPr>
            <w:r>
              <w:rPr>
                <w:rFonts w:ascii="Arial" w:hAnsi="Arial"/>
                <w:sz w:val="17"/>
              </w:rPr>
              <w:t>The existing Cluster Manager and Klusterlet Helm charts were used directly; local installation did not use OLM.</w:t>
            </w:r>
          </w:p>
        </w:tc>
      </w:tr>
      <w:tr>
        <w:tc>
          <w:tcPr>
            <w:tcW w:type="dxa" w:w="2450"/>
            <w:vAlign w:val="center"/>
            <w:shd w:fill="FFFFFF"/>
          </w:tcPr>
          <w:p>
            <w:pPr>
              <w:spacing w:before="0" w:after="40" w:line="252" w:lineRule="auto"/>
            </w:pPr>
            <w:r>
              <w:rPr>
                <w:rFonts w:ascii="Arial" w:hAnsi="Arial"/>
                <w:sz w:val="17"/>
              </w:rPr>
              <w:t>Chart version 0.3.0</w:t>
            </w:r>
          </w:p>
        </w:tc>
        <w:tc>
          <w:tcPr>
            <w:tcW w:type="dxa" w:w="1450"/>
            <w:vAlign w:val="center"/>
            <w:shd w:fill="E2F0D9"/>
          </w:tcPr>
          <w:p>
            <w:pPr>
              <w:spacing w:before="0" w:after="40" w:line="252" w:lineRule="auto"/>
              <w:jc w:val="center"/>
            </w:pPr>
            <w:r>
              <w:rPr>
                <w:rFonts w:ascii="Arial" w:hAnsi="Arial"/>
                <w:sz w:val="17"/>
              </w:rPr>
              <w:t>Aligned locally</w:t>
            </w:r>
          </w:p>
        </w:tc>
        <w:tc>
          <w:tcPr>
            <w:tcW w:type="dxa" w:w="5220"/>
            <w:vAlign w:val="center"/>
            <w:shd w:fill="FFFFFF"/>
          </w:tcPr>
          <w:p>
            <w:pPr>
              <w:spacing w:before="0" w:after="40" w:line="252" w:lineRule="auto"/>
            </w:pPr>
            <w:r>
              <w:rPr>
                <w:rFonts w:ascii="Arial" w:hAnsi="Arial"/>
                <w:sz w:val="17"/>
              </w:rPr>
              <w:t>Both charts linted, rendered, and packaged locally as version 0.3.0.</w:t>
            </w:r>
          </w:p>
        </w:tc>
      </w:tr>
      <w:tr>
        <w:tc>
          <w:tcPr>
            <w:tcW w:type="dxa" w:w="2450"/>
            <w:vAlign w:val="center"/>
            <w:shd w:fill="F2F4F7"/>
          </w:tcPr>
          <w:p>
            <w:pPr>
              <w:spacing w:before="0" w:after="40" w:line="252" w:lineRule="auto"/>
            </w:pPr>
            <w:r>
              <w:rPr>
                <w:rFonts w:ascii="Arial" w:hAnsi="Arial"/>
                <w:sz w:val="17"/>
              </w:rPr>
              <w:t>IBM GitHub mirror and internal/&lt;release-tag&gt;</w:t>
            </w:r>
          </w:p>
        </w:tc>
        <w:tc>
          <w:tcPr>
            <w:tcW w:type="dxa" w:w="1450"/>
            <w:vAlign w:val="center"/>
            <w:shd w:fill="FFF2CC"/>
          </w:tcPr>
          <w:p>
            <w:pPr>
              <w:spacing w:before="0" w:after="40" w:line="252" w:lineRule="auto"/>
              <w:jc w:val="center"/>
            </w:pPr>
            <w:r>
              <w:rPr>
                <w:rFonts w:ascii="Arial" w:hAnsi="Arial"/>
                <w:sz w:val="17"/>
              </w:rPr>
              <w:t>External pending</w:t>
            </w:r>
          </w:p>
        </w:tc>
        <w:tc>
          <w:tcPr>
            <w:tcW w:type="dxa" w:w="5220"/>
            <w:vAlign w:val="center"/>
            <w:shd w:fill="F2F4F7"/>
          </w:tcPr>
          <w:p>
            <w:pPr>
              <w:spacing w:before="0" w:after="40" w:line="252" w:lineRule="auto"/>
            </w:pPr>
            <w:r>
              <w:rPr>
                <w:rFonts w:ascii="Arial" w:hAnsi="Arial"/>
                <w:sz w:val="17"/>
              </w:rPr>
              <w:t>IBM GitHub access and the approved upstream release tag are required before mirroring refs and creating the prescribed internal branch.</w:t>
            </w:r>
          </w:p>
        </w:tc>
      </w:tr>
      <w:tr>
        <w:tc>
          <w:tcPr>
            <w:tcW w:type="dxa" w:w="2450"/>
            <w:vAlign w:val="center"/>
            <w:shd w:fill="FFFFFF"/>
          </w:tcPr>
          <w:p>
            <w:pPr>
              <w:spacing w:before="0" w:after="40" w:line="252" w:lineRule="auto"/>
            </w:pPr>
            <w:r>
              <w:rPr>
                <w:rFonts w:ascii="Arial" w:hAnsi="Arial"/>
                <w:sz w:val="17"/>
              </w:rPr>
              <w:t>SPS pipeline, ICR, scan, and GaraSign</w:t>
            </w:r>
          </w:p>
        </w:tc>
        <w:tc>
          <w:tcPr>
            <w:tcW w:type="dxa" w:w="1450"/>
            <w:vAlign w:val="center"/>
            <w:shd w:fill="FFF2CC"/>
          </w:tcPr>
          <w:p>
            <w:pPr>
              <w:spacing w:before="0" w:after="40" w:line="252" w:lineRule="auto"/>
              <w:jc w:val="center"/>
            </w:pPr>
            <w:r>
              <w:rPr>
                <w:rFonts w:ascii="Arial" w:hAnsi="Arial"/>
                <w:sz w:val="17"/>
              </w:rPr>
              <w:t>External pending</w:t>
            </w:r>
          </w:p>
        </w:tc>
        <w:tc>
          <w:tcPr>
            <w:tcW w:type="dxa" w:w="5220"/>
            <w:vAlign w:val="center"/>
            <w:shd w:fill="FFFFFF"/>
          </w:tcPr>
          <w:p>
            <w:pPr>
              <w:spacing w:before="0" w:after="40" w:line="252" w:lineRule="auto"/>
            </w:pPr>
            <w:r>
              <w:rPr>
                <w:rFonts w:ascii="Arial" w:hAnsi="Arial"/>
                <w:sz w:val="17"/>
              </w:rPr>
              <w:t>The credential-free Makefile contract is documented. Execution, publication, security scanning, and signing require IBM services and credentials.</w:t>
            </w:r>
          </w:p>
        </w:tc>
      </w:tr>
      <w:tr>
        <w:tc>
          <w:tcPr>
            <w:tcW w:type="dxa" w:w="2450"/>
            <w:vAlign w:val="center"/>
            <w:shd w:fill="F2F4F7"/>
          </w:tcPr>
          <w:p>
            <w:pPr>
              <w:spacing w:before="0" w:after="40" w:line="252" w:lineRule="auto"/>
            </w:pPr>
            <w:r>
              <w:rPr>
                <w:rFonts w:ascii="Arial" w:hAnsi="Arial"/>
                <w:sz w:val="17"/>
              </w:rPr>
              <w:t>MCSP REPLACEMENTS, OCI charts, and mirroring</w:t>
            </w:r>
          </w:p>
        </w:tc>
        <w:tc>
          <w:tcPr>
            <w:tcW w:type="dxa" w:w="1450"/>
            <w:vAlign w:val="center"/>
            <w:shd w:fill="FFF2CC"/>
          </w:tcPr>
          <w:p>
            <w:pPr>
              <w:spacing w:before="0" w:after="40" w:line="252" w:lineRule="auto"/>
              <w:jc w:val="center"/>
            </w:pPr>
            <w:r>
              <w:rPr>
                <w:rFonts w:ascii="Arial" w:hAnsi="Arial"/>
                <w:sz w:val="17"/>
              </w:rPr>
              <w:t>External pending</w:t>
            </w:r>
          </w:p>
        </w:tc>
        <w:tc>
          <w:tcPr>
            <w:tcW w:type="dxa" w:w="5220"/>
            <w:vAlign w:val="center"/>
            <w:shd w:fill="F2F4F7"/>
          </w:tcPr>
          <w:p>
            <w:pPr>
              <w:spacing w:before="0" w:after="40" w:line="252" w:lineRule="auto"/>
            </w:pPr>
            <w:r>
              <w:rPr>
                <w:rFonts w:ascii="Arial" w:hAnsi="Arial"/>
                <w:sz w:val="17"/>
              </w:rPr>
              <w:t>No internal registry or credentials are hardcoded. Approved replacement conventions, deployment-monorepo access, OCI publication, generated manifests, and oc-mirror validation remain.</w:t>
            </w:r>
          </w:p>
        </w:tc>
      </w:tr>
      <w:tr>
        <w:tc>
          <w:tcPr>
            <w:tcW w:type="dxa" w:w="2450"/>
            <w:vAlign w:val="center"/>
            <w:shd w:fill="FFFFFF"/>
          </w:tcPr>
          <w:p>
            <w:pPr>
              <w:spacing w:before="0" w:after="40" w:line="252" w:lineRule="auto"/>
            </w:pPr>
            <w:r>
              <w:rPr>
                <w:rFonts w:ascii="Arial" w:hAnsi="Arial"/>
                <w:sz w:val="17"/>
              </w:rPr>
              <w:t>RKE2 and Landing Zone validation</w:t>
            </w:r>
          </w:p>
        </w:tc>
        <w:tc>
          <w:tcPr>
            <w:tcW w:type="dxa" w:w="1450"/>
            <w:vAlign w:val="center"/>
            <w:shd w:fill="FFF2CC"/>
          </w:tcPr>
          <w:p>
            <w:pPr>
              <w:spacing w:before="0" w:after="40" w:line="252" w:lineRule="auto"/>
              <w:jc w:val="center"/>
            </w:pPr>
            <w:r>
              <w:rPr>
                <w:rFonts w:ascii="Arial" w:hAnsi="Arial"/>
                <w:sz w:val="17"/>
              </w:rPr>
              <w:t>External pending</w:t>
            </w:r>
          </w:p>
        </w:tc>
        <w:tc>
          <w:tcPr>
            <w:tcW w:type="dxa" w:w="5220"/>
            <w:vAlign w:val="center"/>
            <w:shd w:fill="FFFFFF"/>
          </w:tcPr>
          <w:p>
            <w:pPr>
              <w:spacing w:before="0" w:after="40" w:line="252" w:lineRule="auto"/>
            </w:pPr>
            <w:r>
              <w:rPr>
                <w:rFonts w:ascii="Arial" w:hAnsi="Arial"/>
                <w:sz w:val="17"/>
              </w:rPr>
              <w:t>Minikube proves local engineering feasibility. Final chart deployment on RKE2 and CLI execution on Linux AMD64 Landing Zone remain acceptance gates.</w:t>
            </w:r>
          </w:p>
        </w:tc>
      </w:tr>
      <w:tr>
        <w:tc>
          <w:tcPr>
            <w:tcW w:type="dxa" w:w="2450"/>
            <w:vAlign w:val="center"/>
            <w:shd w:fill="F2F4F7"/>
          </w:tcPr>
          <w:p>
            <w:pPr>
              <w:spacing w:before="0" w:after="40" w:line="252" w:lineRule="auto"/>
            </w:pPr>
            <w:r>
              <w:rPr>
                <w:rFonts w:ascii="Arial" w:hAnsi="Arial"/>
                <w:sz w:val="17"/>
              </w:rPr>
              <w:t>ACM-to-OCM capability replacement</w:t>
            </w:r>
          </w:p>
        </w:tc>
        <w:tc>
          <w:tcPr>
            <w:tcW w:type="dxa" w:w="1450"/>
            <w:vAlign w:val="center"/>
            <w:shd w:fill="FFF2CC"/>
          </w:tcPr>
          <w:p>
            <w:pPr>
              <w:spacing w:before="0" w:after="40" w:line="252" w:lineRule="auto"/>
              <w:jc w:val="center"/>
            </w:pPr>
            <w:r>
              <w:rPr>
                <w:rFonts w:ascii="Arial" w:hAnsi="Arial"/>
                <w:sz w:val="17"/>
              </w:rPr>
              <w:t>Discovery pending</w:t>
            </w:r>
          </w:p>
        </w:tc>
        <w:tc>
          <w:tcPr>
            <w:tcW w:type="dxa" w:w="5220"/>
            <w:vAlign w:val="center"/>
            <w:shd w:fill="F2F4F7"/>
          </w:tcPr>
          <w:p>
            <w:pPr>
              <w:spacing w:before="0" w:after="40" w:line="252" w:lineRule="auto"/>
            </w:pPr>
            <w:r>
              <w:rPr>
                <w:rFonts w:ascii="Arial" w:hAnsi="Arial"/>
                <w:sz w:val="17"/>
              </w:rPr>
              <w:t>Core registration, Placement, and ManifestWork are proven locally. Production ACM use cases must still be inventoried and mapped to OCM or other OSS components.</w:t>
            </w:r>
          </w:p>
        </w:tc>
      </w:tr>
    </w:tbl>
    <w:p>
      <w:pPr>
        <w:spacing w:before="200"/>
      </w:pPr>
      <w:r>
        <w:rPr>
          <w:b/>
        </w:rPr>
        <w:t xml:space="preserve">Controlled phase-order deviation — </w:t>
      </w:r>
      <w:r>
        <w:t>The framework normally begins with the IBM repository mirror, release-tag selection, and internal branch. Because IBM access is not yet available, local build, packaging, and functional validation were performed first. These changes must be applied to the approved internal/&lt;release-tag&gt; branch before release.</w:t>
      </w:r>
    </w:p>
    <w:p>
      <w:pPr>
        <w:pStyle w:val="Heading1"/>
      </w:pPr>
      <w:r>
        <w:t>9. What is proven and what remains</w:t>
      </w:r>
    </w:p>
    <w:tbl>
      <w:tblPr>
        <w:tblStyle w:val="TableGrid"/>
        <w:tblW w:type="dxa" w:w="9360"/>
        <w:jc w:val="left"/>
        <w:tblLayout w:type="fixed"/>
        <w:tblLook w:firstColumn="1" w:firstRow="1" w:lastColumn="0" w:lastRow="0" w:noHBand="0" w:noVBand="1" w:val="04A0"/>
        <w:tblInd w:w="120" w:type="dxa"/>
      </w:tblPr>
      <w:tblGrid>
        <w:gridCol w:w="2160"/>
        <w:gridCol w:w="2160"/>
        <w:gridCol w:w="5040"/>
      </w:tblGrid>
      <w:tr>
        <w:trPr>
          <w:tblHeader w:val="true"/>
          <w:cantSplit/>
        </w:trPr>
        <w:tc>
          <w:tcPr>
            <w:tcW w:type="dxa" w:w="21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Area</w:t>
            </w:r>
          </w:p>
        </w:tc>
        <w:tc>
          <w:tcPr>
            <w:tcW w:type="dxa" w:w="216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Assessment</w:t>
            </w:r>
          </w:p>
        </w:tc>
        <w:tc>
          <w:tcPr>
            <w:tcW w:type="dxa" w:w="5040"/>
            <w:shd w:fill="17365D"/>
            <w:tcMar>
              <w:top w:w="80" w:type="dxa"/>
              <w:start w:w="120" w:type="dxa"/>
              <w:bottom w:w="80" w:type="dxa"/>
              <w:end w:w="120" w:type="dxa"/>
            </w:tcMar>
            <w:vAlign w:val="center"/>
          </w:tcPr>
          <w:p>
            <w:pPr>
              <w:spacing w:before="0" w:after="0" w:line="252" w:lineRule="auto"/>
              <w:jc w:val="left"/>
            </w:pPr>
            <w:r>
              <w:rPr>
                <w:rFonts w:ascii="Calibri" w:hAnsi="Calibri"/>
                <w:b/>
                <w:color w:val="FFFFFF"/>
                <w:sz w:val="18"/>
              </w:rPr>
              <w:t>Notes</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Local UBI9 packaging</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Proven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All image, metadata, permission, and binary checks passed.</w:t>
            </w:r>
          </w:p>
        </w:tc>
      </w:tr>
      <w:tr>
        <w:trPr>
          <w:cantSplit/>
        </w:trPr>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Operator installation</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Proven</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Helm installed operators; operators created application workloads.</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Core OCM flow</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Proven locally</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Registration, Placement, ManifestWork, reconciliation, and feedback passed.</w:t>
            </w:r>
          </w:p>
        </w:tc>
      </w:tr>
      <w:tr>
        <w:trPr>
          <w:cantSplit/>
        </w:trPr>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Production readiness</w:t>
            </w:r>
          </w:p>
        </w:tc>
        <w:tc>
          <w:tcPr>
            <w:tcW w:type="dxa" w:w="216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Not yet proven</w:t>
            </w:r>
          </w:p>
        </w:tc>
        <w:tc>
          <w:tcPr>
            <w:tcW w:type="dxa" w:w="5040"/>
            <w:shd w:fill="F2F4F7"/>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Security, scale, HA, upgrades, failure recovery, and RKE2 remain.</w:t>
            </w:r>
          </w:p>
        </w:tc>
      </w:tr>
      <w:tr>
        <w:trPr>
          <w:cantSplit/>
        </w:trPr>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Full ACM replacement</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Not yet proven</w:t>
            </w:r>
          </w:p>
        </w:tc>
        <w:tc>
          <w:tcPr>
            <w:tcW w:type="dxa" w:w="5040"/>
            <w:tcMar>
              <w:top w:w="80" w:type="dxa"/>
              <w:start w:w="120" w:type="dxa"/>
              <w:bottom w:w="80" w:type="dxa"/>
              <w:end w:w="120" w:type="dxa"/>
            </w:tcMar>
            <w:vAlign w:val="center"/>
          </w:tcPr>
          <w:p>
            <w:pPr>
              <w:spacing w:before="0" w:after="0" w:line="252" w:lineRule="auto"/>
              <w:jc w:val="left"/>
            </w:pPr>
            <w:r>
              <w:rPr>
                <w:rFonts w:ascii="Calibri" w:hAnsi="Calibri"/>
                <w:b w:val="0"/>
                <w:color w:val="000000"/>
                <w:sz w:val="18"/>
              </w:rPr>
              <w:t>Requires capability inventory and external components for product-level features.</w:t>
            </w:r>
          </w:p>
        </w:tc>
      </w:tr>
    </w:tbl>
    <w:p>
      <w:pPr>
        <w:spacing w:after="0"/>
      </w:pPr>
    </w:p>
    <w:p>
      <w:pPr>
        <w:pStyle w:val="Heading1"/>
      </w:pPr>
      <w:r>
        <w:t>10. Risks, dependencies, and next steps</w:t>
      </w:r>
    </w:p>
    <w:p>
      <w:pPr>
        <w:pStyle w:val="Heading2"/>
      </w:pPr>
      <w:r>
        <w:t>10.1 Current dependencies</w:t>
      </w:r>
    </w:p>
    <w:p>
      <w:pPr>
        <w:pStyle w:val="ListBullet"/>
        <w:spacing w:after="120" w:line="264" w:lineRule="auto"/>
        <w:ind w:left="720" w:hanging="360"/>
      </w:pPr>
      <w:r>
        <w:rPr>
          <w:b/>
        </w:rPr>
        <w:t xml:space="preserve">Approved base: </w:t>
      </w:r>
      <w:r>
        <w:t>confirm whether public UBI9 is accepted as the production Dreadnought-equivalent image.</w:t>
      </w:r>
    </w:p>
    <w:p>
      <w:pPr>
        <w:pStyle w:val="ListBullet"/>
        <w:spacing w:after="120" w:line="264" w:lineRule="auto"/>
        <w:ind w:left="720" w:hanging="360"/>
      </w:pPr>
      <w:r>
        <w:rPr>
          <w:b/>
        </w:rPr>
        <w:t xml:space="preserve">IBM pipeline: </w:t>
      </w:r>
      <w:r>
        <w:t>obtain the authoritative SPS Makefile target contract and execution environment.</w:t>
      </w:r>
    </w:p>
    <w:p>
      <w:pPr>
        <w:pStyle w:val="ListBullet"/>
        <w:spacing w:after="120" w:line="264" w:lineRule="auto"/>
        <w:ind w:left="720" w:hanging="360"/>
      </w:pPr>
      <w:r>
        <w:rPr>
          <w:b/>
        </w:rPr>
        <w:t xml:space="preserve">Artifact delivery: </w:t>
      </w:r>
      <w:r>
        <w:t>obtain IBM Container Registry namespace and deployment-monorepo access.</w:t>
      </w:r>
    </w:p>
    <w:p>
      <w:pPr>
        <w:pStyle w:val="ListBullet"/>
        <w:spacing w:after="120" w:line="264" w:lineRule="auto"/>
        <w:ind w:left="720" w:hanging="360"/>
      </w:pPr>
      <w:r>
        <w:rPr>
          <w:b/>
        </w:rPr>
        <w:t xml:space="preserve">Release controls: </w:t>
      </w:r>
      <w:r>
        <w:t>run security scanning, GaraSign signing, OCI chart publication, and oc-mirror validation.</w:t>
      </w:r>
    </w:p>
    <w:p>
      <w:pPr>
        <w:pStyle w:val="ListBullet"/>
        <w:spacing w:after="120" w:line="264" w:lineRule="auto"/>
        <w:ind w:left="720" w:hanging="360"/>
      </w:pPr>
      <w:r>
        <w:rPr>
          <w:b/>
        </w:rPr>
        <w:t xml:space="preserve">Final platform: </w:t>
      </w:r>
      <w:r>
        <w:t>deploy and validate the version 0.3.0 charts on RKE2 and run CLI checks on Linux AMD64 Landing Zone.</w:t>
      </w:r>
    </w:p>
    <w:p>
      <w:pPr>
        <w:pStyle w:val="ListBullet"/>
        <w:spacing w:after="120" w:line="264" w:lineRule="auto"/>
        <w:ind w:left="720" w:hanging="360"/>
      </w:pPr>
      <w:r>
        <w:rPr>
          <w:b/>
        </w:rPr>
        <w:t xml:space="preserve">ACM migration scope: </w:t>
      </w:r>
      <w:r>
        <w:t>inventory actual ACM features in use and map each to OCM or another OSS component.</w:t>
      </w:r>
    </w:p>
    <w:p>
      <w:pPr>
        <w:pStyle w:val="Heading2"/>
      </w:pPr>
      <w:r>
        <w:t>10.2 Recommended next steps</w:t>
      </w:r>
    </w:p>
    <w:p>
      <w:pPr>
        <w:pStyle w:val="ListNumber"/>
        <w:spacing w:after="120"/>
        <w:ind w:left="720" w:hanging="360"/>
      </w:pPr>
      <w:r>
        <w:t>Review the wrapper Makefile against the official SPS reference once access is available.</w:t>
      </w:r>
    </w:p>
    <w:p>
      <w:pPr>
        <w:pStyle w:val="ListNumber"/>
        <w:spacing w:after="120"/>
        <w:ind w:left="720" w:hanging="360"/>
      </w:pPr>
      <w:r>
        <w:t>Select and document the upstream OCM release tag and create the internal/&lt;release-tag&gt; branch in IBM GitHub.</w:t>
      </w:r>
    </w:p>
    <w:p>
      <w:pPr>
        <w:pStyle w:val="ListNumber"/>
        <w:spacing w:after="120"/>
        <w:ind w:left="720" w:hanging="360"/>
      </w:pPr>
      <w:r>
        <w:t>Publish images and version 0.3.0 OCI Helm packages through SPS using injected credentials and MCSP REPLACEMENTS.</w:t>
      </w:r>
    </w:p>
    <w:p>
      <w:pPr>
        <w:pStyle w:val="ListNumber"/>
        <w:spacing w:after="120"/>
        <w:ind w:left="720" w:hanging="360"/>
      </w:pPr>
      <w:r>
        <w:t>Run security, signing, and mirror-manifest gates.</w:t>
      </w:r>
    </w:p>
    <w:p>
      <w:pPr>
        <w:pStyle w:val="ListNumber"/>
        <w:spacing w:after="120"/>
        <w:ind w:left="720" w:hanging="360"/>
      </w:pPr>
      <w:r>
        <w:t>Repeat installation and functional tests on RKE2, then expand to failure recovery, upgrades, multiple clusters, and add-on lifecycle.</w:t>
      </w:r>
    </w:p>
    <w:p>
      <w:pPr>
        <w:pStyle w:val="Heading1"/>
      </w:pPr>
      <w:r>
        <w:t>11. Manager-ready status statement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2F0D9"/>
          </w:tcPr>
          <w:p>
            <w:pPr>
              <w:spacing w:after="40"/>
            </w:pPr>
            <w:r>
              <w:rPr>
                <w:b/>
              </w:rPr>
              <w:t xml:space="preserve">Status to communicate — </w:t>
            </w:r>
            <w:r>
              <w:t>Local engineering validation is successful. The OCM UBI9 images build and run correctly, Helm installs both operators, the operators manage the expected application components, and live Placement and ManifestWork tests confirm core multicluster behavior. This is not yet final Sovereign Core release approval: IBM repository/release lineage, approved-base confirmation, SPS/ICR publication, security scanning, signing, OCI/mirroring, deployment-monorepo delivery, and RKE2/Landing Zone acceptance remain pending.</w:t>
            </w:r>
          </w:p>
        </w:tc>
      </w:tr>
    </w:tbl>
    <w:p>
      <w:pPr>
        <w:spacing w:after="0"/>
      </w:pPr>
    </w:p>
    <w:p>
      <w:pPr>
        <w:pStyle w:val="Heading1"/>
      </w:pPr>
      <w:r>
        <w:t>Appendix A — Reproduction command set</w:t>
      </w:r>
    </w:p>
    <w:p>
      <w:pPr>
        <w:pStyle w:val="Heading2"/>
      </w:pPr>
      <w:r>
        <w:t>A.1 Build and test</w:t>
      </w:r>
    </w:p>
    <w:p>
      <w:pPr>
        <w:keepLines/>
        <w:spacing w:before="60" w:after="140" w:line="240" w:lineRule="auto"/>
        <w:ind w:left="259" w:right="259"/>
        <w:shd w:fill="F5F7F9"/>
      </w:pPr>
      <w:r>
        <w:rPr>
          <w:rFonts w:ascii="Consolas" w:hAnsi="Consolas"/>
          <w:sz w:val="16"/>
        </w:rPr>
        <w:t>make pre-build</w:t>
        <w:br/>
        <w:t>make docker-build IMAGE_REGISTRY=ocm-ubi9 IMAGE_TAG=phase1</w:t>
        <w:br/>
        <w:t>make docker-test IMAGE_REGISTRY=ocm-ubi9 IMAGE_TAG=phase1</w:t>
        <w:br/>
        <w:t>make helm-template</w:t>
        <w:br/>
        <w:t>make helm-package HELM_CHART_VERSION=0.3.0</w:t>
        <w:br/>
        <w:t>docker image inspect ocm-ubi9/registration:phase1 --format '{{.Os}}/{{.Architecture}} user={{.Config.User}} id={{.Id}}'</w:t>
        <w:br/>
        <w:t>docker run --rm --platform linux/amd64 ocm-ubi9/registration:phase1 /bin/bash -c 'cat /etc/redhat-release; id; test -x /registration'</w:t>
      </w:r>
    </w:p>
    <w:p>
      <w:pPr>
        <w:pStyle w:val="Heading2"/>
      </w:pPr>
      <w:r>
        <w:t>A.2 Load and deploy</w:t>
      </w:r>
    </w:p>
    <w:p>
      <w:pPr>
        <w:keepLines/>
        <w:spacing w:before="60" w:after="140" w:line="240" w:lineRule="auto"/>
        <w:ind w:left="259" w:right="259"/>
        <w:shd w:fill="F5F7F9"/>
      </w:pPr>
      <w:r>
        <w:rPr>
          <w:rFonts w:ascii="Consolas" w:hAnsi="Consolas"/>
          <w:sz w:val="16"/>
        </w:rPr>
        <w:t>make local-load-images MINIKUBE_PROFILE=ocm-ubi9</w:t>
        <w:br/>
        <w:t>make deploy KUBE_CONTEXT=ocm-ubi9</w:t>
        <w:br/>
        <w:t>make deploy-managed KUBE_CONTEXT=ocm-ubi9 BOOTSTRAP_HUB_KUBECONFIG=&lt;short-lived-kubeconfig&gt;</w:t>
      </w:r>
    </w:p>
    <w:p>
      <w:pPr>
        <w:pStyle w:val="Heading2"/>
      </w:pPr>
      <w:r>
        <w:t>A.3 Validate</w:t>
      </w:r>
    </w:p>
    <w:p>
      <w:pPr>
        <w:keepLines/>
        <w:spacing w:before="60" w:after="140" w:line="240" w:lineRule="auto"/>
        <w:ind w:left="259" w:right="259"/>
        <w:shd w:fill="F5F7F9"/>
      </w:pPr>
      <w:r>
        <w:rPr>
          <w:rFonts w:ascii="Consolas" w:hAnsi="Consolas"/>
          <w:sz w:val="16"/>
        </w:rPr>
        <w:t>make local-status KUBE_CONTEXT=ocm-ubi9</w:t>
        <w:br/>
        <w:t>kubectl --context ocm-ubi9 apply -f deploy/local/tests/placement.yaml</w:t>
        <w:br/>
        <w:t>kubectl --context ocm-ubi9 apply -f deploy/local/tests/manifestwork.yaml</w:t>
      </w:r>
    </w:p>
    <w:sectPr w:rsidR="00FC693F" w:rsidRPr="0006063C" w:rsidSect="00034616">
      <w:headerReference w:type="default" r:id="rId9"/>
      <w:footerReference w:type="default" r:id="rId10"/>
      <w:pgSz w:w="12240" w:h="15840"/>
      <w:pgMar w:top="1152" w:right="1440" w:bottom="1296"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Engineering status • July 21,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OCM UBI9 Migration  |  Manager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 UBI9 Migration and Local Functional Validation</dc:title>
  <dc:subject>Manager-facing engineering status report</dc:subject>
  <dc:creator>OCM migration engineering</dc:creator>
  <cp:keywords>OCM, UBI9, Kubernetes, Helm, operator, AMD64, validation</cp:keywords>
  <dc:description>generated by python-docx</dc:description>
  <cp:lastModifiedBy/>
  <cp:revision>1</cp:revision>
  <dcterms:created xsi:type="dcterms:W3CDTF">2013-12-23T23:15:00Z</dcterms:created>
  <dcterms:modified xsi:type="dcterms:W3CDTF">2013-12-23T23:15:00Z</dcterms:modified>
  <cp:category/>
</cp:coreProperties>
</file>