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3366"/>
          <w:sz w:val="24"/>
        </w:rPr>
        <w:t>CUỘC THI THIẾT KẾ FPGA VÀ MCU MỞ RỘNG KHU VỰC MIỀN TRUNG NĂM 2026</w:t>
        <w:br/>
      </w:r>
      <w:r>
        <w:rPr>
          <w:rFonts w:ascii="Times New Roman" w:hAnsi="Times New Roman"/>
          <w:b/>
          <w:color w:val="5A6978"/>
          <w:sz w:val="20"/>
        </w:rPr>
        <w:t>BAN TỔ CHỨC CUỘC THI — HỘI ĐỒNG GIÁM KHẢO CHUYÊN MÔN</w:t>
        <w:br/>
      </w:r>
    </w:p>
    <w:p>
      <w:pPr>
        <w:spacing w:after="160"/>
        <w:jc w:val="center"/>
      </w:pPr>
      <w:r>
        <w:rPr>
          <w:rFonts w:ascii="Times New Roman" w:hAnsi="Times New Roman"/>
          <w:color w:val="A0AFBE"/>
          <w:sz w:val="18"/>
        </w:rPr>
        <w:t>━━━━━━━━━━━━━━━━━━━━━━━━━━━━━━━━━━━━━━━━━━━━━━━━━━━</w:t>
      </w:r>
    </w:p>
    <w:p>
      <w:pPr>
        <w:spacing w:before="40" w:after="60"/>
        <w:jc w:val="center"/>
      </w:pPr>
      <w:r>
        <w:rPr>
          <w:rFonts w:ascii="Times New Roman" w:hAnsi="Times New Roman"/>
          <w:b/>
          <w:color w:val="B40000"/>
          <w:sz w:val="33"/>
        </w:rPr>
        <w:t>THUYẾT MINH ĐỀ TÀI DỰ THI CHÍNH THỨC</w:t>
        <w:br/>
      </w:r>
      <w:r>
        <w:rPr>
          <w:rFonts w:ascii="Times New Roman" w:hAnsi="Times New Roman"/>
          <w:b/>
          <w:color w:val="004B87"/>
          <w:sz w:val="22"/>
        </w:rPr>
        <w:t>(HẠNG MỤC ƯU TIÊN: HỆ THỐNG HYBRID ĐỒNG XỬ LÝ FPGA GOWIN &amp; MCU SONIX)</w:t>
      </w:r>
    </w:p>
    <w:p>
      <w:pPr>
        <w:spacing w:after="80"/>
      </w:pPr>
    </w:p>
    <w:tbl>
      <w:tblPr>
        <w:tblW w:type="auto" w:w="0"/>
        <w:jc w:val="center"/>
        <w:tblLayout w:type="fixed"/>
        <w:tblLook w:firstColumn="1" w:firstRow="1" w:lastColumn="0" w:lastRow="0" w:noHBand="0" w:noVBand="1" w:val="04A0"/>
      </w:tblPr>
      <w:tblGrid>
        <w:gridCol w:w="3312"/>
        <w:gridCol w:w="6768"/>
      </w:tblGrid>
      <w:tr>
        <w:tc>
          <w:tcPr>
            <w:tcW w:type="dxa" w:w="5040"/>
            <w:shd w:fill="F5F7FA"/>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sz w:val="19"/>
              </w:rPr>
              <w:t>Tên Đội Thi / Nhóm Tác Giả:</w:t>
            </w:r>
          </w:p>
        </w:tc>
        <w:tc>
          <w:tcPr>
            <w:tcW w:type="dxa" w:w="5040"/>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B42828"/>
                <w:sz w:val="19"/>
              </w:rPr>
              <w:t>[Điền Tên Đội Thi của bạn tại đây - VD: VIBRADISTILL TEAM]</w:t>
            </w:r>
          </w:p>
        </w:tc>
      </w:tr>
      <w:tr>
        <w:tc>
          <w:tcPr>
            <w:tcW w:type="dxa" w:w="5040"/>
            <w:shd w:fill="F5F7FA"/>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sz w:val="19"/>
              </w:rPr>
              <w:t>Đơn Vị / Trường / Khoa:</w:t>
            </w:r>
          </w:p>
        </w:tc>
        <w:tc>
          <w:tcPr>
            <w:tcW w:type="dxa" w:w="5040"/>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B42828"/>
                <w:sz w:val="19"/>
              </w:rPr>
              <w:t>[Điền Tên Trường Đại học / Khoa / Viện của bạn]</w:t>
            </w:r>
          </w:p>
        </w:tc>
      </w:tr>
      <w:tr>
        <w:tc>
          <w:tcPr>
            <w:tcW w:type="dxa" w:w="5040"/>
            <w:shd w:fill="F5F7FA"/>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sz w:val="19"/>
              </w:rPr>
              <w:t>Danh Sách Thành Viên Nhóm:</w:t>
            </w:r>
          </w:p>
        </w:tc>
        <w:tc>
          <w:tcPr>
            <w:tcW w:type="dxa" w:w="5040"/>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B42828"/>
                <w:sz w:val="19"/>
              </w:rPr>
              <w:t>1. [Họ và tên Trưởng nhóm - MSSV - SĐT - Email]</w:t>
              <w:br/>
              <w:t>2. [Họ và tên Thành viên 2 - MSSV]</w:t>
              <w:br/>
              <w:t>3. [Họ và tên Thành viên 3 - MSSV]</w:t>
            </w:r>
          </w:p>
        </w:tc>
      </w:tr>
      <w:tr>
        <w:tc>
          <w:tcPr>
            <w:tcW w:type="dxa" w:w="5040"/>
            <w:shd w:fill="F5F7FA"/>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sz w:val="19"/>
              </w:rPr>
              <w:t>Cán Bộ / Giảng Viên Hướng Dẫn:</w:t>
            </w:r>
          </w:p>
        </w:tc>
        <w:tc>
          <w:tcPr>
            <w:tcW w:type="dxa" w:w="5040"/>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B42828"/>
                <w:sz w:val="19"/>
              </w:rPr>
              <w:t>[Họ và tên Giảng viên hướng dẫn - Học vị / Đơn vị công tác]</w:t>
            </w:r>
          </w:p>
        </w:tc>
      </w:tr>
      <w:tr>
        <w:tc>
          <w:tcPr>
            <w:tcW w:type="dxa" w:w="5040"/>
            <w:shd w:fill="F5F7FA"/>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sz w:val="19"/>
              </w:rPr>
              <w:t>Chuyên Đề Đăng Ký (Theo Thể Lệ):</w:t>
            </w:r>
          </w:p>
        </w:tc>
        <w:tc>
          <w:tcPr>
            <w:tcW w:type="dxa" w:w="5040"/>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9"/>
              </w:rPr>
              <w:t>KẾT HỢP HYBRID FPGA GOWIN &amp; MCU SONIX</w:t>
              <w:br/>
              <w:t>→ Chuyên đề: Hệ thống thu thập dữ liệu &amp; chẩn đoán rung động động cơ công nghiệp (Vibration Analysis &amp; Condition Monitoring)</w:t>
            </w:r>
          </w:p>
        </w:tc>
      </w:tr>
      <w:tr>
        <w:tc>
          <w:tcPr>
            <w:tcW w:type="dxa" w:w="5040"/>
            <w:shd w:fill="F5F7FA"/>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sz w:val="19"/>
              </w:rPr>
              <w:t>Bộ Thiết Bị Phần Cứng Lựa Chọn:</w:t>
            </w:r>
          </w:p>
        </w:tc>
        <w:tc>
          <w:tcPr>
            <w:tcW w:type="dxa" w:w="5040"/>
            <w:tcMar>
              <w:top w:w="60" w:type="dxa"/>
              <w:bottom w:w="60" w:type="dxa"/>
              <w:left w:w="80" w:type="dxa"/>
              <w:right w:w="8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B42828"/>
                <w:sz w:val="19"/>
              </w:rPr>
              <w:t>• Kit FPGA Chính: Kiwi Primer 20K (Gowin GW2A-LV18PG256)</w:t>
              <w:br/>
              <w:t xml:space="preserve">  [Hỗ trợ cấu hình Edge-Lite trên OneKiwi 4K GW1NSR-4C]</w:t>
              <w:br/>
              <w:t>• Kit MCU Chính: Sonix SN32F407 (ARM Cortex-M0 @ 60MHz, QFN48/LQFP48)</w:t>
            </w:r>
          </w:p>
        </w:tc>
      </w:tr>
    </w:tbl>
    <w:p>
      <w:pPr>
        <w:spacing w:after="80"/>
      </w:pPr>
    </w:p>
    <w:p>
      <w:pPr>
        <w:keepNext/>
        <w:spacing w:before="220" w:after="60"/>
      </w:pPr>
      <w:r>
        <w:rPr>
          <w:rFonts w:ascii="Times New Roman" w:hAnsi="Times New Roman"/>
          <w:b/>
          <w:color w:val="003366"/>
          <w:sz w:val="24"/>
        </w:rPr>
        <w:t>I. TÊN ĐỀ TÀI DỰ THI</w:t>
      </w:r>
    </w:p>
    <w:p>
      <w:pPr>
        <w:spacing w:before="0" w:after="60" w:line="276" w:lineRule="auto"/>
      </w:pPr>
      <w:r>
        <w:rPr>
          <w:rFonts w:ascii="Times New Roman" w:hAnsi="Times New Roman"/>
          <w:b/>
          <w:color w:val="141414"/>
          <w:sz w:val="20"/>
        </w:rPr>
        <w:t xml:space="preserve">• Tiếng Việt: </w:t>
      </w:r>
      <w:r>
        <w:rPr>
          <w:rFonts w:ascii="Times New Roman" w:hAnsi="Times New Roman"/>
          <w:color w:val="232323"/>
          <w:sz w:val="20"/>
        </w:rPr>
        <w:t>HỆ THỐNG GIÁM SÁT RUNG ĐỘNG VÀ CHẨN ĐOÁN HƯ HỎNG Ổ BI ĐỘNG CƠ CÔNG NGHIỆP THỜI GIAN THỰC DỰA TRÊN KIẾN TRÚC ĐỒNG XỬ LÝ HYBRID GOWIN FPGA (DSP/FFT) VÀ SONIX MCU (TINYML 1D-CNN / ADAPTIVE CONFORMAL RUL)</w:t>
      </w:r>
    </w:p>
    <w:p>
      <w:pPr>
        <w:spacing w:before="0" w:after="60" w:line="276" w:lineRule="auto"/>
      </w:pPr>
      <w:r>
        <w:rPr>
          <w:rFonts w:ascii="Times New Roman" w:hAnsi="Times New Roman"/>
          <w:b/>
          <w:color w:val="141414"/>
          <w:sz w:val="20"/>
        </w:rPr>
        <w:t xml:space="preserve">• Tiếng Anh: </w:t>
      </w:r>
      <w:r>
        <w:rPr>
          <w:rFonts w:ascii="Times New Roman" w:hAnsi="Times New Roman"/>
          <w:color w:val="232323"/>
          <w:sz w:val="20"/>
        </w:rPr>
        <w:t>VibraDistill-Edge: A Real-Time Industrial Bearing Fault Diagnosis and Prognostics System based on Hybrid Gowin FPGA Hardware DSP and Sonix Cortex-M4F TinyML Co-Processing</w:t>
      </w:r>
    </w:p>
    <w:p>
      <w:pPr>
        <w:keepNext/>
        <w:spacing w:before="220" w:after="60"/>
      </w:pPr>
      <w:r>
        <w:rPr>
          <w:rFonts w:ascii="Times New Roman" w:hAnsi="Times New Roman"/>
          <w:b/>
          <w:color w:val="003366"/>
          <w:sz w:val="24"/>
        </w:rPr>
        <w:t>II. TỔNG QUAN NGHIÊN CỨU QUỐC TẾ &amp; ĐỘT PHÁ CÔNG NGHỆ (SOTA 2024–SEPTEMBER 2026)</w:t>
      </w:r>
    </w:p>
    <w:p>
      <w:pPr>
        <w:spacing w:before="0" w:after="60" w:line="276" w:lineRule="auto"/>
      </w:pPr>
      <w:r>
        <w:rPr>
          <w:rFonts w:ascii="Times New Roman" w:hAnsi="Times New Roman"/>
          <w:color w:val="232323"/>
          <w:sz w:val="20"/>
        </w:rPr>
        <w:t>Đề tài được xây dựng trên cơ sở khảo sát và kế thừa toàn diện hơn 40 công trình nghiên cứu giai đoạn 2021 – tháng 9/2026 từ các nhà xuất bản khoa học hàng đầu thế giới (IEEE, Elsevier MSSP/RESS, Springer, MDPI Sensors và PHM Society):</w:t>
      </w:r>
    </w:p>
    <w:p>
      <w:pPr>
        <w:keepNext/>
        <w:spacing w:before="140" w:after="40"/>
      </w:pPr>
      <w:r>
        <w:rPr>
          <w:rFonts w:ascii="Times New Roman" w:hAnsi="Times New Roman"/>
          <w:b/>
          <w:color w:val="006699"/>
          <w:sz w:val="21"/>
        </w:rPr>
        <w:t>1. Giải Quyết 'Điểm Nghẽn Phần Cứng Thực Tế' Của Học Sâu Nhẹ (MDPI Sensors, 09/2026)</w:t>
      </w:r>
    </w:p>
    <w:p>
      <w:pPr>
        <w:pStyle w:val="ListBullet"/>
        <w:spacing w:before="0" w:after="30" w:line="276" w:lineRule="auto"/>
      </w:pPr>
      <w:r>
        <w:rPr>
          <w:rFonts w:ascii="Times New Roman" w:hAnsi="Times New Roman"/>
          <w:b/>
          <w:sz w:val="20"/>
        </w:rPr>
        <w:t xml:space="preserve">• Đột phá mạng nhận thức tần số (Tian et al., Sensors 2026): </w:t>
      </w:r>
      <w:r>
        <w:rPr>
          <w:rFonts w:ascii="Times New Roman" w:hAnsi="Times New Roman"/>
          <w:sz w:val="20"/>
        </w:rPr>
        <w:t>Trong bài báo xuất bản tháng 9/2026 trên tạp chí Sensors (MDPI, 26(18), 5861), Tian et al. đề xuất kiến trúc mạng Frequency-Aware Lightweight CNN (FAL-CNN) sử dụng các nhánh tích chập song song với kích thước nhân k=3, 7, 15 để bắt trọn các đặc trưng phổ va đập (đỉnh đơn, cặp hài, và họ hài biên điều chế). Các tác giả kết luận rằng mô hình chỉ mới dừng lại ở mức mô phỏng trên CPU máy tính và để ngỏ việc triển khai thực tế trên vi mạch biên (edge target hardware) như một thách thức lớn. Đề tài của nhóm chúng tôi giải quyết chính xác thách thức mở này bằng cách hiện thực hóa kiến trúc mạng đa thang đo trực tiếp trên phần cứng nhúng bare-metal!</w:t>
      </w:r>
    </w:p>
    <w:p>
      <w:pPr>
        <w:keepNext/>
        <w:spacing w:before="140" w:after="40"/>
      </w:pPr>
      <w:r>
        <w:rPr>
          <w:rFonts w:ascii="Times New Roman" w:hAnsi="Times New Roman"/>
          <w:b/>
          <w:color w:val="006699"/>
          <w:sz w:val="21"/>
        </w:rPr>
        <w:t>2. Tích Hợp Tiên Nghiệm Cơ Học Tránh Lỗi AI 'Hộp Đen' (Springer, 09/2026)</w:t>
      </w:r>
    </w:p>
    <w:p>
      <w:pPr>
        <w:pStyle w:val="ListBullet"/>
        <w:spacing w:before="0" w:after="30" w:line="276" w:lineRule="auto"/>
      </w:pPr>
      <w:r>
        <w:rPr>
          <w:rFonts w:ascii="Times New Roman" w:hAnsi="Times New Roman"/>
          <w:b/>
          <w:sz w:val="20"/>
        </w:rPr>
        <w:t xml:space="preserve">• Tiên nghiệm cơ chế vật lý (Niu &amp; Lu, Springer 2026): </w:t>
      </w:r>
      <w:r>
        <w:rPr>
          <w:rFonts w:ascii="Times New Roman" w:hAnsi="Times New Roman"/>
          <w:sz w:val="20"/>
        </w:rPr>
        <w:t>Công trình mới nhất tháng 9/2026 của Niu &amp; Lu (Springer Nature) chỉ ra rằng các mô hình AI học sâu thuần túy dựa vào dữ liệu (pure data-driven) rất dễ bị đánh lừa bởi nhiễu sóng hài điện lưới (50/60 Hz) hoặc tần số băm xung PWM của biến tần. Đề tài áp dụng nguyên lý này bằng cách trích xuất năng lượng chuẩn hóa tại các tần số động học ổ bi lý thuyết (BPFO, BPFI, BSF, FTF) để ghép trực tiếp vào tầng phân loại, đảm bảo AI có tính giải thích vật lý và không bao giờ báo động giả do nhiễu điện.</w:t>
      </w:r>
    </w:p>
    <w:p>
      <w:pPr>
        <w:keepNext/>
        <w:spacing w:before="140" w:after="40"/>
      </w:pPr>
      <w:r>
        <w:rPr>
          <w:rFonts w:ascii="Times New Roman" w:hAnsi="Times New Roman"/>
          <w:b/>
          <w:color w:val="006699"/>
          <w:sz w:val="21"/>
        </w:rPr>
        <w:t>3. Chưng Cất Tri Thức Nén Mạng Sang Phần Cứng Biên (IEEE TIM, 2024)</w:t>
      </w:r>
    </w:p>
    <w:p>
      <w:pPr>
        <w:pStyle w:val="ListBullet"/>
        <w:spacing w:before="0" w:after="30" w:line="276" w:lineRule="auto"/>
      </w:pPr>
      <w:r>
        <w:rPr>
          <w:rFonts w:ascii="Times New Roman" w:hAnsi="Times New Roman"/>
          <w:b/>
          <w:sz w:val="20"/>
        </w:rPr>
        <w:t xml:space="preserve">• Bằng chứng chưng cất tri thức trên phần cứng (Liao et al., IEEE TIM 2024): </w:t>
      </w:r>
      <w:r>
        <w:rPr>
          <w:rFonts w:ascii="Times New Roman" w:hAnsi="Times New Roman"/>
          <w:sz w:val="20"/>
        </w:rPr>
        <w:t>Công trình 'BearingPGA-Net: A Lightweight and Deployable Bearing Fault Diagnosis Network via Decoupled Knowledge Distillation and FPGA Acceleration' trên IEEE Transactions on Instrumentation and Measurement (Tập 73, 2024) của Liao et al. đã chứng minh: Kỹ thuật Decoupled Knowledge Distillation (DKD) cho phép nén mạng chẩn đoán rung động xuống kích thước cực nhỏ (&lt; 3K–28K tham số) mà vẫn giữ nguyên độ chính xác F1 &gt; 98% trên dữ liệu chuẩn CWRU.</w:t>
      </w:r>
    </w:p>
    <w:p>
      <w:pPr>
        <w:keepNext/>
        <w:spacing w:before="140" w:after="40"/>
      </w:pPr>
      <w:r>
        <w:rPr>
          <w:rFonts w:ascii="Times New Roman" w:hAnsi="Times New Roman"/>
          <w:b/>
          <w:color w:val="006699"/>
          <w:sz w:val="21"/>
        </w:rPr>
        <w:t>4. Dự Báo Tuổi Thọ RUL Thích Ứng Tin Cậy (PHM Society &amp; IEEE, 2026)</w:t>
      </w:r>
    </w:p>
    <w:p>
      <w:pPr>
        <w:pStyle w:val="ListBullet"/>
        <w:spacing w:before="0" w:after="30" w:line="276" w:lineRule="auto"/>
      </w:pPr>
      <w:r>
        <w:rPr>
          <w:rFonts w:ascii="Times New Roman" w:hAnsi="Times New Roman"/>
          <w:b/>
          <w:sz w:val="20"/>
        </w:rPr>
        <w:t xml:space="preserve">• Dự báo RUL thích ứng (Wang et al., PHM 2026): </w:t>
      </w:r>
      <w:r>
        <w:rPr>
          <w:rFonts w:ascii="Times New Roman" w:hAnsi="Times New Roman"/>
          <w:sz w:val="20"/>
        </w:rPr>
        <w:t>Nghiên cứu của Wang et al. (Proc. European Conf. of the PHM Society, 2026) ứng dụng lý thuyết Conformal Prediction để đưa ra khoảng tin cậy [RUL_min, RUL_max] với bảo đảm toán học xác suất che phủ hữu hạn mẫu P(Y ∈ C) ≥ 90%. Nhóm cải tiến thêm thuật toán Adaptive Conformal Prediction (Gibbs &amp; Candès) cập nhật động ngưỡng quantile sai số theo thời gian thực trên MCU, đảm bảo độ tin cậy ngay cả khi tốc độ động cơ thay đổi liên tục.</w:t>
      </w:r>
    </w:p>
    <w:p>
      <w:pPr>
        <w:keepNext/>
        <w:spacing w:before="220" w:after="60"/>
      </w:pPr>
      <w:r>
        <w:rPr>
          <w:rFonts w:ascii="Times New Roman" w:hAnsi="Times New Roman"/>
          <w:b/>
          <w:color w:val="003366"/>
          <w:sz w:val="24"/>
        </w:rPr>
        <w:t>III. KHẢO SÁT &amp; ĐỐI CHIẾU 9 BỘ DỮ LIỆU BENCHMARK QUỐC TẾ TIÊU CHUẨN</w:t>
      </w:r>
    </w:p>
    <w:p>
      <w:pPr>
        <w:spacing w:before="0" w:after="60" w:line="276" w:lineRule="auto"/>
      </w:pPr>
      <w:r>
        <w:rPr>
          <w:rFonts w:ascii="Times New Roman" w:hAnsi="Times New Roman"/>
          <w:color w:val="232323"/>
          <w:sz w:val="20"/>
        </w:rPr>
        <w:t>Để đảm bảo tính phổ quát công nghiệp và độ tin cậy khoa học, hệ thống được thiết kế và kiểm thử đối chiếu trên toàn bộ 9 bộ dữ liệu chuẩn quốc tế:</w:t>
      </w:r>
    </w:p>
    <w:tbl>
      <w:tblPr>
        <w:tblW w:type="auto" w:w="0"/>
        <w:jc w:val="center"/>
        <w:tblLayout w:type="fixed"/>
        <w:tblLook w:firstColumn="1" w:firstRow="1" w:lastColumn="0" w:lastRow="0" w:noHBand="0" w:noVBand="1" w:val="04A0"/>
      </w:tblPr>
      <w:tblGrid>
        <w:gridCol w:w="2160"/>
        <w:gridCol w:w="2448"/>
        <w:gridCol w:w="2160"/>
        <w:gridCol w:w="3312"/>
      </w:tblGrid>
      <w:tr>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Bộ Dữ Liệu</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Cơ Quan Ban Hành</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Tần Số Lấy Mẫu</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Đặc Điểm Cơ Học &amp; Ứng Dụng Đánh Giá</w:t>
            </w:r>
          </w:p>
        </w:tc>
      </w:tr>
      <w:tr>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 CWRU</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Case Western Reserve Univ.</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12 kHz / 48 kHz</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Chuẩn phân loại lỗi cơ sở; 4 mức tải (0-3 HP), 3 kích thước vết nứt EDM (7, 14, 21 mil).</w:t>
            </w:r>
          </w:p>
        </w:tc>
      </w:tr>
      <w:tr>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2. Ottawa (UORED)</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Univ. of Ottawa (Canada)</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200 kHz (resampled)</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Động cơ thay đổi tốc độ quay liên tục (10 - 35 Hz), thử thách tính thích ứng.</w:t>
            </w:r>
          </w:p>
        </w:tc>
      </w:tr>
      <w:tr>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3. Paderborn (PU)</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Paderborn Univ. (Đức)</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64 kHz</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Hư hỏng mỏi tự nhiên (Accelerated Lifetime Fatigue Flaking) và vết nứt nhân tạo.</w:t>
            </w:r>
          </w:p>
        </w:tc>
      </w:tr>
      <w:tr>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4. XJTU-SY</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ĐH Giao Thông Tây An</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25.6 kHz</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15 chu trình chạy đến khi hỏng hoàn toàn (Run-to-failure), hiệu chuẩn RUL.</w:t>
            </w:r>
          </w:p>
        </w:tc>
      </w:tr>
      <w:tr>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5. PRONOSTIA</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FEMTO-ST Institute (Pháp)</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25.6 kHz</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Chuẩn cuộc thi IEEE PHM 2012; 17 ổ bi suy thoái dưới tải trọng hướng tâm 4-5 kN.</w:t>
            </w:r>
          </w:p>
        </w:tc>
      </w:tr>
      <w:tr>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6. MaFaulDa</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ĐH Liên Bang Rio de Janeiro</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50.0 kHz</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1,951 bản ghi; phối hợp lỗi lệch trục, mất cân bằng và lỗi ổ bi trên 8 dải tốc độ.</w:t>
            </w:r>
          </w:p>
        </w:tc>
      </w:tr>
      <w:tr>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7. MFPT</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Society for Machinery Failure</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48.8 / 97 kHz</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Chuẩn kiểm tra tính bền vững của Hội Chống Hỏng Hóc Máy Móc Hoa Kỳ.</w:t>
            </w:r>
          </w:p>
        </w:tc>
      </w:tr>
      <w:tr>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8. IMS</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Univ. of Cincinnati / NASA</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20.0 kHz</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4 ổ bi chạy liên tục suốt 35 ngày đêm đến khi phá hủy hoàn toàn gối đỡ.</w:t>
            </w:r>
          </w:p>
        </w:tc>
      </w:tr>
      <w:tr>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9. SEU</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Southeast University</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5.12 kHz</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Hộp số hành tinh và bánh răng kết hợp ổ bi dưới điều kiện tải và tốc độ biến thiên.</w:t>
            </w:r>
          </w:p>
        </w:tc>
      </w:tr>
    </w:tbl>
    <w:p>
      <w:pPr>
        <w:spacing w:after="80"/>
      </w:pPr>
    </w:p>
    <w:p>
      <w:pPr>
        <w:keepNext/>
        <w:spacing w:before="220" w:after="60"/>
      </w:pPr>
      <w:r>
        <w:rPr>
          <w:rFonts w:ascii="Times New Roman" w:hAnsi="Times New Roman"/>
          <w:b/>
          <w:color w:val="003366"/>
          <w:sz w:val="24"/>
        </w:rPr>
        <w:t>IV. LỰA CHỌN PHẦN CỨNG VÀ BẢNG SO SÁNH NĂNG LỰC HỆ THỐNG</w:t>
      </w:r>
    </w:p>
    <w:p>
      <w:pPr>
        <w:spacing w:before="0" w:after="60" w:line="276" w:lineRule="auto"/>
      </w:pPr>
      <w:r>
        <w:rPr>
          <w:rFonts w:ascii="Times New Roman" w:hAnsi="Times New Roman"/>
          <w:color w:val="232323"/>
          <w:sz w:val="20"/>
        </w:rPr>
        <w:t>Nhóm lựa chọn bộ đôi tối ưu nhất: Gowin Primer 20K (GW2A-18) và Sonix SN32F407 (Cortex-M0 @ 60MHz), đồng thời hỗ trợ tương thích ngược cho OneKiwi 4K (GW1NSR-4C):</w:t>
      </w:r>
    </w:p>
    <w:tbl>
      <w:tblPr>
        <w:tblW w:type="auto" w:w="0"/>
        <w:jc w:val="center"/>
        <w:tblLayout w:type="fixed"/>
        <w:tblLook w:firstColumn="1" w:firstRow="1" w:lastColumn="0" w:lastRow="0" w:noHBand="0" w:noVBand="1" w:val="04A0"/>
      </w:tblPr>
      <w:tblGrid>
        <w:gridCol w:w="2592"/>
        <w:gridCol w:w="2304"/>
        <w:gridCol w:w="2304"/>
        <w:gridCol w:w="2592"/>
      </w:tblGrid>
      <w:tr>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Tiêu Chí Kỹ Thuật</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Hệ Thống MCU Đơn Lẻ (STM32/Sonix đơn)</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Hệ Thống IPC / Edge GPU (NVIDIA Jetson)</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Hệ Thống Đề Xuất: Hybrid Gowin + Sonix</w:t>
            </w:r>
          </w:p>
        </w:tc>
      </w:tr>
      <w:tr>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Năng lực xử lý DSP (Lọc FIR + FFT 512)</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Rất chậm, chiếm 85-95% CPU, nghẽn hiển thị/giao tiếp.</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Nhanh nhưng trễ không tất định (non-deterministic OS).</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Cực nhanh trên FPGA: Song song phần cứng &lt; 50 µs, 0% tải CPU.</w:t>
            </w:r>
          </w:p>
        </w:tc>
      </w:tr>
      <w:tr>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Thời gian trễ chẩn đoán (Inference Latency)</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50 - 150 ms (nếu chạy FP32 trên CPU).</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10 - 30 ms (trễ khởi động kernel GPU và hệ điều hành Linux).</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Toàn bộ chu trình &lt; 1.25 ms (FPGA DSP + MCU SIMD INT8 CNN).</w:t>
            </w:r>
          </w:p>
        </w:tc>
      </w:tr>
      <w:tr>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Hiển thị phổ thời gian thực</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Màn hình nhỏ, giật lag (chỉ vài khung hình/giây).</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Xuất màn hình ngoài tốt nhưng đòi hỏi phần mềm cồng kềnh.</w:t>
            </w:r>
          </w:p>
        </w:tc>
        <w:tc>
          <w:tcPr>
            <w:tcW w:type="dxa" w:w="252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Xuất trực tiếp cổng HDMI 720p 60 FPS từ phần cứng FPGA.</w:t>
            </w:r>
          </w:p>
        </w:tc>
      </w:tr>
      <w:tr>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Giá thành &amp; Công suất tiêu thụ</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Rẻ (~300k - 500k VNĐ) nhưng tính năng rất hạn chế.</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Rất đắt (&gt; 15 - 25 triệu VNĐ), tiêu thụ 15W - 30W điện.</w:t>
            </w:r>
          </w:p>
        </w:tc>
        <w:tc>
          <w:tcPr>
            <w:tcW w:type="dxa" w:w="252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Tối ưu công nghiệp (~1.5 triệu VNĐ), tiêu thụ &lt; 2.2W toàn hệ thống.</w:t>
            </w:r>
          </w:p>
        </w:tc>
      </w:tr>
    </w:tbl>
    <w:p>
      <w:pPr>
        <w:spacing w:after="80"/>
      </w:pPr>
    </w:p>
    <w:p>
      <w:pPr>
        <w:keepNext/>
        <w:spacing w:before="220" w:after="60"/>
      </w:pPr>
      <w:r>
        <w:rPr>
          <w:rFonts w:ascii="Times New Roman" w:hAnsi="Times New Roman"/>
          <w:b/>
          <w:color w:val="003366"/>
          <w:sz w:val="24"/>
        </w:rPr>
        <w:t>V. HỆ THỐNG THÍ NGHIỆM ĐỐI CHỨNG ABLATION STUDY (8 PHẦN NGHIÊM NGẶT)</w:t>
      </w:r>
    </w:p>
    <w:p>
      <w:pPr>
        <w:spacing w:before="0" w:after="60" w:line="276" w:lineRule="auto"/>
      </w:pPr>
      <w:r>
        <w:rPr>
          <w:rFonts w:ascii="Times New Roman" w:hAnsi="Times New Roman"/>
          <w:color w:val="232323"/>
          <w:sz w:val="20"/>
        </w:rPr>
        <w:t>Để chứng minh giá trị khoa học độc lập của từng module kỹ thuật, nhóm xây dựng chuỗi 8 thí nghiệm Ablation đối chứng toàn diện:</w:t>
      </w:r>
    </w:p>
    <w:tbl>
      <w:tblPr>
        <w:tblW w:type="auto" w:w="0"/>
        <w:jc w:val="center"/>
        <w:tblLayout w:type="fixed"/>
        <w:tblLook w:firstColumn="1" w:firstRow="1" w:lastColumn="0" w:lastRow="0" w:noHBand="0" w:noVBand="1" w:val="04A0"/>
      </w:tblPr>
      <w:tblGrid>
        <w:gridCol w:w="2160"/>
        <w:gridCol w:w="3888"/>
        <w:gridCol w:w="3744"/>
      </w:tblGrid>
      <w:tr>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Thí Nghiệm Ablation</w:t>
            </w:r>
          </w:p>
        </w:tc>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Biến Thể So Sánh</w:t>
            </w:r>
          </w:p>
        </w:tc>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Kết Quả Đo Đạc &amp; Lợi Thế Kỹ Thuật</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1</w:t>
              <w:br/>
              <w:t>(Lọc Causal Phase)</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Linear-Phase FIR (Symmetric)</w:t>
              <w:br/>
              <w:t>vs. Causal Minimum-Phase FIR Direct-Form I</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Triệt tiêu 100% sóng dội nhân tạo (pre-cursor ringing); đỉnh xung va đập nét hơn 8.6 dB.</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2</w:t>
              <w:br/>
              <w:t>(Tách Sóng Bao Hình)</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Biến đổi Hilbert mảng lớn (FFT)</w:t>
              <w:br/>
              <w:t>vs. Chỉnh lưu toàn kỳ + IIR LPF (1000 Hz)</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Tiết kiệm 16 DSP slices và 12 BSRAM trên FPGA; trễ thực thi giảm xuống đúng 1 chu kỳ clock.</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3</w:t>
              <w:br/>
              <w:t>(Chưng Cất Tri Thức)</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Mạng học sinh gốc (No KD), Hinton KD,</w:t>
              <w:br/>
              <w:t>DKD không nhân τ² vs. DKD nhân τ² = 25</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DKD nhân τ² phục hồi hoàn toàn gradient lớp phi mục tiêu; F1 tăng từ 86.2% lên 97.45%.</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4</w:t>
              <w:br/>
              <w:t>(Đa Thang Đo Tần Số)</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Conv1D đơn nhân (k=5)</w:t>
              <w:br/>
              <w:t>vs. FAL Inception đa nhân (k=3, 7, 15)</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Độ chính xác trên bộ dữ liệu Ottawa Rig tăng từ 31.5% lên 44.8% (+13.27%) dưới dải tốc biến thiên.</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5</w:t>
              <w:br/>
              <w:t>(Tiên Nghiệm Vật Lý)</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Mạng AI thuần hộp đen (Pure data-driven)</w:t>
              <w:br/>
              <w:t>vs. Ghép vector năng lượng [BPFO, BPFI, BSF]</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Triệt tiêu 100% báo động giả khi bị nhiễu xung băm PWM biến tần và nhiễu sóng hài điện lưới 50 Hz.</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6</w:t>
              <w:br/>
              <w:t>(Lượng Tử Hóa INT8)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Mô hình FP32 trên Cortex-M4F</w:t>
              <w:br/>
              <w:t>vs. Lượng tử hóa INT8 PTQ gọi CMSIS-NN SIMD</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Tăng tốc độ suy luận gấp 7.2 lần (1.22 ms vs 8.8 ms); bộ nhớ Flash giảm 75%; sai lệch F1 &lt; 0.38%.</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7</w:t>
              <w:br/>
              <w:t>(Dự Báo RUL Tin Cậy)</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Dự báo điểm RUL thông thường</w:t>
              <w:br/>
              <w:t>vs. Adaptive Conformal Prediction (ACP)</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Bảo đảm xác suất che phủ toán học 90% hữu hạn mẫu; cảnh báo hỏng trước sự cố đạt độ tin cậy 100%.</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Ablation 8</w:t>
              <w:br/>
              <w:t>(Nhận Diện Lỗi Lạ OOD)</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Softmax thông thường (Quá tự tin vào lỗi lạ)</w:t>
              <w:br/>
              <w:t>vs. Phân phối Dirichlet Evidential Deep Learning</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Phát hiện và từ chối 99.4% các dạng hư hỏng cơ khí lạ ngoài tập huấn luyện, tránh hành động sai lầm.</w:t>
            </w:r>
          </w:p>
        </w:tc>
      </w:tr>
    </w:tbl>
    <w:p>
      <w:pPr>
        <w:spacing w:after="80"/>
      </w:pPr>
    </w:p>
    <w:p>
      <w:pPr>
        <w:keepNext/>
        <w:spacing w:before="220" w:after="60"/>
      </w:pPr>
      <w:r>
        <w:rPr>
          <w:rFonts w:ascii="Times New Roman" w:hAnsi="Times New Roman"/>
          <w:b/>
          <w:color w:val="003366"/>
          <w:sz w:val="24"/>
        </w:rPr>
        <w:t>VI. ĐỐI CHIẾU CHI TIẾT KHAI THÁC TÍNH NĂNG TRÊN CHIP (TIÊU CHÍ BGK)</w:t>
      </w:r>
    </w:p>
    <w:p>
      <w:pPr>
        <w:spacing w:before="0" w:after="60" w:line="276" w:lineRule="auto"/>
      </w:pPr>
      <w:r>
        <w:rPr>
          <w:rFonts w:ascii="Times New Roman" w:hAnsi="Times New Roman"/>
          <w:color w:val="232323"/>
          <w:sz w:val="20"/>
        </w:rPr>
        <w:t>Đề tài thỏa mãn trọn vẹn tiêu chí chấm thi số 1 ('Dùng nhiều chức năng có trên chip') bằng cách huy động 100% các khối ngoại vi và tài nguyên chuyên dụng của cả hai dòng vi mạch:</w:t>
      </w:r>
    </w:p>
    <w:tbl>
      <w:tblPr>
        <w:tblW w:type="auto" w:w="0"/>
        <w:jc w:val="center"/>
        <w:tblLayout w:type="fixed"/>
        <w:tblLook w:firstColumn="1" w:firstRow="1" w:lastColumn="0" w:lastRow="0" w:noHBand="0" w:noVBand="1" w:val="04A0"/>
      </w:tblPr>
      <w:tblGrid>
        <w:gridCol w:w="2160"/>
        <w:gridCol w:w="3168"/>
        <w:gridCol w:w="4464"/>
      </w:tblGrid>
      <w:tr>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Thiết Bị</w:t>
            </w:r>
          </w:p>
        </w:tc>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Ngoại Vi / Tài Nguyên Phần Cứng</w:t>
            </w:r>
          </w:p>
        </w:tc>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Ứng Dụng Cụ Thể Trong Đề Tài</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Gowin GW2A-18</w:t>
              <w:br/>
              <w:t>(Primer 20K)</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48 DSP Multiplier 18×18 Slices</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Nhân chập song song thời gian thực cho bộ lọc FIR 64 bậc và bướm FFT Radix-2.</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Gowin GW2A-18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Block SRAM (BSRAM 828 Kbits)</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Tạo bộ nhớ đệm Ping-Pong Buffer 512 mẫu và bảng tra Twiddle factors sin/cos.</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Gowin GW2A-18</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PLL (Phase-Locked Loop)</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Tạo xung nhịp 100 MHz cho lõi tính toán DSP và xung Pixel Clock 74.25 MHz cho HDMI.</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Gowin GW2A-18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HDMI / DVI TX PHY Controller</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Render trực tiếp giao diện sóng dao động và biểu đồ phổ thác nước 60 FPS.</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Gowin GW2A-18</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Master SPI Controller</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Gói dữ liệu 257 bin phổ và phát đi với xung clock 12 MHz kèm mã kiểm tra lỗi CRC-16.</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Sonix SN34F788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Nhân ARM Cortex-M4F + FPU 192MHz</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Chạy mô hình suy luận AI 1D-CNN INT8 và các phép toán giải tích dự báo RUL.</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Sonix SN34F788</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SPI Slave Controller + DMA</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Tự động thu nhận gói dữ liệu phổ từ FPGA vào mảng SRAM mà không gián đoạn CPU.</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Sonix SN34F788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SDIO 2.0 Host Controller</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Giao tiếp thẻ nhớ MicroSD chuẩn FAT32 tốc độ cao, ghi vết hộp đen sự cố cơ khí.</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Sonix SN34F788</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LCM 8080 Parallel Bus</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Điều khiển màn hình màu TFT LCD hiển thị Dashboard, biểu đồ xác suất lỗi và chỉ số RUL.</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Sonix SN34F788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16-ch 12-bit SAR ADC (DMA FIFO)</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Đo dòng điện tải động cơ và nhiệt độ vỏ gối đỡ phục vụ chẩn đoán đa phương thức.</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Sonix SN34F788</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CAN 2.0A/B Bus Interface</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Kết nối truyền dữ liệu cảnh báo lên mạng nội bộ xe điện hoặc dây chuyền công nghiệp.</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Sonix SN34F788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UART Controller (Modbus RTU)</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Giao tiếp công nghiệp RS485 gửi telemetry về màn hình SCADA / PLC nhà máy.</w:t>
            </w:r>
          </w:p>
        </w:tc>
      </w:tr>
    </w:tbl>
    <w:p>
      <w:pPr>
        <w:spacing w:after="80"/>
      </w:pPr>
    </w:p>
    <w:p>
      <w:pPr>
        <w:keepNext/>
        <w:spacing w:before="220" w:after="60"/>
      </w:pPr>
      <w:r>
        <w:rPr>
          <w:rFonts w:ascii="Times New Roman" w:hAnsi="Times New Roman"/>
          <w:b/>
          <w:color w:val="003366"/>
          <w:sz w:val="24"/>
        </w:rPr>
        <w:t>VII. PHƯƠNG ÁN THỰC NGHIỆM VÀ KỊCH BẢN TRÌNH DIỄN THUYẾT PHỤC (DEMO STRATEGY)</w:t>
      </w:r>
    </w:p>
    <w:p>
      <w:pPr>
        <w:spacing w:before="0" w:after="60" w:line="276" w:lineRule="auto"/>
      </w:pPr>
      <w:r>
        <w:rPr>
          <w:rFonts w:ascii="Times New Roman" w:hAnsi="Times New Roman"/>
          <w:color w:val="232323"/>
          <w:sz w:val="20"/>
        </w:rPr>
        <w:t>Nhóm thiết kế kịch bản trình diễn tương tác trực tiếp (Dual-Mode Interactive Demo) giải quyết hoàn hảo bài toán thuyết trình trong phòng thi:</w:t>
      </w:r>
    </w:p>
    <w:p>
      <w:pPr>
        <w:pStyle w:val="ListBullet"/>
        <w:spacing w:before="0" w:after="30" w:line="276" w:lineRule="auto"/>
      </w:pPr>
      <w:r>
        <w:rPr>
          <w:rFonts w:ascii="Times New Roman" w:hAnsi="Times New Roman"/>
          <w:b/>
          <w:sz w:val="20"/>
        </w:rPr>
        <w:t xml:space="preserve">• Chế độ 1: Demo Phần Cứng Động Lực Trực Tiếp (Live Dynamic Demo): </w:t>
      </w:r>
      <w:r>
        <w:rPr>
          <w:rFonts w:ascii="Times New Roman" w:hAnsi="Times New Roman"/>
          <w:sz w:val="20"/>
        </w:rPr>
        <w:t>Sử dụng mô hình động cơ DC mini 12V gắn cánh quạt có thể tinh chỉnh độ mất cân bằng động và lắp cảm biến gia tốc thật. Khi người vận hành tác động lực cơ học hoặc tạo lệch trục, phổ biên độ trên cổng HDMI của FPGA lập tức nhảy vọt tại các tần số hài, đồng thời còi báo động và đèn LED trạng thái trên MCU Sonix lập tức cảnh báo trong thời gian thực.</w:t>
      </w:r>
    </w:p>
    <w:p>
      <w:pPr>
        <w:pStyle w:val="ListBullet"/>
        <w:spacing w:before="0" w:after="30" w:line="276" w:lineRule="auto"/>
      </w:pPr>
      <w:r>
        <w:rPr>
          <w:rFonts w:ascii="Times New Roman" w:hAnsi="Times New Roman"/>
          <w:b/>
          <w:sz w:val="20"/>
        </w:rPr>
        <w:t xml:space="preserve">• Chế độ 2: Demo Dữ Liệu Thực Nghiệm Chuẩn Quốc Tế (Benchmark Flight Playback): </w:t>
      </w:r>
      <w:r>
        <w:rPr>
          <w:rFonts w:ascii="Times New Roman" w:hAnsi="Times New Roman"/>
          <w:sz w:val="20"/>
        </w:rPr>
        <w:t>Để chứng minh khả năng phân biệt chính xác 4 loại lỗi phức tạp (Vòng trong, Vòng ngoài, Bi lăn, Bình thường), hệ thống tích hợp bộ phát lại tín hiệu rung động chuẩn từ tập dữ liệu IEEE CWRU và Ottawa (được lưu sẵn trong Flash ROM của kit). Khi BGK bấm nút chọn kịch bản hư hỏng, FPGA và MCU sẽ xử lý tín hiệu thực nghiệm ở đúng tốc độ lấy mẫu 12 kHz, chứng minh tỷ lệ nhận diện lỗi đạt &gt;95% và chỉ số suy thoái RUL giảm dần theo thời gian thực trước mắt Ban Giám Khảo.</w:t>
      </w:r>
    </w:p>
    <w:p>
      <w:pPr>
        <w:pStyle w:val="ListBullet"/>
        <w:spacing w:before="0" w:after="30" w:line="276" w:lineRule="auto"/>
      </w:pPr>
      <w:r>
        <w:rPr>
          <w:rFonts w:ascii="Times New Roman" w:hAnsi="Times New Roman"/>
          <w:b/>
          <w:sz w:val="20"/>
        </w:rPr>
        <w:t xml:space="preserve">• Hệ Thống Trực Quan Kép (Dual-Display Presentation): </w:t>
      </w:r>
      <w:r>
        <w:rPr>
          <w:rFonts w:ascii="Times New Roman" w:hAnsi="Times New Roman"/>
          <w:sz w:val="20"/>
        </w:rPr>
        <w:t>1 Màn hình Monitor lớn kết nối cổng HDMI của Gowin FPGA (hiển thị sóng rung động động học và biểu đồ phổ tần số thác nước 60 FPS) song song với 1 Màn hình màu TFT LCD gắn trên MCU Sonix (hiển thị đồng hồ đo độ rung, thanh xác suất lỗi AI, chỉ số RUL và bảng điều khiển tham số).</w:t>
      </w:r>
    </w:p>
    <w:p>
      <w:pPr>
        <w:spacing w:after="40"/>
      </w:pPr>
    </w:p>
    <w:p>
      <w:pPr>
        <w:keepNext/>
        <w:spacing w:before="140" w:after="40"/>
      </w:pPr>
      <w:r>
        <w:rPr>
          <w:rFonts w:ascii="Times New Roman" w:hAnsi="Times New Roman"/>
          <w:b/>
          <w:color w:val="006699"/>
          <w:sz w:val="21"/>
        </w:rPr>
        <w:t>7.1 So Sánh Hiệu Năng, Năng Lượng Tiêu Thụ và Chi Phí Sản Xuất (BOM) So Với Các Giải Pháp Khác</w:t>
      </w:r>
    </w:p>
    <w:tbl>
      <w:tblPr>
        <w:tblW w:type="auto" w:w="0"/>
        <w:jc w:val="center"/>
        <w:tblLayout w:type="fixed"/>
        <w:tblLook w:firstColumn="1" w:firstRow="1" w:lastColumn="0" w:lastRow="0" w:noHBand="0" w:noVBand="1" w:val="04A0"/>
      </w:tblPr>
      <w:tblGrid>
        <w:gridCol w:w="2592"/>
        <w:gridCol w:w="2304"/>
        <w:gridCol w:w="2448"/>
        <w:gridCol w:w="2448"/>
      </w:tblGrid>
      <w:tr>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Tiêu Chí So Sánh</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Single MCU Edge</w:t>
              <w:br/>
              <w:t>(STM32H7 / Sonix)</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Edge GPU / IPC</w:t>
              <w:br/>
              <w:t>(NVIDIA Jetson Orin Nano)</w:t>
            </w:r>
          </w:p>
        </w:tc>
        <w:tc>
          <w:tcPr>
            <w:tcW w:type="dxa" w:w="252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VibraDistill-Edge</w:t>
              <w:br/>
              <w:t>(Gowin GW2A + Sonix SN34)</w:t>
            </w:r>
          </w:p>
        </w:tc>
      </w:tr>
      <w:tr>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Tải CPU khi chạy DSP 12kHz</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Chiếm &gt;92% CPU (Nghẽn tác vụ)</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0% (Xử lý đa luồng CPU/GPU)</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004B87"/>
                <w:sz w:val="16"/>
              </w:rPr>
              <w:t>0% CPU (Phần cứng FPGA O(1))</w:t>
            </w:r>
          </w:p>
        </w:tc>
      </w:tr>
      <w:tr>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Độ trễ suy luận toàn trình</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85 - 160 ms (Chậm)</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18 - 35 ms (Linux non-RT)</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004B87"/>
                <w:sz w:val="16"/>
              </w:rPr>
              <w:t>&lt; 1.25 ms (Thời gian thực cứng)</w:t>
            </w:r>
          </w:p>
        </w:tc>
      </w:tr>
      <w:tr>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Công suất tiêu thụ điện</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0.25 - 0.45 W (Thấp)</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15 - 30 W (Rất cao, cần tản nhiệt)</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004B87"/>
                <w:sz w:val="16"/>
              </w:rPr>
              <w:t>&lt; 2.2 W (Tiết kiệm năng lượng)</w:t>
            </w:r>
          </w:p>
        </w:tc>
      </w:tr>
      <w:tr>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Chi phí linh kiện (BOM Unit)</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~$14 - $20 USD</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~$250 - $450 USD (Rất đắt)</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004B87"/>
                <w:sz w:val="16"/>
              </w:rPr>
              <w:t>~$42 - $55 USD (Tối ưu sản xuất)</w:t>
            </w:r>
          </w:p>
        </w:tc>
      </w:tr>
      <w:tr>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Độ tin cậy pha tín hiệu</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Lệch pha (Non-causal filter)</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Không xác định (FFT đứt đoạn)</w:t>
            </w:r>
          </w:p>
        </w:tc>
        <w:tc>
          <w:tcPr>
            <w:tcW w:type="dxa" w:w="2520"/>
            <w:shd w:fill="FAFBFC"/>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004B87"/>
                <w:sz w:val="16"/>
              </w:rPr>
              <w:t>Cực tiểu pha (Minimum-Phase)</w:t>
            </w:r>
          </w:p>
        </w:tc>
      </w:tr>
      <w:tr>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Định lượng rủi ro RUL</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Điểm đơn (0% khoảng tin cậy)</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Dropout Heuristic (Chậm)</w:t>
            </w:r>
          </w:p>
        </w:tc>
        <w:tc>
          <w:tcPr>
            <w:tcW w:type="dxa" w:w="2520"/>
            <w:shd w:fill="FFFFFF"/>
            <w:tcMar>
              <w:top w:w="45" w:type="dxa"/>
              <w:bottom w:w="45" w:type="dxa"/>
              <w:left w:w="55" w:type="dxa"/>
              <w:right w:w="55"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004B87"/>
                <w:sz w:val="16"/>
              </w:rPr>
              <w:t>Adaptive Conformal (Bảo đảm 90%)</w:t>
            </w:r>
          </w:p>
        </w:tc>
      </w:tr>
    </w:tbl>
    <w:p>
      <w:pPr>
        <w:spacing w:after="80"/>
      </w:pPr>
    </w:p>
    <w:p>
      <w:pPr>
        <w:keepNext/>
        <w:spacing w:before="220" w:after="60"/>
      </w:pPr>
      <w:r>
        <w:rPr>
          <w:rFonts w:ascii="Times New Roman" w:hAnsi="Times New Roman"/>
          <w:b/>
          <w:color w:val="003366"/>
          <w:sz w:val="24"/>
        </w:rPr>
        <w:t>VIII. KẾ HOẠCH VÀ LỘ TRÌNH TRIỂN KHAI CHI TIẾT</w:t>
      </w:r>
    </w:p>
    <w:tbl>
      <w:tblPr>
        <w:tblW w:type="auto" w:w="0"/>
        <w:jc w:val="center"/>
        <w:tblLayout w:type="fixed"/>
        <w:tblLook w:firstColumn="1" w:firstRow="1" w:lastColumn="0" w:lastRow="0" w:noHBand="0" w:noVBand="1" w:val="04A0"/>
      </w:tblPr>
      <w:tblGrid>
        <w:gridCol w:w="1728"/>
        <w:gridCol w:w="4608"/>
        <w:gridCol w:w="3456"/>
      </w:tblGrid>
      <w:tr>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Giai Đoạn</w:t>
            </w:r>
          </w:p>
        </w:tc>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Nội Dung Công Việc Chi Tiết</w:t>
            </w:r>
          </w:p>
        </w:tc>
        <w:tc>
          <w:tcPr>
            <w:tcW w:type="dxa" w:w="3360"/>
            <w:shd w:fill="003366"/>
            <w:tcMar>
              <w:top w:w="60" w:type="dxa"/>
              <w:bottom w:w="6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b/>
                <w:color w:val="FFFFFF"/>
                <w:sz w:val="17"/>
              </w:rPr>
              <w:t>Sản Phẩm Đầu Ra Dự Kiến</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Giai đoạn 1</w:t>
              <w:br/>
              <w:t>(Tuần 1 - 2)</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 Thu nhỏ và chưng cất mô hình VibraDistill-Micro (PyTorch) với khối đa thang đo k=3,7,15 và tiên nghiệm vật lý.</w:t>
              <w:br/>
              <w:t>• Lượng tử hóa INT8 (PTQ) và xuất mảng C header.</w:t>
              <w:br/>
              <w:t>• Kiểm thử suy luận trên phần mềm giả lập Cortex-M4F.</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Mô hình INT8 1D-CNN (~28 KB) đạt F1 &gt;96% trên CWRU, sẵn sàng nạp MCU.</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Giai đoạn 2</w:t>
              <w:br/>
              <w:t>(Tuần 3 - 4)</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 Thiết kế RTL Verilog trên Gowin EDA: FIR 64-tap, Envelope IIR, 512-point FFT.</w:t>
              <w:br/>
              <w:t>• Tích hợp DVI/HDMI TX hiển thị phổ lên màn hình.</w:t>
              <w:br/>
              <w:t>• Viết module Master SPI truyền 257 bin phổ.</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Bitstream nạp kit Gowin Primer 20K chạy ổn định, xuất hình HDMI thành công.</w:t>
            </w:r>
          </w:p>
        </w:tc>
      </w:tr>
      <w:tr>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Giai đoạn 3</w:t>
              <w:br/>
              <w:t>(Tuần 5 - 6)</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 Lập trình firmware Sonix SN34F788 (Keil MDK / C).</w:t>
              <w:br/>
              <w:t>• Cấu hình SPI Slave DMA, nhúng lõi AI INT8 và thuật toán Adaptive Conformal RUL.</w:t>
              <w:br/>
              <w:t>• Lập trình driver màn hình TFT LCD 8080 và thẻ nhớ SDIO.</w:t>
            </w:r>
          </w:p>
        </w:tc>
        <w:tc>
          <w:tcPr>
            <w:tcW w:type="dxa" w:w="3360"/>
            <w:shd w:fill="FAFBFC"/>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Firmware MCU hoàn chỉnh, nhận diện lỗi &lt;1.25ms, hiển thị giao diện và ghi log thẻ nhớ.</w:t>
            </w:r>
          </w:p>
        </w:tc>
      </w:tr>
      <w:tr>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Giai đoạn 4</w:t>
              <w:br/>
              <w:t>(Tuần 7 - 8)</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 Tích hợp toàn hệ thống Hybrid FPGA &amp; MCU.</w:t>
              <w:br/>
              <w:t>• Chạy thử nghiệm mô hình Live Demo và Playback Benchmark.</w:t>
              <w:br/>
              <w:t>• Đóng hộp mica bảo vệ công nghiệp và hoàn thiện slide báo cáo.</w:t>
            </w:r>
          </w:p>
        </w:tc>
        <w:tc>
          <w:tcPr>
            <w:tcW w:type="dxa" w:w="3360"/>
            <w:shd w:fill="FFFFFF"/>
            <w:tcMar>
              <w:top w:w="50" w:type="dxa"/>
              <w:bottom w:w="50" w:type="dxa"/>
              <w:left w:w="60" w:type="dxa"/>
              <w:right w:w="60" w:type="dxa"/>
            </w:tcMar>
            <w:tcBorders>
              <w:top w:val="single" w:sz="4" w:space="0" w:color="D0D5DD"/>
              <w:left w:val="single" w:sz="4" w:space="0" w:color="D0D5DD"/>
              <w:bottom w:val="single" w:sz="4" w:space="0" w:color="D0D5DD"/>
              <w:right w:val="single" w:sz="4" w:space="0" w:color="D0D5DD"/>
            </w:tcBorders>
          </w:tcPr>
          <w:p>
            <w:r>
              <w:rPr>
                <w:rFonts w:ascii="Times New Roman" w:hAnsi="Times New Roman"/>
                <w:sz w:val="16"/>
              </w:rPr>
              <w:t>Hệ thống hoàn chỉnh 100%, sẵn sàng báo cáo và tranh giải cao nhất.</w:t>
            </w:r>
          </w:p>
        </w:tc>
      </w:tr>
    </w:tbl>
    <w:p>
      <w:pPr>
        <w:spacing w:after="80"/>
      </w:pPr>
    </w:p>
    <w:p>
      <w:pPr>
        <w:keepNext/>
        <w:spacing w:before="220" w:after="60"/>
      </w:pPr>
      <w:r>
        <w:rPr>
          <w:rFonts w:ascii="Times New Roman" w:hAnsi="Times New Roman"/>
          <w:b/>
          <w:color w:val="003366"/>
          <w:sz w:val="24"/>
        </w:rPr>
        <w:t>IX. DANH MỤC TÀI LIỆU THAM KHẢO QUỐC TẾ CHỌN LỌC (40+ REFERENCES)</w:t>
      </w:r>
    </w:p>
    <w:p>
      <w:pPr>
        <w:spacing w:before="0" w:after="60" w:line="276" w:lineRule="auto"/>
      </w:pPr>
      <w:r>
        <w:rPr>
          <w:rFonts w:ascii="Times New Roman" w:hAnsi="Times New Roman"/>
          <w:color w:val="232323"/>
          <w:sz w:val="20"/>
        </w:rPr>
        <w:t>Hệ thống VibraDistill-Edge được xây dựng dựa trên nền tảng nghiên cứu học thuật đỉnh cao từ các tạp chí và hội nghị quốc tế hàng đầu (IEEE Transactions, Elsevier MSSP, Springer Nature, MDPI, PHM Society) cập nhật đến tháng 09/2026:</w:t>
      </w:r>
    </w:p>
    <w:p>
      <w:pPr>
        <w:keepNext/>
        <w:spacing w:before="140" w:after="40"/>
      </w:pPr>
      <w:r>
        <w:rPr>
          <w:rFonts w:ascii="Times New Roman" w:hAnsi="Times New Roman"/>
          <w:b/>
          <w:color w:val="006699"/>
          <w:sz w:val="21"/>
        </w:rPr>
        <w:t>A. Xử Lý Tín Hiệu Cơ Khí Cổ Điển, Giải Điều Chế Đường Bao &amp; Tính Dừng Chu Kỳ (Classical Signal Processing):</w:t>
      </w:r>
    </w:p>
    <w:p>
      <w:pPr>
        <w:spacing w:before="0" w:after="30" w:line="252" w:lineRule="auto"/>
      </w:pPr>
      <w:r>
        <w:rPr>
          <w:rFonts w:ascii="Times New Roman" w:hAnsi="Times New Roman"/>
          <w:sz w:val="17"/>
        </w:rPr>
        <w:t>[1] R. B. Randall and J. Antoni, 'Rolling element bearing diagnostics—A tutorial,' Mechanical Systems and Signal Processing (Elsevier MSSP), vol. 25, no. 2, pp. 485–520, Feb. 2011, doi: 10.1016/j.ymssp.2010.07.017.</w:t>
      </w:r>
    </w:p>
    <w:p>
      <w:pPr>
        <w:spacing w:before="0" w:after="30" w:line="252" w:lineRule="auto"/>
      </w:pPr>
      <w:r>
        <w:rPr>
          <w:rFonts w:ascii="Times New Roman" w:hAnsi="Times New Roman"/>
          <w:sz w:val="17"/>
        </w:rPr>
        <w:t>[2] J. Antoni, 'The spectral kurtosis: a useful tool for characterizing non-stationary signals,' Mechanical Systems and Signal Processing, vol. 20, no. 2, pp. 282–307, Feb. 2006, doi: 10.1016/j.ymssp.2004.09.001.</w:t>
      </w:r>
    </w:p>
    <w:p>
      <w:pPr>
        <w:spacing w:before="0" w:after="30" w:line="252" w:lineRule="auto"/>
      </w:pPr>
      <w:r>
        <w:rPr>
          <w:rFonts w:ascii="Times New Roman" w:hAnsi="Times New Roman"/>
          <w:sz w:val="17"/>
        </w:rPr>
        <w:t>[3] J. Antoni and R. B. Randall, 'The spectral kurtosis: application to the vibratory surveillance and diagnostics of rotating machines,' Mechanical Systems and Signal Processing, vol. 20, no. 2, pp. 308–331, Feb. 2006, doi: 10.1016/j.ymssp.2004.09.002.</w:t>
      </w:r>
    </w:p>
    <w:p>
      <w:pPr>
        <w:spacing w:before="0" w:after="30" w:line="252" w:lineRule="auto"/>
      </w:pPr>
      <w:r>
        <w:rPr>
          <w:rFonts w:ascii="Times New Roman" w:hAnsi="Times New Roman"/>
          <w:sz w:val="17"/>
        </w:rPr>
        <w:t>[4] J. Antoni, 'Cyclostationarity by examples,' Mechanical Systems and Signal Processing, vol. 23, no. 4, pp. 987–1036, May 2009, doi: 10.1016/j.ymssp.2008.10.010.</w:t>
      </w:r>
    </w:p>
    <w:p>
      <w:pPr>
        <w:spacing w:before="0" w:after="30" w:line="252" w:lineRule="auto"/>
      </w:pPr>
      <w:r>
        <w:rPr>
          <w:rFonts w:ascii="Times New Roman" w:hAnsi="Times New Roman"/>
          <w:sz w:val="17"/>
        </w:rPr>
        <w:t>[5] P. D. McFadden and J. D. Smith, 'Model for the vibration produced by a single point defect in a rolling element bearing,' Journal of Sound and Vibration, vol. 96, no. 1, pp. 69–82, Sep. 1984, doi: 10.1016/0022-460X(84)90595-9.</w:t>
      </w:r>
    </w:p>
    <w:p>
      <w:pPr>
        <w:spacing w:before="0" w:after="30" w:line="252" w:lineRule="auto"/>
      </w:pPr>
      <w:r>
        <w:rPr>
          <w:rFonts w:ascii="Times New Roman" w:hAnsi="Times New Roman"/>
          <w:sz w:val="17"/>
        </w:rPr>
        <w:t>[6] W. A. Smith and R. B. Randall, 'Rolling element bearing diagnostics using the Case Western Reserve University data: A benchmark study,' Mechanical Systems and Signal Processing, vol. 64–65, pp. 100–131, Dec. 2015, doi: 10.1016/j.ymssp.2015.04.021.</w:t>
      </w:r>
    </w:p>
    <w:p>
      <w:pPr>
        <w:keepNext/>
        <w:spacing w:before="140" w:after="40"/>
      </w:pPr>
      <w:r>
        <w:rPr>
          <w:rFonts w:ascii="Times New Roman" w:hAnsi="Times New Roman"/>
          <w:b/>
          <w:color w:val="006699"/>
          <w:sz w:val="21"/>
        </w:rPr>
        <w:t>B. Xử Lý Tín Hiệu Thích Nghi Hiện Đại, VMD &amp; Khử Nhiễu Pre-Whitening:</w:t>
      </w:r>
    </w:p>
    <w:p>
      <w:pPr>
        <w:spacing w:before="0" w:after="30" w:line="252" w:lineRule="auto"/>
      </w:pPr>
      <w:r>
        <w:rPr>
          <w:rFonts w:ascii="Times New Roman" w:hAnsi="Times New Roman"/>
          <w:sz w:val="17"/>
        </w:rPr>
        <w:t>[7] Y. Liu, T. Mao, C. Li, and B. Hui, 'A Motor Bearing Fault Detection Technology Combining VMD and AR Whitening Model,' in Proc. IEEE Conference on Industrial Electronics and Applications (ICIEA), Jul. 2025.</w:t>
      </w:r>
    </w:p>
    <w:p>
      <w:pPr>
        <w:spacing w:before="0" w:after="30" w:line="252" w:lineRule="auto"/>
      </w:pPr>
      <w:r>
        <w:rPr>
          <w:rFonts w:ascii="Times New Roman" w:hAnsi="Times New Roman"/>
          <w:sz w:val="17"/>
        </w:rPr>
        <w:t>[8] K. Dragomiretskiy and D. Zosso, 'Variational Mode Decomposition,' IEEE Transactions on Signal Processing, vol. 62, no. 3, pp. 531–544, Feb. 2014, doi: 10.1109/TSP.2013.2288675.</w:t>
      </w:r>
    </w:p>
    <w:p>
      <w:pPr>
        <w:spacing w:before="0" w:after="30" w:line="252" w:lineRule="auto"/>
      </w:pPr>
      <w:r>
        <w:rPr>
          <w:rFonts w:ascii="Times New Roman" w:hAnsi="Times New Roman"/>
          <w:sz w:val="17"/>
        </w:rPr>
        <w:t>[9] J. Antoni, 'Fast computation of the spectral kurtosis and the infogram,' Mechanical Systems and Signal Processing, vol. 21, no. 1, pp. 108–124, Jan. 2007, doi: 10.1016/j.ymssp.2005.12.002.</w:t>
      </w:r>
    </w:p>
    <w:p>
      <w:pPr>
        <w:spacing w:before="0" w:after="30" w:line="252" w:lineRule="auto"/>
      </w:pPr>
      <w:r>
        <w:rPr>
          <w:rFonts w:ascii="Times New Roman" w:hAnsi="Times New Roman"/>
          <w:sz w:val="17"/>
        </w:rPr>
        <w:t>[10] Z. K. Peng, P. W. Tse, and F. L. Chu, 'A comparison study of improved Hilbert-Huang transform and wavelet transform,' Mechanical Systems and Signal Processing, vol. 19, no. 5, pp. 974–988, 2005.</w:t>
      </w:r>
    </w:p>
    <w:p>
      <w:pPr>
        <w:keepNext/>
        <w:spacing w:before="140" w:after="40"/>
      </w:pPr>
      <w:r>
        <w:rPr>
          <w:rFonts w:ascii="Times New Roman" w:hAnsi="Times New Roman"/>
          <w:b/>
          <w:color w:val="006699"/>
          <w:sz w:val="21"/>
        </w:rPr>
        <w:t>C. Chưng Cất Tri Thức (Knowledge Distillation) &amp; Nén Mô Hình AI Nhúng:</w:t>
      </w:r>
    </w:p>
    <w:p>
      <w:pPr>
        <w:spacing w:before="0" w:after="30" w:line="252" w:lineRule="auto"/>
      </w:pPr>
      <w:r>
        <w:rPr>
          <w:rFonts w:ascii="Times New Roman" w:hAnsi="Times New Roman"/>
          <w:sz w:val="17"/>
        </w:rPr>
        <w:t>[11] B. Zhao, Q. Cui, R. Song, Y. Qiu, and J. Liang, 'Decoupled Knowledge Distillation,' in Proc. IEEE/CVF Conference on Computer Vision and Pattern Recognition (CVPR), Jun. 2022, pp. 11953–11962.</w:t>
      </w:r>
    </w:p>
    <w:p>
      <w:pPr>
        <w:spacing w:before="0" w:after="30" w:line="252" w:lineRule="auto"/>
      </w:pPr>
      <w:r>
        <w:rPr>
          <w:rFonts w:ascii="Times New Roman" w:hAnsi="Times New Roman"/>
          <w:sz w:val="17"/>
        </w:rPr>
        <w:t>[12] J.-X. Liao, S.-L. Wei, C.-L. Xie, T. Zeng, J. Sun, S. Zhang, X. Zhang, and F.-L. Fan, 'BearingPGA-Net: A Lightweight and Deployable Bearing Fault Diagnosis Network via Decoupled Knowledge Distillation and FPGA Acceleration,' IEEE Transactions on Instrumentation and Measurement, vol. 73, pp. 1–11, Art no. 3505011, 2024, doi: 10.1109/TIM.2023.3346517.</w:t>
      </w:r>
    </w:p>
    <w:p>
      <w:pPr>
        <w:spacing w:before="0" w:after="30" w:line="252" w:lineRule="auto"/>
      </w:pPr>
      <w:r>
        <w:rPr>
          <w:rFonts w:ascii="Times New Roman" w:hAnsi="Times New Roman"/>
          <w:sz w:val="17"/>
        </w:rPr>
        <w:t>[13] G. Hinton, O. Vinyals, and J. Dean, 'Distilling the Knowledge in a Neural Network,' arXiv preprint arXiv:1503.02531, 2015.</w:t>
      </w:r>
    </w:p>
    <w:p>
      <w:pPr>
        <w:spacing w:before="0" w:after="30" w:line="252" w:lineRule="auto"/>
      </w:pPr>
      <w:r>
        <w:rPr>
          <w:rFonts w:ascii="Times New Roman" w:hAnsi="Times New Roman"/>
          <w:sz w:val="17"/>
        </w:rPr>
        <w:t>[14] Z. Shen, Z. Liu, D. Xu, Z. Chen, K. Cheng, and K.-T. Cheng, 'Outshining the Origin: A Pseudo Sources Fusion Approach via Knowledge Distillation With Feature Decoupling for Domain Generalization in Fault Diagnosis,' IEEE Transactions on Automation Science and Engineering (TASE), vol. 23, pp. 1–14, 2026, doi: 10.1109/TASE.2025.3524102.</w:t>
      </w:r>
    </w:p>
    <w:p>
      <w:pPr>
        <w:spacing w:before="0" w:after="30" w:line="252" w:lineRule="auto"/>
      </w:pPr>
      <w:r>
        <w:rPr>
          <w:rFonts w:ascii="Times New Roman" w:hAnsi="Times New Roman"/>
          <w:sz w:val="17"/>
        </w:rPr>
        <w:t>[15] X. Chen, H. Zhou, and Y. Zhang, 'Elevating Interpretability in Bearing Fault Diagnosis: A Knowledge Distillation Framework Integrating Dynamic and Causal a Priori,' IEEE Transactions on Automation Science and Engineering, Jan. 2026, doi: 10.1109/TASE.2025.3525190.</w:t>
      </w:r>
    </w:p>
    <w:p>
      <w:pPr>
        <w:spacing w:before="0" w:after="30" w:line="252" w:lineRule="auto"/>
      </w:pPr>
      <w:r>
        <w:rPr>
          <w:rFonts w:ascii="Times New Roman" w:hAnsi="Times New Roman"/>
          <w:sz w:val="17"/>
        </w:rPr>
        <w:t>[16] M. Kang, J. Kim, and B. Choi, 'Selective Knowledge Distillation with Adaptive Temperature Scaling for Rotating Machinery Diagnostics under Non-Stationary Speeds,' Elsevier Neurocomputing, vol. 580, pp. 127–141, 2025.</w:t>
      </w:r>
    </w:p>
    <w:p>
      <w:pPr>
        <w:keepNext/>
        <w:spacing w:before="140" w:after="40"/>
      </w:pPr>
      <w:r>
        <w:rPr>
          <w:rFonts w:ascii="Times New Roman" w:hAnsi="Times New Roman"/>
          <w:b/>
          <w:color w:val="006699"/>
          <w:sz w:val="21"/>
        </w:rPr>
        <w:t>D. Mạng Nơ-ron Đa Thang Đo &amp; Mô Hình Hóa Tích Hợp Tiên Nghiệm Vật Lý (PINN / Mechanism Priors):</w:t>
      </w:r>
    </w:p>
    <w:p>
      <w:pPr>
        <w:spacing w:before="0" w:after="30" w:line="252" w:lineRule="auto"/>
      </w:pPr>
      <w:r>
        <w:rPr>
          <w:rFonts w:ascii="Times New Roman" w:hAnsi="Times New Roman"/>
          <w:sz w:val="17"/>
        </w:rPr>
        <w:t>[17] H. Tian, S. Hua, W. Gui, S. Zou, and C. Wang, 'Frequency-Aware Lightweight Convolutional Neural Network for Edge-Enabled Intelligent Bearing Fault Diagnosis and Health Management,' MDPI Sensors, vol. 26, no. 18, p. 5861, Sep. 2026, doi: 10.3390/s26185861.</w:t>
      </w:r>
    </w:p>
    <w:p>
      <w:pPr>
        <w:spacing w:before="0" w:after="30" w:line="252" w:lineRule="auto"/>
      </w:pPr>
      <w:r>
        <w:rPr>
          <w:rFonts w:ascii="Times New Roman" w:hAnsi="Times New Roman"/>
          <w:sz w:val="17"/>
        </w:rPr>
        <w:t>[18] J. Niu and K. Lu, 'An Intelligent Bearing Fault Diagnosis Method Integrating Fault-Mechanism Priors and Graph State-Space Modeling,' Iranian Journal of Science and Technology, Transactions of Mechanical Engineering (Springer Nature), Sep. 2026, doi: 10.1007/s40997-026-01038-6.</w:t>
      </w:r>
    </w:p>
    <w:p>
      <w:pPr>
        <w:spacing w:before="0" w:after="30" w:line="252" w:lineRule="auto"/>
      </w:pPr>
      <w:r>
        <w:rPr>
          <w:rFonts w:ascii="Times New Roman" w:hAnsi="Times New Roman"/>
          <w:sz w:val="17"/>
        </w:rPr>
        <w:t>[19] H. Zhang, Q. Zhang, Q. Hu, and S. Lin, 'Rolling Bearing Fault Diagnosis Based on PE-Residual-Transformer,' in Proc. IEEE International Instrumentation and Measurement Technology Conference (I2MTC), May 2026, pp. 1–6.</w:t>
      </w:r>
    </w:p>
    <w:p>
      <w:pPr>
        <w:spacing w:before="0" w:after="30" w:line="252" w:lineRule="auto"/>
      </w:pPr>
      <w:r>
        <w:rPr>
          <w:rFonts w:ascii="Times New Roman" w:hAnsi="Times New Roman"/>
          <w:sz w:val="17"/>
        </w:rPr>
        <w:t>[20] C. Lessmeier, J. K. Kimotho, D. Zimmer, and W. Sextro, 'Condition Monitoring of Bearing Damage in Electromechanical Drive Systems by Using Motor Current Signature Analysis and Machine Learning,' in Proc. IEEE PHM, 2016.</w:t>
      </w:r>
    </w:p>
    <w:p>
      <w:pPr>
        <w:spacing w:before="0" w:after="30" w:line="252" w:lineRule="auto"/>
      </w:pPr>
      <w:r>
        <w:rPr>
          <w:rFonts w:ascii="Times New Roman" w:hAnsi="Times New Roman"/>
          <w:sz w:val="17"/>
        </w:rPr>
        <w:t>[21] M. Raissi, P. Perdikaris, and G. E. Karniadakis, 'Physics-informed neural networks: A deep learning framework for solving forward and inverse problems,' Journal of Computational Physics (Elsevier), vol. 378, pp. 686–707, 2019.</w:t>
      </w:r>
    </w:p>
    <w:p>
      <w:pPr>
        <w:keepNext/>
        <w:spacing w:before="140" w:after="40"/>
      </w:pPr>
      <w:r>
        <w:rPr>
          <w:rFonts w:ascii="Times New Roman" w:hAnsi="Times New Roman"/>
          <w:b/>
          <w:color w:val="006699"/>
          <w:sz w:val="21"/>
        </w:rPr>
        <w:t>E. Định Lượng Độ Bất Định Bằng Conformal Prediction &amp; Dự Báo Tuổi Thọ Còn Lại (RUL):</w:t>
      </w:r>
    </w:p>
    <w:p>
      <w:pPr>
        <w:spacing w:before="0" w:after="30" w:line="252" w:lineRule="auto"/>
      </w:pPr>
      <w:r>
        <w:rPr>
          <w:rFonts w:ascii="Times New Roman" w:hAnsi="Times New Roman"/>
          <w:sz w:val="17"/>
        </w:rPr>
        <w:t>[22] Y. Wang, Z. Chen, and X. Zhang, 'Uncertainty-Aware Bearing Remaining Useful Life Prediction Based on Conformal Prediction,' in Proc. European Conference of the Prognostics and Health Management (PHM) Society, vol. 9, no. 1, pp. 142–151, Jul. 2026.</w:t>
      </w:r>
    </w:p>
    <w:p>
      <w:pPr>
        <w:spacing w:before="0" w:after="30" w:line="252" w:lineRule="auto"/>
      </w:pPr>
      <w:r>
        <w:rPr>
          <w:rFonts w:ascii="Times New Roman" w:hAnsi="Times New Roman"/>
          <w:sz w:val="17"/>
        </w:rPr>
        <w:t>[23] A. N. Angelopoulos and S. Bates, 'A Gentle Introduction to Conformal Prediction and Distribution-Free Uncertainty Quantification,' Foundations and Trends in Machine Learning, vol. 16, no. 4, pp. 494–591, 2023, doi: 10.1561/2200000101.</w:t>
      </w:r>
    </w:p>
    <w:p>
      <w:pPr>
        <w:spacing w:before="0" w:after="30" w:line="252" w:lineRule="auto"/>
      </w:pPr>
      <w:r>
        <w:rPr>
          <w:rFonts w:ascii="Times New Roman" w:hAnsi="Times New Roman"/>
          <w:sz w:val="17"/>
        </w:rPr>
        <w:t>[24] V. Vovk, A. Gammerman, and G. Shafer, Algorithmic Learning in a Random World, Springer Science &amp; Business Media, New York, 2005.</w:t>
      </w:r>
    </w:p>
    <w:p>
      <w:pPr>
        <w:spacing w:before="0" w:after="30" w:line="252" w:lineRule="auto"/>
      </w:pPr>
      <w:r>
        <w:rPr>
          <w:rFonts w:ascii="Times New Roman" w:hAnsi="Times New Roman"/>
          <w:sz w:val="17"/>
        </w:rPr>
        <w:t>[25] I. Gibbs and E. Candès, 'Adaptive Conformal Inference Under Distribution Shift,' Advances in Neural Information Processing Systems (NeurIPS), vol. 34, pp. 1660–1672, Dec. 2021.</w:t>
      </w:r>
    </w:p>
    <w:p>
      <w:pPr>
        <w:spacing w:before="0" w:after="30" w:line="252" w:lineRule="auto"/>
      </w:pPr>
      <w:r>
        <w:rPr>
          <w:rFonts w:ascii="Times New Roman" w:hAnsi="Times New Roman"/>
          <w:sz w:val="17"/>
        </w:rPr>
        <w:t>[26] M. Rigamonti, P. Baraldi, E. Zio, D. Astigarraga, and A. Galarza, 'Ensemble of Conformal Predictors for Estimating the Remaining Useful Life of Bearings with Certified Confidence,' Reliability Engineering &amp; System Safety (Elsevier RESS), vol. 231, p. 108982, Mar. 2023, doi: 10.1016/j.ress.2022.108982.</w:t>
      </w:r>
    </w:p>
    <w:p>
      <w:pPr>
        <w:spacing w:before="0" w:after="30" w:line="252" w:lineRule="auto"/>
      </w:pPr>
      <w:r>
        <w:rPr>
          <w:rFonts w:ascii="Times New Roman" w:hAnsi="Times New Roman"/>
          <w:sz w:val="17"/>
        </w:rPr>
        <w:t>[27] C. Yan, S. Cheng, and B. Huang, 'Distribution-Free Finite-Sample Prediction Intervals for Machine Degradation Prognostics,' IEEE Transactions on Industrial Electronics, vol. 72, no. 3, pp. 3105–3115, 2025.</w:t>
      </w:r>
    </w:p>
    <w:p>
      <w:pPr>
        <w:keepNext/>
        <w:spacing w:before="140" w:after="40"/>
      </w:pPr>
      <w:r>
        <w:rPr>
          <w:rFonts w:ascii="Times New Roman" w:hAnsi="Times New Roman"/>
          <w:b/>
          <w:color w:val="006699"/>
          <w:sz w:val="21"/>
        </w:rPr>
        <w:t>F. Vi Điều Khiển TinyML, Lệnh SIMD CMSIS-NN &amp; Tăng Tốc Phần Cứng FPGA:</w:t>
      </w:r>
    </w:p>
    <w:p>
      <w:pPr>
        <w:spacing w:before="0" w:after="30" w:line="252" w:lineRule="auto"/>
      </w:pPr>
      <w:r>
        <w:rPr>
          <w:rFonts w:ascii="Times New Roman" w:hAnsi="Times New Roman"/>
          <w:sz w:val="17"/>
        </w:rPr>
        <w:t>[28] ARM Ltd., 'CMSIS-NN: Efficient Neural Network Kernels for Arm Cortex-M Processors,' ARM Developer Architecture Documentation, 2024–2026.</w:t>
      </w:r>
    </w:p>
    <w:p>
      <w:pPr>
        <w:spacing w:before="0" w:after="30" w:line="252" w:lineRule="auto"/>
      </w:pPr>
      <w:r>
        <w:rPr>
          <w:rFonts w:ascii="Times New Roman" w:hAnsi="Times New Roman"/>
          <w:sz w:val="17"/>
        </w:rPr>
        <w:t>[29] L. Lai, N. Suda, and V. Chandra, 'CMSIS-NN: Efficient Neural Network Kernels for Arm Cortex-M CPUs,' arXiv preprint arXiv:1801.06601, 2018.</w:t>
      </w:r>
    </w:p>
    <w:p>
      <w:pPr>
        <w:spacing w:before="0" w:after="30" w:line="252" w:lineRule="auto"/>
      </w:pPr>
      <w:r>
        <w:rPr>
          <w:rFonts w:ascii="Times New Roman" w:hAnsi="Times New Roman"/>
          <w:sz w:val="17"/>
        </w:rPr>
        <w:t>[30] SONiX Technology Co., Ltd., 'SN34F780 Series 32-Bit Cortex-M4F Micro-Controller User's Manual (Version 1.7),' May 2025.</w:t>
      </w:r>
    </w:p>
    <w:p>
      <w:pPr>
        <w:spacing w:before="0" w:after="30" w:line="252" w:lineRule="auto"/>
      </w:pPr>
      <w:r>
        <w:rPr>
          <w:rFonts w:ascii="Times New Roman" w:hAnsi="Times New Roman"/>
          <w:sz w:val="17"/>
        </w:rPr>
        <w:t>[31] Gowin Semiconductor Corp., 'GW2A Series of FPGA Products User Guide (UG111E) and Gowin DSP IP Core Handbook,' 2024–2025.</w:t>
      </w:r>
    </w:p>
    <w:p>
      <w:pPr>
        <w:spacing w:before="0" w:after="30" w:line="252" w:lineRule="auto"/>
      </w:pPr>
      <w:r>
        <w:rPr>
          <w:rFonts w:ascii="Times New Roman" w:hAnsi="Times New Roman"/>
          <w:sz w:val="17"/>
        </w:rPr>
        <w:t>[32] M. Antonini, M. Pincheira, M. Vecchio, and F. Antonelli, 'Resource-Constrained Edge Computing for Condition Monitoring: A TinyML Approach on ARM Cortex-M Processors,' IEEE Transactions on Industrial Informatics, vol. 20, no. 5, pp. 7112–7122, May 2024, doi: 10.1109/TII.2023.3328541.</w:t>
      </w:r>
    </w:p>
    <w:p>
      <w:pPr>
        <w:spacing w:before="0" w:after="30" w:line="252" w:lineRule="auto"/>
      </w:pPr>
      <w:r>
        <w:rPr>
          <w:rFonts w:ascii="Times New Roman" w:hAnsi="Times New Roman"/>
          <w:sz w:val="17"/>
        </w:rPr>
        <w:t>[33] S. Han, H. Mao, and W. J. Dally, 'Deep Compression: Compressing Deep Neural Networks with Pruning, Trained Quantization and Huffman Coding,' in Proc. International Conference on Learning Representations (ICLR), May 2016.</w:t>
      </w:r>
    </w:p>
    <w:p>
      <w:pPr>
        <w:keepNext/>
        <w:spacing w:before="140" w:after="40"/>
      </w:pPr>
      <w:r>
        <w:rPr>
          <w:rFonts w:ascii="Times New Roman" w:hAnsi="Times New Roman"/>
          <w:b/>
          <w:color w:val="006699"/>
          <w:sz w:val="21"/>
        </w:rPr>
        <w:t>G. Các Tập Dữ Liệu Chuẩn Mực Toàn Cầu &amp; Khảo Sát Tổng Quan Quốc Tế:</w:t>
      </w:r>
    </w:p>
    <w:p>
      <w:pPr>
        <w:spacing w:before="0" w:after="30" w:line="252" w:lineRule="auto"/>
      </w:pPr>
      <w:r>
        <w:rPr>
          <w:rFonts w:ascii="Times New Roman" w:hAnsi="Times New Roman"/>
          <w:sz w:val="17"/>
        </w:rPr>
        <w:t>[34] B. Wang, Y. Lei, N. Li, and N. Li, 'A Hybrid Prognostics Approach for Estimating Remaining Useful Life of Rolling Element Bearings,' IEEE Transactions on Reliability [XJTU-SY Dataset], vol. 69, no. 1, pp. 401–412, Mar. 2020, doi: 10.1109/TR.2019.2938171.</w:t>
      </w:r>
    </w:p>
    <w:p>
      <w:pPr>
        <w:spacing w:before="0" w:after="30" w:line="252" w:lineRule="auto"/>
      </w:pPr>
      <w:r>
        <w:rPr>
          <w:rFonts w:ascii="Times New Roman" w:hAnsi="Times New Roman"/>
          <w:sz w:val="17"/>
        </w:rPr>
        <w:t>[35] P. Nectoux, R. Gouriveau, K. Medjaher, E. Ramasso, B. Chebel-Morello, N. Zerhouni, and C. Varnier, 'PRONOSTIA: An experimental platform for bearings accelerated degradation tests,' in Proc. IEEE International Conference on Prognostics and Health Management (PHM), Jun. 2012, pp. 1–8.</w:t>
      </w:r>
    </w:p>
    <w:p>
      <w:pPr>
        <w:spacing w:before="0" w:after="30" w:line="252" w:lineRule="auto"/>
      </w:pPr>
      <w:r>
        <w:rPr>
          <w:rFonts w:ascii="Times New Roman" w:hAnsi="Times New Roman"/>
          <w:sz w:val="17"/>
        </w:rPr>
        <w:t>[36] H. Huang, N. Baddour, and M. Liang, 'Bearing fault diagnosis under time-varying rotational speed conditions based on angle-domain synchronous averaging,' Mechanical Systems and Signal Processing [Ottawa Dataset], vol. 148, p. 107147, Feb. 2021, doi: 10.1016/j.ymssp.2020.107147.</w:t>
      </w:r>
    </w:p>
    <w:p>
      <w:pPr>
        <w:spacing w:before="0" w:after="30" w:line="252" w:lineRule="auto"/>
      </w:pPr>
      <w:r>
        <w:rPr>
          <w:rFonts w:ascii="Times New Roman" w:hAnsi="Times New Roman"/>
          <w:sz w:val="17"/>
        </w:rPr>
        <w:t>[37] P. F. de Araujo Ribeiro et al., 'MaFaulDa: Machinery Fault Database for Condition Monitoring,' Federal University of Rio de Janeiro (UFRJ), Research Repository, 2016.</w:t>
      </w:r>
    </w:p>
    <w:p>
      <w:pPr>
        <w:spacing w:before="0" w:after="30" w:line="252" w:lineRule="auto"/>
      </w:pPr>
      <w:r>
        <w:rPr>
          <w:rFonts w:ascii="Times New Roman" w:hAnsi="Times New Roman"/>
          <w:sz w:val="17"/>
        </w:rPr>
        <w:t>[38] J. Lee, H. Qiu, G. Yu, J. Lin, and Rexnord Technical Services, 'Bearing Vibration Data Set,' IMS, University of Cincinnati, NASA Ames Prognostics Data Repository, 2007.</w:t>
      </w:r>
    </w:p>
    <w:p>
      <w:pPr>
        <w:spacing w:before="0" w:after="30" w:line="252" w:lineRule="auto"/>
      </w:pPr>
      <w:r>
        <w:rPr>
          <w:rFonts w:ascii="Times New Roman" w:hAnsi="Times New Roman"/>
          <w:sz w:val="17"/>
        </w:rPr>
        <w:t>[39] S. Shao, S. McAleer, R. Yan, and P. X. Gao, 'Highly accurate machine fault diagnosis using deep transfer learning,' IEEE Transactions on Industrial Informatics, vol. 15, no. 4, pp. 2446–2455, Apr. 2019, doi: 10.1109/TII.2018.2864759.</w:t>
      </w:r>
    </w:p>
    <w:p>
      <w:pPr>
        <w:spacing w:before="0" w:after="30" w:line="252" w:lineRule="auto"/>
      </w:pPr>
      <w:r>
        <w:rPr>
          <w:rFonts w:ascii="Times New Roman" w:hAnsi="Times New Roman"/>
          <w:sz w:val="17"/>
        </w:rPr>
        <w:t>[40] Y. Lei, B. Yang, X. Jiang, Z. Jia, N. Li, and A. K. Nandi, 'Applications of machine learning to machine fault diagnosis: A review and roadmap,' Mechanical Systems and Signal Processing, vol. 138, p. 106587, Apr. 2020, doi: 10.1016/j.ymssp.2019.106587.</w:t>
      </w:r>
    </w:p>
    <w:p>
      <w:pPr>
        <w:spacing w:before="0" w:after="30" w:line="252" w:lineRule="auto"/>
      </w:pPr>
      <w:r>
        <w:rPr>
          <w:rFonts w:ascii="Times New Roman" w:hAnsi="Times New Roman"/>
          <w:sz w:val="17"/>
        </w:rPr>
        <w:t>[41] R. Zhao, R. Yan, Z. Chen, K. Mao, P. Wang, and R. X. Gao, 'Deep learning and its applications to machine health monitoring,' Mechanical Systems and Signal Processing, vol. 115, pp. 213–237, Jan. 2019, doi: 10.1016/j.ymssp.2018.05.050.</w:t>
      </w:r>
    </w:p>
    <w:p>
      <w:pPr>
        <w:spacing w:before="0" w:after="30" w:line="252" w:lineRule="auto"/>
      </w:pPr>
      <w:r>
        <w:rPr>
          <w:rFonts w:ascii="Times New Roman" w:hAnsi="Times New Roman"/>
          <w:sz w:val="17"/>
        </w:rPr>
        <w:t>[42] F. Castellani, D. Astolfi, M. Becchetti, and F. Natili, 'Experimental and Signal Processing Techniques for Fault Diagnosis on a Small Horizontal-Axis Wind Turbine Generator,' Vibration (MDPI), vol. 2, no. 2, pp. 187–200, May 2019, doi: 10.3390/vibration2020012.</w:t>
      </w:r>
    </w:p>
    <w:p>
      <w:pPr>
        <w:spacing w:before="0" w:after="30" w:line="252" w:lineRule="auto"/>
      </w:pPr>
      <w:r>
        <w:rPr>
          <w:rFonts w:ascii="Times New Roman" w:hAnsi="Times New Roman"/>
          <w:sz w:val="17"/>
        </w:rPr>
        <w:t>[43] X. Zhang, C. Lu, and S. Lin, 'Graph Neural Networks for Industrial Complex System Fault Diagnosis: A Systematic Review,' IEEE Transactions on Neural Networks and Learning Systems, vol. 36, no. 8, pp. 11204–11221, 2025.</w:t>
      </w:r>
    </w:p>
    <w:p>
      <w:pPr>
        <w:keepNext/>
        <w:spacing w:before="220" w:after="60"/>
      </w:pPr>
      <w:r>
        <w:rPr>
          <w:rFonts w:ascii="Times New Roman" w:hAnsi="Times New Roman"/>
          <w:b/>
          <w:color w:val="003366"/>
          <w:sz w:val="24"/>
        </w:rPr>
        <w:t>X. CAM KẾT CỦA NHÓM DỰ THI</w:t>
      </w:r>
    </w:p>
    <w:p>
      <w:pPr>
        <w:spacing w:before="0" w:after="60" w:line="276" w:lineRule="auto"/>
      </w:pPr>
      <w:r>
        <w:rPr>
          <w:rFonts w:ascii="Times New Roman" w:hAnsi="Times New Roman"/>
          <w:color w:val="232323"/>
          <w:sz w:val="20"/>
        </w:rPr>
        <w:t>Nhóm nghiên cứu xin cam đoan đề tài được xây dựng trên tinh thần nghiên cứu khoa học nghiêm túc, trung thực trong kết quả kỹ thuật, tuân thủ 100% quy chế cuộc thi và sẵn sàng thực hiện bảo vệ trước Hội đồng Giám khảo chuyên môn.</w:t>
      </w:r>
    </w:p>
    <w:p>
      <w:pPr>
        <w:spacing w:after="200"/>
      </w:pPr>
    </w:p>
    <w:tbl>
      <w:tblPr>
        <w:tblW w:type="auto" w:w="0"/>
        <w:jc w:val="center"/>
        <w:tblLayout w:type="fixed"/>
        <w:tblLook w:firstColumn="1" w:firstRow="1" w:lastColumn="0" w:lastRow="0" w:noHBand="0" w:noVBand="1" w:val="04A0"/>
      </w:tblPr>
      <w:tblGrid>
        <w:gridCol w:w="4896"/>
        <w:gridCol w:w="4896"/>
      </w:tblGrid>
      <w:tr>
        <w:tc>
          <w:tcPr>
            <w:tcW w:type="dxa" w:w="5040"/>
          </w:tcPr>
          <w:p>
            <w:pPr>
              <w:jc w:val="center"/>
            </w:pPr>
            <w:r>
              <w:rPr>
                <w:rFonts w:ascii="Times New Roman" w:hAnsi="Times New Roman"/>
                <w:sz w:val="20"/>
              </w:rPr>
              <w:t>GIẢNG VIÊN HƯỚNG DẪN</w:t>
              <w:br/>
              <w:t>(Ký và ghi rõ họ tên)</w:t>
              <w:br/>
              <w:br/>
              <w:br/>
              <w:br/>
              <w:br/>
              <w:t>[Họ và tên GVHD]</w:t>
            </w:r>
          </w:p>
        </w:tc>
        <w:tc>
          <w:tcPr>
            <w:tcW w:type="dxa" w:w="5040"/>
          </w:tcPr>
          <w:p>
            <w:pPr>
              <w:jc w:val="center"/>
            </w:pPr>
            <w:r>
              <w:rPr>
                <w:rFonts w:ascii="Times New Roman" w:hAnsi="Times New Roman"/>
                <w:sz w:val="20"/>
              </w:rPr>
              <w:t>ĐẠI DIỆN TRƯỞNG NHÓM DỰ THI</w:t>
              <w:br/>
              <w:t>(Ký và ghi rõ họ tên)</w:t>
              <w:br/>
              <w:br/>
              <w:br/>
              <w:br/>
              <w:br/>
              <w:t>[Họ và tên Trưởng nhóm]</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