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F6BC" w14:textId="77777777" w:rsidR="00000000" w:rsidRDefault="00000000">
      <w:pPr>
        <w:autoSpaceDE w:val="0"/>
        <w:autoSpaceDN w:val="0"/>
        <w:adjustRightInd w:val="0"/>
        <w:spacing w:before="200" w:after="100" w:line="240" w:lineRule="auto"/>
        <w:rPr>
          <w:rFonts w:ascii="Arial" w:hAnsi="Arial" w:cs="Arial"/>
          <w:kern w:val="0"/>
          <w:sz w:val="36"/>
          <w:szCs w:val="36"/>
        </w:rPr>
      </w:pPr>
      <w:r>
        <w:rPr>
          <w:rFonts w:ascii="Arial" w:hAnsi="Arial" w:cs="Arial"/>
          <w:b/>
          <w:bCs/>
          <w:color w:val="2F5496"/>
          <w:kern w:val="0"/>
          <w:sz w:val="36"/>
          <w:szCs w:val="36"/>
        </w:rPr>
        <w:t>SCPI vs immobilier locatif direct : le grand comparatif</w:t>
      </w:r>
    </w:p>
    <w:p w14:paraId="484F80FC" w14:textId="77777777" w:rsidR="00000000" w:rsidRDefault="00000000">
      <w:pPr>
        <w:autoSpaceDE w:val="0"/>
        <w:autoSpaceDN w:val="0"/>
        <w:adjustRightInd w:val="0"/>
        <w:spacing w:after="200" w:line="240" w:lineRule="auto"/>
        <w:rPr>
          <w:rFonts w:ascii="Arial" w:hAnsi="Arial" w:cs="Arial"/>
          <w:kern w:val="0"/>
          <w:sz w:val="18"/>
          <w:szCs w:val="18"/>
        </w:rPr>
      </w:pPr>
      <w:r>
        <w:rPr>
          <w:rFonts w:ascii="Arial" w:hAnsi="Arial" w:cs="Arial"/>
          <w:i/>
          <w:iCs/>
          <w:color w:val="1F497D"/>
          <w:kern w:val="0"/>
          <w:sz w:val="18"/>
          <w:szCs w:val="18"/>
        </w:rPr>
        <w:t>Catégorie : Comparatifs | Temps de lecture : 8 min</w:t>
      </w:r>
    </w:p>
    <w:p w14:paraId="2D141299" w14:textId="298CF44E" w:rsidR="00000000" w:rsidRDefault="00000000">
      <w:pPr>
        <w:autoSpaceDE w:val="0"/>
        <w:autoSpaceDN w:val="0"/>
        <w:adjustRightInd w:val="0"/>
        <w:spacing w:before="200" w:line="276" w:lineRule="auto"/>
        <w:rPr>
          <w:rFonts w:ascii="Arial" w:hAnsi="Arial" w:cs="Arial"/>
          <w:kern w:val="0"/>
          <w:sz w:val="22"/>
          <w:szCs w:val="22"/>
        </w:rPr>
      </w:pPr>
      <w:r>
        <w:rPr>
          <w:rFonts w:ascii="Arial" w:hAnsi="Arial" w:cs="Arial"/>
          <w:kern w:val="0"/>
          <w:sz w:val="22"/>
          <w:szCs w:val="22"/>
        </w:rPr>
        <w:t xml:space="preserve">Vous envisagez d’investir dans l’immobilier, mais vous hésitez entre acheter un bien en direct et souscrire des parts de SCPI ? C’est l’une des questions les plus fréquentes posées </w:t>
      </w:r>
      <w:r w:rsidR="00601046">
        <w:rPr>
          <w:rFonts w:ascii="Arial" w:hAnsi="Arial" w:cs="Arial"/>
          <w:kern w:val="0"/>
          <w:sz w:val="22"/>
          <w:szCs w:val="22"/>
        </w:rPr>
        <w:t>aux</w:t>
      </w:r>
      <w:r>
        <w:rPr>
          <w:rFonts w:ascii="Arial" w:hAnsi="Arial" w:cs="Arial"/>
          <w:kern w:val="0"/>
          <w:sz w:val="22"/>
          <w:szCs w:val="22"/>
        </w:rPr>
        <w:t xml:space="preserve"> conseillers. Et pour cause : les deux approches permettent d’investir dans la pierre, de percevoir des revenus réguliers et de constituer un patrimoine immobilier – mais elles fonctionnent de manière radicalement différente.</w:t>
      </w:r>
    </w:p>
    <w:p w14:paraId="761A4342" w14:textId="77777777" w:rsidR="00000000" w:rsidRDefault="00000000">
      <w:pPr>
        <w:autoSpaceDE w:val="0"/>
        <w:autoSpaceDN w:val="0"/>
        <w:adjustRightInd w:val="0"/>
        <w:spacing w:line="276" w:lineRule="auto"/>
        <w:rPr>
          <w:rFonts w:ascii="Arial" w:hAnsi="Arial" w:cs="Arial"/>
          <w:kern w:val="0"/>
          <w:sz w:val="22"/>
          <w:szCs w:val="22"/>
        </w:rPr>
      </w:pPr>
      <w:r>
        <w:rPr>
          <w:rFonts w:ascii="Arial" w:hAnsi="Arial" w:cs="Arial"/>
          <w:kern w:val="0"/>
          <w:sz w:val="22"/>
          <w:szCs w:val="22"/>
        </w:rPr>
        <w:t>Dans cet article, nous allons comparer point par point ces deux stratégies pour vous aider à identifier celle qui correspond le mieux à votre profil.</w:t>
      </w:r>
    </w:p>
    <w:p w14:paraId="68932659"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t>Le tableau de comparaison en un coup d’œil</w:t>
      </w:r>
    </w:p>
    <w:tbl>
      <w:tblPr>
        <w:tblW w:w="0" w:type="auto"/>
        <w:tblInd w:w="115" w:type="dxa"/>
        <w:tblLayout w:type="fixed"/>
        <w:tblCellMar>
          <w:left w:w="115" w:type="dxa"/>
          <w:right w:w="115" w:type="dxa"/>
        </w:tblCellMar>
        <w:tblLook w:val="0000" w:firstRow="0" w:lastRow="0" w:firstColumn="0" w:lastColumn="0" w:noHBand="0" w:noVBand="0"/>
      </w:tblPr>
      <w:tblGrid>
        <w:gridCol w:w="2700"/>
        <w:gridCol w:w="3163"/>
        <w:gridCol w:w="3163"/>
      </w:tblGrid>
      <w:tr w:rsidR="00000000" w14:paraId="5AB990F3"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shd w:val="clear" w:color="auto" w:fill="2F5496"/>
          </w:tcPr>
          <w:p w14:paraId="70330968"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Critère</w:t>
            </w:r>
          </w:p>
        </w:tc>
        <w:tc>
          <w:tcPr>
            <w:tcW w:w="3163" w:type="dxa"/>
            <w:tcBorders>
              <w:top w:val="single" w:sz="4" w:space="0" w:color="auto"/>
              <w:left w:val="single" w:sz="4" w:space="0" w:color="auto"/>
              <w:bottom w:val="single" w:sz="4" w:space="0" w:color="auto"/>
              <w:right w:val="single" w:sz="4" w:space="0" w:color="auto"/>
            </w:tcBorders>
            <w:shd w:val="clear" w:color="auto" w:fill="2F5496"/>
          </w:tcPr>
          <w:p w14:paraId="70FCDC41"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SCPI</w:t>
            </w:r>
          </w:p>
        </w:tc>
        <w:tc>
          <w:tcPr>
            <w:tcW w:w="3163" w:type="dxa"/>
            <w:tcBorders>
              <w:top w:val="single" w:sz="4" w:space="0" w:color="auto"/>
              <w:left w:val="single" w:sz="4" w:space="0" w:color="auto"/>
              <w:bottom w:val="single" w:sz="4" w:space="0" w:color="auto"/>
              <w:right w:val="single" w:sz="4" w:space="0" w:color="auto"/>
            </w:tcBorders>
            <w:shd w:val="clear" w:color="auto" w:fill="2F5496"/>
          </w:tcPr>
          <w:p w14:paraId="2F9AA506"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color w:val="FFFFFF"/>
                <w:kern w:val="0"/>
                <w:sz w:val="20"/>
                <w:szCs w:val="20"/>
              </w:rPr>
              <w:t>Immobilier locatif direct</w:t>
            </w:r>
          </w:p>
        </w:tc>
      </w:tr>
      <w:tr w:rsidR="00000000" w14:paraId="6E5EC4D9"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shd w:val="clear" w:color="auto" w:fill="EBF1FB"/>
          </w:tcPr>
          <w:p w14:paraId="1BFA95D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Ticket d’entrée</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7753319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À partir de quelques centaines d’euros</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4DA281EA" w14:textId="01731C6F" w:rsidR="00000000" w:rsidRDefault="00601046">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80 000 – 100 000€ (studio dans une ville moyenne)</w:t>
            </w:r>
          </w:p>
        </w:tc>
      </w:tr>
      <w:tr w:rsidR="00000000" w14:paraId="149C1F1A"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tcPr>
          <w:p w14:paraId="44B2A6AD"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Gestion</w:t>
            </w:r>
          </w:p>
        </w:tc>
        <w:tc>
          <w:tcPr>
            <w:tcW w:w="3163" w:type="dxa"/>
            <w:tcBorders>
              <w:top w:val="single" w:sz="4" w:space="0" w:color="auto"/>
              <w:left w:val="single" w:sz="4" w:space="0" w:color="auto"/>
              <w:bottom w:val="single" w:sz="4" w:space="0" w:color="auto"/>
              <w:right w:val="single" w:sz="4" w:space="0" w:color="auto"/>
            </w:tcBorders>
          </w:tcPr>
          <w:p w14:paraId="14B11FA1"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100 % déléguée à la société de gestion</w:t>
            </w:r>
          </w:p>
        </w:tc>
        <w:tc>
          <w:tcPr>
            <w:tcW w:w="3163" w:type="dxa"/>
            <w:tcBorders>
              <w:top w:val="single" w:sz="4" w:space="0" w:color="auto"/>
              <w:left w:val="single" w:sz="4" w:space="0" w:color="auto"/>
              <w:bottom w:val="single" w:sz="4" w:space="0" w:color="auto"/>
              <w:right w:val="single" w:sz="4" w:space="0" w:color="auto"/>
            </w:tcBorders>
          </w:tcPr>
          <w:p w14:paraId="6A1722BA"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À la charge du propriétaire (ou mandat de gestion)</w:t>
            </w:r>
          </w:p>
        </w:tc>
      </w:tr>
      <w:tr w:rsidR="00000000" w14:paraId="4332A3FC"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shd w:val="clear" w:color="auto" w:fill="EBF1FB"/>
          </w:tcPr>
          <w:p w14:paraId="4461E0A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Diversification</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79F3D641"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Automatique (dizaines d’actifs, plusieurs zones géographiques)</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1A6F8449" w14:textId="38167D15"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 xml:space="preserve">Limitée </w:t>
            </w:r>
          </w:p>
        </w:tc>
      </w:tr>
      <w:tr w:rsidR="00000000" w14:paraId="63B099EB"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tcPr>
          <w:p w14:paraId="08C9CE9F"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Rendement brut moyen</w:t>
            </w:r>
          </w:p>
        </w:tc>
        <w:tc>
          <w:tcPr>
            <w:tcW w:w="3163" w:type="dxa"/>
            <w:tcBorders>
              <w:top w:val="single" w:sz="4" w:space="0" w:color="auto"/>
              <w:left w:val="single" w:sz="4" w:space="0" w:color="auto"/>
              <w:bottom w:val="single" w:sz="4" w:space="0" w:color="auto"/>
              <w:right w:val="single" w:sz="4" w:space="0" w:color="auto"/>
            </w:tcBorders>
          </w:tcPr>
          <w:p w14:paraId="4108559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4,5 à 5,5 %</w:t>
            </w:r>
          </w:p>
        </w:tc>
        <w:tc>
          <w:tcPr>
            <w:tcW w:w="3163" w:type="dxa"/>
            <w:tcBorders>
              <w:top w:val="single" w:sz="4" w:space="0" w:color="auto"/>
              <w:left w:val="single" w:sz="4" w:space="0" w:color="auto"/>
              <w:bottom w:val="single" w:sz="4" w:space="0" w:color="auto"/>
              <w:right w:val="single" w:sz="4" w:space="0" w:color="auto"/>
            </w:tcBorders>
          </w:tcPr>
          <w:p w14:paraId="77C88C05"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4 à 7 % (selon localisation)</w:t>
            </w:r>
          </w:p>
        </w:tc>
      </w:tr>
      <w:tr w:rsidR="00000000" w14:paraId="571E73B9"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shd w:val="clear" w:color="auto" w:fill="EBF1FB"/>
          </w:tcPr>
          <w:p w14:paraId="090DC130" w14:textId="2E3E06C9"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Rendement net (après charges</w:t>
            </w:r>
            <w:r w:rsidR="00601046">
              <w:rPr>
                <w:rFonts w:ascii="Arial" w:hAnsi="Arial" w:cs="Arial"/>
                <w:b/>
                <w:bCs/>
                <w:kern w:val="0"/>
                <w:sz w:val="20"/>
                <w:szCs w:val="20"/>
              </w:rPr>
              <w:t xml:space="preserve"> et fiscalité</w:t>
            </w:r>
            <w:r>
              <w:rPr>
                <w:rFonts w:ascii="Arial" w:hAnsi="Arial" w:cs="Arial"/>
                <w:b/>
                <w:bCs/>
                <w:kern w:val="0"/>
                <w:sz w:val="20"/>
                <w:szCs w:val="20"/>
              </w:rPr>
              <w:t>)</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6FB908BB"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3 à 4 %</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2890D3EA"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2,5 à 4,5 % (très variable)</w:t>
            </w:r>
          </w:p>
        </w:tc>
      </w:tr>
      <w:tr w:rsidR="00000000" w14:paraId="24057D86"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tcPr>
          <w:p w14:paraId="464A777E"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Liquidité</w:t>
            </w:r>
          </w:p>
        </w:tc>
        <w:tc>
          <w:tcPr>
            <w:tcW w:w="3163" w:type="dxa"/>
            <w:tcBorders>
              <w:top w:val="single" w:sz="4" w:space="0" w:color="auto"/>
              <w:left w:val="single" w:sz="4" w:space="0" w:color="auto"/>
              <w:bottom w:val="single" w:sz="4" w:space="0" w:color="auto"/>
              <w:right w:val="single" w:sz="4" w:space="0" w:color="auto"/>
            </w:tcBorders>
          </w:tcPr>
          <w:p w14:paraId="31D6FD35"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Modérée (marché secondaire, délai 1-6 mois)</w:t>
            </w:r>
          </w:p>
        </w:tc>
        <w:tc>
          <w:tcPr>
            <w:tcW w:w="3163" w:type="dxa"/>
            <w:tcBorders>
              <w:top w:val="single" w:sz="4" w:space="0" w:color="auto"/>
              <w:left w:val="single" w:sz="4" w:space="0" w:color="auto"/>
              <w:bottom w:val="single" w:sz="4" w:space="0" w:color="auto"/>
              <w:right w:val="single" w:sz="4" w:space="0" w:color="auto"/>
            </w:tcBorders>
          </w:tcPr>
          <w:p w14:paraId="1FBCAB5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Faible (vente = 3 à 12 mois)</w:t>
            </w:r>
          </w:p>
        </w:tc>
      </w:tr>
      <w:tr w:rsidR="00000000" w14:paraId="3CE3D219"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shd w:val="clear" w:color="auto" w:fill="EBF1FB"/>
          </w:tcPr>
          <w:p w14:paraId="01AD468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 xml:space="preserve">Travaux / </w:t>
            </w:r>
            <w:proofErr w:type="gramStart"/>
            <w:r>
              <w:rPr>
                <w:rFonts w:ascii="Arial" w:hAnsi="Arial" w:cs="Arial"/>
                <w:b/>
                <w:bCs/>
                <w:kern w:val="0"/>
                <w:sz w:val="20"/>
                <w:szCs w:val="20"/>
              </w:rPr>
              <w:t>vacance</w:t>
            </w:r>
            <w:proofErr w:type="gramEnd"/>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6F76D85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Mutualisés sur l’ensemble du parc</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3D56901F"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À la charge du propriétaire</w:t>
            </w:r>
          </w:p>
        </w:tc>
      </w:tr>
      <w:tr w:rsidR="00000000" w14:paraId="68057FAF"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tcPr>
          <w:p w14:paraId="0AFFE4F3"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Levier crédit</w:t>
            </w:r>
          </w:p>
        </w:tc>
        <w:tc>
          <w:tcPr>
            <w:tcW w:w="3163" w:type="dxa"/>
            <w:tcBorders>
              <w:top w:val="single" w:sz="4" w:space="0" w:color="auto"/>
              <w:left w:val="single" w:sz="4" w:space="0" w:color="auto"/>
              <w:bottom w:val="single" w:sz="4" w:space="0" w:color="auto"/>
              <w:right w:val="single" w:sz="4" w:space="0" w:color="auto"/>
            </w:tcBorders>
          </w:tcPr>
          <w:p w14:paraId="15FEE5EB"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w:t>
            </w:r>
          </w:p>
        </w:tc>
        <w:tc>
          <w:tcPr>
            <w:tcW w:w="3163" w:type="dxa"/>
            <w:tcBorders>
              <w:top w:val="single" w:sz="4" w:space="0" w:color="auto"/>
              <w:left w:val="single" w:sz="4" w:space="0" w:color="auto"/>
              <w:bottom w:val="single" w:sz="4" w:space="0" w:color="auto"/>
              <w:right w:val="single" w:sz="4" w:space="0" w:color="auto"/>
            </w:tcBorders>
          </w:tcPr>
          <w:p w14:paraId="6EC71F37"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w:t>
            </w:r>
          </w:p>
        </w:tc>
      </w:tr>
      <w:tr w:rsidR="00000000" w14:paraId="67E82BE4" w14:textId="77777777">
        <w:tblPrEx>
          <w:tblCellMar>
            <w:top w:w="0" w:type="dxa"/>
            <w:bottom w:w="0" w:type="dxa"/>
          </w:tblCellMar>
        </w:tblPrEx>
        <w:tc>
          <w:tcPr>
            <w:tcW w:w="2700" w:type="dxa"/>
            <w:tcBorders>
              <w:top w:val="single" w:sz="4" w:space="0" w:color="auto"/>
              <w:left w:val="single" w:sz="4" w:space="0" w:color="auto"/>
              <w:bottom w:val="single" w:sz="4" w:space="0" w:color="auto"/>
              <w:right w:val="single" w:sz="4" w:space="0" w:color="auto"/>
            </w:tcBorders>
            <w:shd w:val="clear" w:color="auto" w:fill="EBF1FB"/>
          </w:tcPr>
          <w:p w14:paraId="36003C69"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Risque de concentration</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421A47D5"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Très faible</w:t>
            </w:r>
          </w:p>
        </w:tc>
        <w:tc>
          <w:tcPr>
            <w:tcW w:w="3163" w:type="dxa"/>
            <w:tcBorders>
              <w:top w:val="single" w:sz="4" w:space="0" w:color="auto"/>
              <w:left w:val="single" w:sz="4" w:space="0" w:color="auto"/>
              <w:bottom w:val="single" w:sz="4" w:space="0" w:color="auto"/>
              <w:right w:val="single" w:sz="4" w:space="0" w:color="auto"/>
            </w:tcBorders>
            <w:shd w:val="clear" w:color="auto" w:fill="EBF1FB"/>
          </w:tcPr>
          <w:p w14:paraId="05429F5B"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Élevé (tout misé sur un ou deux biens)</w:t>
            </w:r>
          </w:p>
        </w:tc>
      </w:tr>
    </w:tbl>
    <w:p w14:paraId="50E8AEC1"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t>Le rendement : à chiffres équivalents, pourquoi la SCPI résiste ?</w:t>
      </w:r>
    </w:p>
    <w:p w14:paraId="098515A8" w14:textId="77777777" w:rsidR="00000000" w:rsidRDefault="00000000">
      <w:pPr>
        <w:autoSpaceDE w:val="0"/>
        <w:autoSpaceDN w:val="0"/>
        <w:adjustRightInd w:val="0"/>
        <w:spacing w:before="120" w:line="276" w:lineRule="auto"/>
        <w:rPr>
          <w:rFonts w:ascii="Arial" w:hAnsi="Arial" w:cs="Arial"/>
          <w:kern w:val="0"/>
          <w:sz w:val="22"/>
          <w:szCs w:val="22"/>
        </w:rPr>
      </w:pPr>
      <w:r>
        <w:rPr>
          <w:rFonts w:ascii="Arial" w:hAnsi="Arial" w:cs="Arial"/>
          <w:kern w:val="0"/>
          <w:sz w:val="22"/>
          <w:szCs w:val="22"/>
        </w:rPr>
        <w:t>Sur le papier, le locatif direct affiche souvent un rendement brut supérieur à celui d’une SCPI, surtout en province. Un T2 à 120 000 € loué 700 €/mois génère un rendement brut d’environ 7 %. Séduisant.</w:t>
      </w:r>
    </w:p>
    <w:p w14:paraId="519C84F4" w14:textId="77777777" w:rsidR="00000000" w:rsidRDefault="00000000">
      <w:pPr>
        <w:autoSpaceDE w:val="0"/>
        <w:autoSpaceDN w:val="0"/>
        <w:adjustRightInd w:val="0"/>
        <w:spacing w:line="276" w:lineRule="auto"/>
        <w:rPr>
          <w:rFonts w:ascii="Arial" w:hAnsi="Arial" w:cs="Arial"/>
          <w:kern w:val="0"/>
          <w:sz w:val="22"/>
          <w:szCs w:val="22"/>
        </w:rPr>
      </w:pPr>
      <w:r>
        <w:rPr>
          <w:rFonts w:ascii="Arial" w:hAnsi="Arial" w:cs="Arial"/>
          <w:kern w:val="0"/>
          <w:sz w:val="22"/>
          <w:szCs w:val="22"/>
        </w:rPr>
        <w:t xml:space="preserve">Mais le rendement </w:t>
      </w:r>
      <w:r>
        <w:rPr>
          <w:rFonts w:ascii="Arial" w:hAnsi="Arial" w:cs="Arial"/>
          <w:b/>
          <w:bCs/>
          <w:kern w:val="0"/>
          <w:sz w:val="22"/>
          <w:szCs w:val="22"/>
        </w:rPr>
        <w:t>net</w:t>
      </w:r>
      <w:r>
        <w:rPr>
          <w:rFonts w:ascii="Arial" w:hAnsi="Arial" w:cs="Arial"/>
          <w:kern w:val="0"/>
          <w:sz w:val="22"/>
          <w:szCs w:val="22"/>
        </w:rPr>
        <w:t xml:space="preserve"> après déduction de toutes les charges raconte une autre histoire.</w:t>
      </w:r>
    </w:p>
    <w:p w14:paraId="7CA563F2" w14:textId="77777777" w:rsidR="00000000" w:rsidRDefault="00000000">
      <w:pPr>
        <w:autoSpaceDE w:val="0"/>
        <w:autoSpaceDN w:val="0"/>
        <w:adjustRightInd w:val="0"/>
        <w:spacing w:before="200" w:after="80" w:line="240" w:lineRule="auto"/>
        <w:rPr>
          <w:rFonts w:ascii="Arial" w:hAnsi="Arial" w:cs="Arial"/>
          <w:kern w:val="0"/>
        </w:rPr>
      </w:pPr>
      <w:r>
        <w:rPr>
          <w:rFonts w:ascii="Arial" w:hAnsi="Arial" w:cs="Arial"/>
          <w:b/>
          <w:bCs/>
          <w:color w:val="1F497D"/>
          <w:kern w:val="0"/>
        </w:rPr>
        <w:t>Simulation comparative : 200 000 € investis</w:t>
      </w:r>
    </w:p>
    <w:tbl>
      <w:tblPr>
        <w:tblW w:w="0" w:type="auto"/>
        <w:tblInd w:w="115" w:type="dxa"/>
        <w:tblLayout w:type="fixed"/>
        <w:tblCellMar>
          <w:left w:w="115" w:type="dxa"/>
          <w:right w:w="115" w:type="dxa"/>
        </w:tblCellMar>
        <w:tblLook w:val="0000" w:firstRow="0" w:lastRow="0" w:firstColumn="0" w:lastColumn="0" w:noHBand="0" w:noVBand="0"/>
      </w:tblPr>
      <w:tblGrid>
        <w:gridCol w:w="3800"/>
        <w:gridCol w:w="2613"/>
        <w:gridCol w:w="2613"/>
      </w:tblGrid>
      <w:tr w:rsidR="00000000" w14:paraId="5360A1D0"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shd w:val="clear" w:color="auto" w:fill="2F5496"/>
          </w:tcPr>
          <w:p w14:paraId="6FF83CE9"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p>
        </w:tc>
        <w:tc>
          <w:tcPr>
            <w:tcW w:w="2613" w:type="dxa"/>
            <w:tcBorders>
              <w:top w:val="single" w:sz="4" w:space="0" w:color="auto"/>
              <w:left w:val="single" w:sz="4" w:space="0" w:color="auto"/>
              <w:bottom w:val="single" w:sz="4" w:space="0" w:color="auto"/>
              <w:right w:val="single" w:sz="4" w:space="0" w:color="auto"/>
            </w:tcBorders>
            <w:shd w:val="clear" w:color="auto" w:fill="2F5496"/>
          </w:tcPr>
          <w:p w14:paraId="2145BC8B"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SCPI (200 000 €)</w:t>
            </w:r>
          </w:p>
        </w:tc>
        <w:tc>
          <w:tcPr>
            <w:tcW w:w="2613" w:type="dxa"/>
            <w:tcBorders>
              <w:top w:val="single" w:sz="4" w:space="0" w:color="auto"/>
              <w:left w:val="single" w:sz="4" w:space="0" w:color="auto"/>
              <w:bottom w:val="single" w:sz="4" w:space="0" w:color="auto"/>
              <w:right w:val="single" w:sz="4" w:space="0" w:color="auto"/>
            </w:tcBorders>
            <w:shd w:val="clear" w:color="auto" w:fill="2F5496"/>
          </w:tcPr>
          <w:p w14:paraId="0B5EEAC1"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color w:val="FFFFFF"/>
                <w:kern w:val="0"/>
                <w:sz w:val="20"/>
                <w:szCs w:val="20"/>
              </w:rPr>
              <w:t>Locatif direct (200 000 €)</w:t>
            </w:r>
          </w:p>
        </w:tc>
      </w:tr>
      <w:tr w:rsidR="00000000" w14:paraId="4D7E8228"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shd w:val="clear" w:color="auto" w:fill="EBF1FB"/>
          </w:tcPr>
          <w:p w14:paraId="3D2C8F2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Rendement brut</w:t>
            </w:r>
          </w:p>
        </w:tc>
        <w:tc>
          <w:tcPr>
            <w:tcW w:w="2613" w:type="dxa"/>
            <w:tcBorders>
              <w:top w:val="single" w:sz="4" w:space="0" w:color="auto"/>
              <w:left w:val="single" w:sz="4" w:space="0" w:color="auto"/>
              <w:bottom w:val="single" w:sz="4" w:space="0" w:color="auto"/>
              <w:right w:val="single" w:sz="4" w:space="0" w:color="auto"/>
            </w:tcBorders>
            <w:shd w:val="clear" w:color="auto" w:fill="EBF1FB"/>
          </w:tcPr>
          <w:p w14:paraId="717C251A"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5 % = 10 000 €/an</w:t>
            </w:r>
          </w:p>
        </w:tc>
        <w:tc>
          <w:tcPr>
            <w:tcW w:w="2613" w:type="dxa"/>
            <w:tcBorders>
              <w:top w:val="single" w:sz="4" w:space="0" w:color="auto"/>
              <w:left w:val="single" w:sz="4" w:space="0" w:color="auto"/>
              <w:bottom w:val="single" w:sz="4" w:space="0" w:color="auto"/>
              <w:right w:val="single" w:sz="4" w:space="0" w:color="auto"/>
            </w:tcBorders>
            <w:shd w:val="clear" w:color="auto" w:fill="EBF1FB"/>
          </w:tcPr>
          <w:p w14:paraId="42A84C2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6 % = 12 000 €/an</w:t>
            </w:r>
          </w:p>
        </w:tc>
      </w:tr>
      <w:tr w:rsidR="00000000" w14:paraId="2C5E5527"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tcPr>
          <w:p w14:paraId="09541A6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Frais de gestion</w:t>
            </w:r>
          </w:p>
        </w:tc>
        <w:tc>
          <w:tcPr>
            <w:tcW w:w="2613" w:type="dxa"/>
            <w:tcBorders>
              <w:top w:val="single" w:sz="4" w:space="0" w:color="auto"/>
              <w:left w:val="single" w:sz="4" w:space="0" w:color="auto"/>
              <w:bottom w:val="single" w:sz="4" w:space="0" w:color="auto"/>
              <w:right w:val="single" w:sz="4" w:space="0" w:color="auto"/>
            </w:tcBorders>
          </w:tcPr>
          <w:p w14:paraId="7A852A5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Inclus dans le taux</w:t>
            </w:r>
          </w:p>
        </w:tc>
        <w:tc>
          <w:tcPr>
            <w:tcW w:w="2613" w:type="dxa"/>
            <w:tcBorders>
              <w:top w:val="single" w:sz="4" w:space="0" w:color="auto"/>
              <w:left w:val="single" w:sz="4" w:space="0" w:color="auto"/>
              <w:bottom w:val="single" w:sz="4" w:space="0" w:color="auto"/>
              <w:right w:val="single" w:sz="4" w:space="0" w:color="auto"/>
            </w:tcBorders>
          </w:tcPr>
          <w:p w14:paraId="61B65EC3"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8 % des loyers = -960 €/an</w:t>
            </w:r>
          </w:p>
        </w:tc>
      </w:tr>
      <w:tr w:rsidR="00000000" w14:paraId="558E46F8"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shd w:val="clear" w:color="auto" w:fill="EBF1FB"/>
          </w:tcPr>
          <w:p w14:paraId="39F58BBD"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Charges de copropriété</w:t>
            </w:r>
          </w:p>
        </w:tc>
        <w:tc>
          <w:tcPr>
            <w:tcW w:w="2613" w:type="dxa"/>
            <w:tcBorders>
              <w:top w:val="single" w:sz="4" w:space="0" w:color="auto"/>
              <w:left w:val="single" w:sz="4" w:space="0" w:color="auto"/>
              <w:bottom w:val="single" w:sz="4" w:space="0" w:color="auto"/>
              <w:right w:val="single" w:sz="4" w:space="0" w:color="auto"/>
            </w:tcBorders>
            <w:shd w:val="clear" w:color="auto" w:fill="EBF1FB"/>
          </w:tcPr>
          <w:p w14:paraId="1BFEB1F2"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Incluses</w:t>
            </w:r>
          </w:p>
        </w:tc>
        <w:tc>
          <w:tcPr>
            <w:tcW w:w="2613" w:type="dxa"/>
            <w:tcBorders>
              <w:top w:val="single" w:sz="4" w:space="0" w:color="auto"/>
              <w:left w:val="single" w:sz="4" w:space="0" w:color="auto"/>
              <w:bottom w:val="single" w:sz="4" w:space="0" w:color="auto"/>
              <w:right w:val="single" w:sz="4" w:space="0" w:color="auto"/>
            </w:tcBorders>
            <w:shd w:val="clear" w:color="auto" w:fill="EBF1FB"/>
          </w:tcPr>
          <w:p w14:paraId="14FD540E"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-800 €/an (moyenne)</w:t>
            </w:r>
          </w:p>
        </w:tc>
      </w:tr>
      <w:tr w:rsidR="00000000" w14:paraId="45825507"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tcPr>
          <w:p w14:paraId="4E45868A"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Travaux / entretien</w:t>
            </w:r>
          </w:p>
        </w:tc>
        <w:tc>
          <w:tcPr>
            <w:tcW w:w="2613" w:type="dxa"/>
            <w:tcBorders>
              <w:top w:val="single" w:sz="4" w:space="0" w:color="auto"/>
              <w:left w:val="single" w:sz="4" w:space="0" w:color="auto"/>
              <w:bottom w:val="single" w:sz="4" w:space="0" w:color="auto"/>
              <w:right w:val="single" w:sz="4" w:space="0" w:color="auto"/>
            </w:tcBorders>
          </w:tcPr>
          <w:p w14:paraId="5C472BEE"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Mutualisés</w:t>
            </w:r>
          </w:p>
        </w:tc>
        <w:tc>
          <w:tcPr>
            <w:tcW w:w="2613" w:type="dxa"/>
            <w:tcBorders>
              <w:top w:val="single" w:sz="4" w:space="0" w:color="auto"/>
              <w:left w:val="single" w:sz="4" w:space="0" w:color="auto"/>
              <w:bottom w:val="single" w:sz="4" w:space="0" w:color="auto"/>
              <w:right w:val="single" w:sz="4" w:space="0" w:color="auto"/>
            </w:tcBorders>
          </w:tcPr>
          <w:p w14:paraId="316D3476"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-600 €/an (moyenne sur 10 ans)</w:t>
            </w:r>
          </w:p>
        </w:tc>
      </w:tr>
      <w:tr w:rsidR="00000000" w14:paraId="142208DE"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shd w:val="clear" w:color="auto" w:fill="EBF1FB"/>
          </w:tcPr>
          <w:p w14:paraId="3404D64B"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lastRenderedPageBreak/>
              <w:t>Vacance locative</w:t>
            </w:r>
          </w:p>
        </w:tc>
        <w:tc>
          <w:tcPr>
            <w:tcW w:w="2613" w:type="dxa"/>
            <w:tcBorders>
              <w:top w:val="single" w:sz="4" w:space="0" w:color="auto"/>
              <w:left w:val="single" w:sz="4" w:space="0" w:color="auto"/>
              <w:bottom w:val="single" w:sz="4" w:space="0" w:color="auto"/>
              <w:right w:val="single" w:sz="4" w:space="0" w:color="auto"/>
            </w:tcBorders>
            <w:shd w:val="clear" w:color="auto" w:fill="EBF1FB"/>
          </w:tcPr>
          <w:p w14:paraId="389DD28A"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Mutualisée</w:t>
            </w:r>
          </w:p>
        </w:tc>
        <w:tc>
          <w:tcPr>
            <w:tcW w:w="2613" w:type="dxa"/>
            <w:tcBorders>
              <w:top w:val="single" w:sz="4" w:space="0" w:color="auto"/>
              <w:left w:val="single" w:sz="4" w:space="0" w:color="auto"/>
              <w:bottom w:val="single" w:sz="4" w:space="0" w:color="auto"/>
              <w:right w:val="single" w:sz="4" w:space="0" w:color="auto"/>
            </w:tcBorders>
            <w:shd w:val="clear" w:color="auto" w:fill="EBF1FB"/>
          </w:tcPr>
          <w:p w14:paraId="19A2C310"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-480 €/an (1 mois / 2 ans en moyenne)</w:t>
            </w:r>
          </w:p>
        </w:tc>
      </w:tr>
      <w:tr w:rsidR="00000000" w14:paraId="540E1203"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tcPr>
          <w:p w14:paraId="78BAEE22"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Assurance propriétaire non occupant</w:t>
            </w:r>
          </w:p>
        </w:tc>
        <w:tc>
          <w:tcPr>
            <w:tcW w:w="2613" w:type="dxa"/>
            <w:tcBorders>
              <w:top w:val="single" w:sz="4" w:space="0" w:color="auto"/>
              <w:left w:val="single" w:sz="4" w:space="0" w:color="auto"/>
              <w:bottom w:val="single" w:sz="4" w:space="0" w:color="auto"/>
              <w:right w:val="single" w:sz="4" w:space="0" w:color="auto"/>
            </w:tcBorders>
          </w:tcPr>
          <w:p w14:paraId="364E851D"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Incluse</w:t>
            </w:r>
          </w:p>
        </w:tc>
        <w:tc>
          <w:tcPr>
            <w:tcW w:w="2613" w:type="dxa"/>
            <w:tcBorders>
              <w:top w:val="single" w:sz="4" w:space="0" w:color="auto"/>
              <w:left w:val="single" w:sz="4" w:space="0" w:color="auto"/>
              <w:bottom w:val="single" w:sz="4" w:space="0" w:color="auto"/>
              <w:right w:val="single" w:sz="4" w:space="0" w:color="auto"/>
            </w:tcBorders>
          </w:tcPr>
          <w:p w14:paraId="7D557FA0"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-200 €/an</w:t>
            </w:r>
          </w:p>
        </w:tc>
      </w:tr>
      <w:tr w:rsidR="00000000" w14:paraId="3948038F"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shd w:val="clear" w:color="auto" w:fill="2F5496"/>
          </w:tcPr>
          <w:p w14:paraId="3AD5E4B7"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Revenu net avant impôt</w:t>
            </w:r>
          </w:p>
        </w:tc>
        <w:tc>
          <w:tcPr>
            <w:tcW w:w="2613" w:type="dxa"/>
            <w:tcBorders>
              <w:top w:val="single" w:sz="4" w:space="0" w:color="auto"/>
              <w:left w:val="single" w:sz="4" w:space="0" w:color="auto"/>
              <w:bottom w:val="single" w:sz="4" w:space="0" w:color="auto"/>
              <w:right w:val="single" w:sz="4" w:space="0" w:color="auto"/>
            </w:tcBorders>
            <w:shd w:val="clear" w:color="auto" w:fill="2F5496"/>
          </w:tcPr>
          <w:p w14:paraId="3AB42256"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~10 000 €/an</w:t>
            </w:r>
          </w:p>
        </w:tc>
        <w:tc>
          <w:tcPr>
            <w:tcW w:w="2613" w:type="dxa"/>
            <w:tcBorders>
              <w:top w:val="single" w:sz="4" w:space="0" w:color="auto"/>
              <w:left w:val="single" w:sz="4" w:space="0" w:color="auto"/>
              <w:bottom w:val="single" w:sz="4" w:space="0" w:color="auto"/>
              <w:right w:val="single" w:sz="4" w:space="0" w:color="auto"/>
            </w:tcBorders>
            <w:shd w:val="clear" w:color="auto" w:fill="2F5496"/>
          </w:tcPr>
          <w:p w14:paraId="2B961FA0"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color w:val="FFFFFF"/>
                <w:kern w:val="0"/>
                <w:sz w:val="20"/>
                <w:szCs w:val="20"/>
              </w:rPr>
              <w:t>~8 960 €/an</w:t>
            </w:r>
          </w:p>
        </w:tc>
      </w:tr>
      <w:tr w:rsidR="00000000" w14:paraId="33128ADB" w14:textId="77777777">
        <w:tblPrEx>
          <w:tblCellMar>
            <w:top w:w="0" w:type="dxa"/>
            <w:bottom w:w="0" w:type="dxa"/>
          </w:tblCellMar>
        </w:tblPrEx>
        <w:tc>
          <w:tcPr>
            <w:tcW w:w="3800" w:type="dxa"/>
            <w:tcBorders>
              <w:top w:val="single" w:sz="4" w:space="0" w:color="auto"/>
              <w:left w:val="single" w:sz="4" w:space="0" w:color="auto"/>
              <w:bottom w:val="single" w:sz="4" w:space="0" w:color="auto"/>
              <w:right w:val="single" w:sz="4" w:space="0" w:color="auto"/>
            </w:tcBorders>
            <w:shd w:val="clear" w:color="auto" w:fill="2F5496"/>
          </w:tcPr>
          <w:p w14:paraId="1ABD54E6"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Rendement net estimé</w:t>
            </w:r>
          </w:p>
        </w:tc>
        <w:tc>
          <w:tcPr>
            <w:tcW w:w="2613" w:type="dxa"/>
            <w:tcBorders>
              <w:top w:val="single" w:sz="4" w:space="0" w:color="auto"/>
              <w:left w:val="single" w:sz="4" w:space="0" w:color="auto"/>
              <w:bottom w:val="single" w:sz="4" w:space="0" w:color="auto"/>
              <w:right w:val="single" w:sz="4" w:space="0" w:color="auto"/>
            </w:tcBorders>
            <w:shd w:val="clear" w:color="auto" w:fill="2F5496"/>
          </w:tcPr>
          <w:p w14:paraId="6C6ECE20"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~5,0 %</w:t>
            </w:r>
          </w:p>
        </w:tc>
        <w:tc>
          <w:tcPr>
            <w:tcW w:w="2613" w:type="dxa"/>
            <w:tcBorders>
              <w:top w:val="single" w:sz="4" w:space="0" w:color="auto"/>
              <w:left w:val="single" w:sz="4" w:space="0" w:color="auto"/>
              <w:bottom w:val="single" w:sz="4" w:space="0" w:color="auto"/>
              <w:right w:val="single" w:sz="4" w:space="0" w:color="auto"/>
            </w:tcBorders>
            <w:shd w:val="clear" w:color="auto" w:fill="2F5496"/>
          </w:tcPr>
          <w:p w14:paraId="71E681E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color w:val="FFFFFF"/>
                <w:kern w:val="0"/>
                <w:sz w:val="20"/>
                <w:szCs w:val="20"/>
              </w:rPr>
              <w:t>~4,5 %</w:t>
            </w:r>
          </w:p>
        </w:tc>
      </w:tr>
    </w:tbl>
    <w:p w14:paraId="6965CAD9" w14:textId="77777777" w:rsidR="00000000" w:rsidRDefault="00000000">
      <w:pPr>
        <w:autoSpaceDE w:val="0"/>
        <w:autoSpaceDN w:val="0"/>
        <w:adjustRightInd w:val="0"/>
        <w:spacing w:before="80" w:line="240" w:lineRule="auto"/>
        <w:rPr>
          <w:rFonts w:ascii="Arial" w:hAnsi="Arial" w:cs="Arial"/>
          <w:kern w:val="0"/>
          <w:sz w:val="18"/>
          <w:szCs w:val="18"/>
        </w:rPr>
      </w:pPr>
      <w:r>
        <w:rPr>
          <w:rFonts w:ascii="Arial" w:hAnsi="Arial" w:cs="Arial"/>
          <w:i/>
          <w:iCs/>
          <w:color w:val="1F497D"/>
          <w:kern w:val="0"/>
          <w:sz w:val="18"/>
          <w:szCs w:val="18"/>
        </w:rPr>
        <w:t>Simulation indicative. Charges variables selon les situations.</w:t>
      </w:r>
    </w:p>
    <w:p w14:paraId="0123D821" w14:textId="77777777" w:rsidR="00000000" w:rsidRDefault="00000000">
      <w:pPr>
        <w:autoSpaceDE w:val="0"/>
        <w:autoSpaceDN w:val="0"/>
        <w:adjustRightInd w:val="0"/>
        <w:spacing w:before="160" w:line="276" w:lineRule="auto"/>
        <w:rPr>
          <w:rFonts w:ascii="Arial" w:hAnsi="Arial" w:cs="Arial"/>
          <w:kern w:val="0"/>
          <w:sz w:val="22"/>
          <w:szCs w:val="22"/>
        </w:rPr>
      </w:pPr>
      <w:r>
        <w:rPr>
          <w:rFonts w:ascii="Arial" w:hAnsi="Arial" w:cs="Arial"/>
          <w:kern w:val="0"/>
          <w:sz w:val="22"/>
          <w:szCs w:val="22"/>
        </w:rPr>
        <w:t>La SCPI efface son rendement brut légèrement inférieur grâce à la mutualisation des coûts et à l’absence de surprises (</w:t>
      </w:r>
      <w:proofErr w:type="gramStart"/>
      <w:r>
        <w:rPr>
          <w:rFonts w:ascii="Arial" w:hAnsi="Arial" w:cs="Arial"/>
          <w:kern w:val="0"/>
          <w:sz w:val="22"/>
          <w:szCs w:val="22"/>
        </w:rPr>
        <w:t>vacance</w:t>
      </w:r>
      <w:proofErr w:type="gramEnd"/>
      <w:r>
        <w:rPr>
          <w:rFonts w:ascii="Arial" w:hAnsi="Arial" w:cs="Arial"/>
          <w:kern w:val="0"/>
          <w:sz w:val="22"/>
          <w:szCs w:val="22"/>
        </w:rPr>
        <w:t>, travaux imprévus, litige locataire).</w:t>
      </w:r>
    </w:p>
    <w:p w14:paraId="57270FAD"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t>La gestion : la différence fondamentale</w:t>
      </w:r>
    </w:p>
    <w:p w14:paraId="109147B4" w14:textId="77777777" w:rsidR="00000000" w:rsidRDefault="00000000">
      <w:pPr>
        <w:autoSpaceDE w:val="0"/>
        <w:autoSpaceDN w:val="0"/>
        <w:adjustRightInd w:val="0"/>
        <w:spacing w:before="120" w:line="276" w:lineRule="auto"/>
        <w:rPr>
          <w:rFonts w:ascii="Arial" w:hAnsi="Arial" w:cs="Arial"/>
          <w:kern w:val="0"/>
          <w:sz w:val="22"/>
          <w:szCs w:val="22"/>
        </w:rPr>
      </w:pPr>
      <w:r>
        <w:rPr>
          <w:rFonts w:ascii="Arial" w:hAnsi="Arial" w:cs="Arial"/>
          <w:b/>
          <w:bCs/>
          <w:kern w:val="0"/>
          <w:sz w:val="22"/>
          <w:szCs w:val="22"/>
        </w:rPr>
        <w:t>En locatif direct</w:t>
      </w:r>
      <w:r>
        <w:rPr>
          <w:rFonts w:ascii="Arial" w:hAnsi="Arial" w:cs="Arial"/>
          <w:kern w:val="0"/>
          <w:sz w:val="22"/>
          <w:szCs w:val="22"/>
        </w:rPr>
        <w:t>, même avec un mandat de gestion, vous restez propriétaire et donc responsable : décisions de travaux, contentieux locataires, gestion des sinistres, suivi des charges de copropriété… La pierre en direct exige du temps, de l’énergie, et parfois des nerfs solides. Gérer seul 1 ou 2 biens représente en moyenne 3 à 5 heures par mois – plus en cas de problème.</w:t>
      </w:r>
    </w:p>
    <w:p w14:paraId="307879E4" w14:textId="77777777" w:rsidR="00000000" w:rsidRDefault="00000000">
      <w:pPr>
        <w:autoSpaceDE w:val="0"/>
        <w:autoSpaceDN w:val="0"/>
        <w:adjustRightInd w:val="0"/>
        <w:spacing w:line="276" w:lineRule="auto"/>
        <w:rPr>
          <w:rFonts w:ascii="Arial" w:hAnsi="Arial" w:cs="Arial"/>
          <w:kern w:val="0"/>
          <w:sz w:val="22"/>
          <w:szCs w:val="22"/>
        </w:rPr>
      </w:pPr>
      <w:r>
        <w:rPr>
          <w:rFonts w:ascii="Arial" w:hAnsi="Arial" w:cs="Arial"/>
          <w:b/>
          <w:bCs/>
          <w:kern w:val="0"/>
          <w:sz w:val="22"/>
          <w:szCs w:val="22"/>
        </w:rPr>
        <w:t>En SCPI</w:t>
      </w:r>
      <w:r>
        <w:rPr>
          <w:rFonts w:ascii="Arial" w:hAnsi="Arial" w:cs="Arial"/>
          <w:kern w:val="0"/>
          <w:sz w:val="22"/>
          <w:szCs w:val="22"/>
        </w:rPr>
        <w:t>, vous êtes associé, pas gestionnaire. La société de gestion (agréée AMF) prend en charge tout : sélection des actifs, recherche des locataires, recouvrement des loyers, entretien, arbitrage… Votre rôle se résume à recevoir vos revenus trimestriels et à déclarer vos revenus fonciers.</w:t>
      </w:r>
    </w:p>
    <w:p w14:paraId="18E8EDD5" w14:textId="77777777" w:rsidR="00000000" w:rsidRDefault="00000000">
      <w:pPr>
        <w:pBdr>
          <w:left w:val="single" w:sz="12" w:space="0" w:color="auto"/>
        </w:pBdr>
        <w:autoSpaceDE w:val="0"/>
        <w:autoSpaceDN w:val="0"/>
        <w:adjustRightInd w:val="0"/>
        <w:spacing w:before="160" w:line="276" w:lineRule="auto"/>
        <w:ind w:left="360" w:right="360"/>
        <w:rPr>
          <w:rFonts w:ascii="Arial" w:hAnsi="Arial" w:cs="Arial"/>
          <w:kern w:val="0"/>
          <w:sz w:val="22"/>
          <w:szCs w:val="22"/>
        </w:rPr>
      </w:pPr>
      <w:r>
        <w:rPr>
          <w:rFonts w:ascii="Arial" w:hAnsi="Arial" w:cs="Arial"/>
          <w:i/>
          <w:iCs/>
          <w:color w:val="1F497D"/>
          <w:kern w:val="0"/>
          <w:sz w:val="22"/>
          <w:szCs w:val="22"/>
        </w:rPr>
        <w:t>Si vous valorisez votre temps, cherchez une gestion zéro stress ou gérez déjà un patrimoine immobilier complexe, la SCPI est clairement plus adaptée.</w:t>
      </w:r>
    </w:p>
    <w:p w14:paraId="3AF8BB3A"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t>La fiscalité : deux régimes similaires, une marge de manœuvre différente</w:t>
      </w:r>
    </w:p>
    <w:p w14:paraId="73337868" w14:textId="77777777" w:rsidR="00000000" w:rsidRDefault="00000000">
      <w:pPr>
        <w:autoSpaceDE w:val="0"/>
        <w:autoSpaceDN w:val="0"/>
        <w:adjustRightInd w:val="0"/>
        <w:spacing w:before="120" w:line="276" w:lineRule="auto"/>
        <w:rPr>
          <w:rFonts w:ascii="Arial" w:hAnsi="Arial" w:cs="Arial"/>
          <w:kern w:val="0"/>
          <w:sz w:val="22"/>
          <w:szCs w:val="22"/>
        </w:rPr>
      </w:pPr>
      <w:r>
        <w:rPr>
          <w:rFonts w:ascii="Arial" w:hAnsi="Arial" w:cs="Arial"/>
          <w:kern w:val="0"/>
          <w:sz w:val="22"/>
          <w:szCs w:val="22"/>
        </w:rPr>
        <w:t xml:space="preserve">Les deux modes d’investissement génèrent des </w:t>
      </w:r>
      <w:r>
        <w:rPr>
          <w:rFonts w:ascii="Arial" w:hAnsi="Arial" w:cs="Arial"/>
          <w:b/>
          <w:bCs/>
          <w:kern w:val="0"/>
          <w:sz w:val="22"/>
          <w:szCs w:val="22"/>
        </w:rPr>
        <w:t>revenus fonciers</w:t>
      </w:r>
      <w:r>
        <w:rPr>
          <w:rFonts w:ascii="Arial" w:hAnsi="Arial" w:cs="Arial"/>
          <w:kern w:val="0"/>
          <w:sz w:val="22"/>
          <w:szCs w:val="22"/>
        </w:rPr>
        <w:t>, imposés de la même façon : imposition à votre tranche marginale d’imposition (TMI) et prélèvements sociaux de 17,2 %. La différence réside dans les possibilités d’optimisation.</w:t>
      </w:r>
    </w:p>
    <w:tbl>
      <w:tblPr>
        <w:tblW w:w="0" w:type="auto"/>
        <w:tblInd w:w="115" w:type="dxa"/>
        <w:tblLayout w:type="fixed"/>
        <w:tblCellMar>
          <w:left w:w="115" w:type="dxa"/>
          <w:right w:w="115" w:type="dxa"/>
        </w:tblCellMar>
        <w:tblLook w:val="0000" w:firstRow="0" w:lastRow="0" w:firstColumn="0" w:lastColumn="0" w:noHBand="0" w:noVBand="0"/>
      </w:tblPr>
      <w:tblGrid>
        <w:gridCol w:w="3500"/>
        <w:gridCol w:w="2763"/>
        <w:gridCol w:w="2763"/>
      </w:tblGrid>
      <w:tr w:rsidR="00000000" w14:paraId="6876C18A" w14:textId="77777777">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2F5496"/>
          </w:tcPr>
          <w:p w14:paraId="189F33E8"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Dispositif</w:t>
            </w:r>
          </w:p>
        </w:tc>
        <w:tc>
          <w:tcPr>
            <w:tcW w:w="2763" w:type="dxa"/>
            <w:tcBorders>
              <w:top w:val="single" w:sz="4" w:space="0" w:color="auto"/>
              <w:left w:val="single" w:sz="4" w:space="0" w:color="auto"/>
              <w:bottom w:val="single" w:sz="4" w:space="0" w:color="auto"/>
              <w:right w:val="single" w:sz="4" w:space="0" w:color="auto"/>
            </w:tcBorders>
            <w:shd w:val="clear" w:color="auto" w:fill="2F5496"/>
          </w:tcPr>
          <w:p w14:paraId="2E970401"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SCPI</w:t>
            </w:r>
          </w:p>
        </w:tc>
        <w:tc>
          <w:tcPr>
            <w:tcW w:w="2763" w:type="dxa"/>
            <w:tcBorders>
              <w:top w:val="single" w:sz="4" w:space="0" w:color="auto"/>
              <w:left w:val="single" w:sz="4" w:space="0" w:color="auto"/>
              <w:bottom w:val="single" w:sz="4" w:space="0" w:color="auto"/>
              <w:right w:val="single" w:sz="4" w:space="0" w:color="auto"/>
            </w:tcBorders>
            <w:shd w:val="clear" w:color="auto" w:fill="2F5496"/>
          </w:tcPr>
          <w:p w14:paraId="72816118"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color w:val="FFFFFF"/>
                <w:kern w:val="0"/>
                <w:sz w:val="20"/>
                <w:szCs w:val="20"/>
              </w:rPr>
              <w:t>Locatif direct</w:t>
            </w:r>
          </w:p>
        </w:tc>
      </w:tr>
      <w:tr w:rsidR="00000000" w14:paraId="05526436" w14:textId="77777777">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EBF1FB"/>
          </w:tcPr>
          <w:p w14:paraId="2EEBB3A9"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Régime micro-foncier (&lt; 15 000 €/an)</w:t>
            </w:r>
          </w:p>
        </w:tc>
        <w:tc>
          <w:tcPr>
            <w:tcW w:w="2763" w:type="dxa"/>
            <w:tcBorders>
              <w:top w:val="single" w:sz="4" w:space="0" w:color="auto"/>
              <w:left w:val="single" w:sz="4" w:space="0" w:color="auto"/>
              <w:bottom w:val="single" w:sz="4" w:space="0" w:color="auto"/>
              <w:right w:val="single" w:sz="4" w:space="0" w:color="auto"/>
            </w:tcBorders>
            <w:shd w:val="clear" w:color="auto" w:fill="EBF1FB"/>
          </w:tcPr>
          <w:p w14:paraId="23581CC8" w14:textId="4866505D"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 (abattement 30 %)</w:t>
            </w:r>
            <w:r w:rsidR="00601046">
              <w:rPr>
                <w:rFonts w:ascii="Arial" w:hAnsi="Arial" w:cs="Arial"/>
                <w:kern w:val="0"/>
                <w:sz w:val="20"/>
                <w:szCs w:val="20"/>
              </w:rPr>
              <w:t xml:space="preserve"> sous conditions</w:t>
            </w:r>
          </w:p>
        </w:tc>
        <w:tc>
          <w:tcPr>
            <w:tcW w:w="2763" w:type="dxa"/>
            <w:tcBorders>
              <w:top w:val="single" w:sz="4" w:space="0" w:color="auto"/>
              <w:left w:val="single" w:sz="4" w:space="0" w:color="auto"/>
              <w:bottom w:val="single" w:sz="4" w:space="0" w:color="auto"/>
              <w:right w:val="single" w:sz="4" w:space="0" w:color="auto"/>
            </w:tcBorders>
            <w:shd w:val="clear" w:color="auto" w:fill="EBF1FB"/>
          </w:tcPr>
          <w:p w14:paraId="0654FBF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 (abattement 30 %)</w:t>
            </w:r>
          </w:p>
        </w:tc>
      </w:tr>
      <w:tr w:rsidR="00000000" w14:paraId="40ADF1C3" w14:textId="77777777">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tcPr>
          <w:p w14:paraId="44DB114E"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Régime réel (déduction charges réelles)</w:t>
            </w:r>
          </w:p>
        </w:tc>
        <w:tc>
          <w:tcPr>
            <w:tcW w:w="2763" w:type="dxa"/>
            <w:tcBorders>
              <w:top w:val="single" w:sz="4" w:space="0" w:color="auto"/>
              <w:left w:val="single" w:sz="4" w:space="0" w:color="auto"/>
              <w:bottom w:val="single" w:sz="4" w:space="0" w:color="auto"/>
              <w:right w:val="single" w:sz="4" w:space="0" w:color="auto"/>
            </w:tcBorders>
          </w:tcPr>
          <w:p w14:paraId="2333C530" w14:textId="02A41BEF"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w:t>
            </w:r>
            <w:r w:rsidR="00601046">
              <w:rPr>
                <w:rFonts w:ascii="Arial" w:hAnsi="Arial" w:cs="Arial"/>
                <w:kern w:val="0"/>
                <w:sz w:val="20"/>
                <w:szCs w:val="20"/>
              </w:rPr>
              <w:t xml:space="preserve"> (par défaut)</w:t>
            </w:r>
          </w:p>
        </w:tc>
        <w:tc>
          <w:tcPr>
            <w:tcW w:w="2763" w:type="dxa"/>
            <w:tcBorders>
              <w:top w:val="single" w:sz="4" w:space="0" w:color="auto"/>
              <w:left w:val="single" w:sz="4" w:space="0" w:color="auto"/>
              <w:bottom w:val="single" w:sz="4" w:space="0" w:color="auto"/>
              <w:right w:val="single" w:sz="4" w:space="0" w:color="auto"/>
            </w:tcBorders>
          </w:tcPr>
          <w:p w14:paraId="142092D7"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w:t>
            </w:r>
          </w:p>
        </w:tc>
      </w:tr>
      <w:tr w:rsidR="00000000" w14:paraId="0F3DD887" w14:textId="77777777">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EBF1FB"/>
          </w:tcPr>
          <w:p w14:paraId="6C208D65"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Déduction des intérêts d’emprunt</w:t>
            </w:r>
          </w:p>
        </w:tc>
        <w:tc>
          <w:tcPr>
            <w:tcW w:w="2763" w:type="dxa"/>
            <w:tcBorders>
              <w:top w:val="single" w:sz="4" w:space="0" w:color="auto"/>
              <w:left w:val="single" w:sz="4" w:space="0" w:color="auto"/>
              <w:bottom w:val="single" w:sz="4" w:space="0" w:color="auto"/>
              <w:right w:val="single" w:sz="4" w:space="0" w:color="auto"/>
            </w:tcBorders>
            <w:shd w:val="clear" w:color="auto" w:fill="EBF1FB"/>
          </w:tcPr>
          <w:p w14:paraId="37DD4770"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 (si achat à crédit)</w:t>
            </w:r>
          </w:p>
        </w:tc>
        <w:tc>
          <w:tcPr>
            <w:tcW w:w="2763" w:type="dxa"/>
            <w:tcBorders>
              <w:top w:val="single" w:sz="4" w:space="0" w:color="auto"/>
              <w:left w:val="single" w:sz="4" w:space="0" w:color="auto"/>
              <w:bottom w:val="single" w:sz="4" w:space="0" w:color="auto"/>
              <w:right w:val="single" w:sz="4" w:space="0" w:color="auto"/>
            </w:tcBorders>
            <w:shd w:val="clear" w:color="auto" w:fill="EBF1FB"/>
          </w:tcPr>
          <w:p w14:paraId="3F0A752B"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w:t>
            </w:r>
          </w:p>
        </w:tc>
      </w:tr>
      <w:tr w:rsidR="00000000" w14:paraId="73F32770" w14:textId="77777777">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tcPr>
          <w:p w14:paraId="52A867B7"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Déduction des travaux</w:t>
            </w:r>
          </w:p>
        </w:tc>
        <w:tc>
          <w:tcPr>
            <w:tcW w:w="2763" w:type="dxa"/>
            <w:tcBorders>
              <w:top w:val="single" w:sz="4" w:space="0" w:color="auto"/>
              <w:left w:val="single" w:sz="4" w:space="0" w:color="auto"/>
              <w:bottom w:val="single" w:sz="4" w:space="0" w:color="auto"/>
              <w:right w:val="single" w:sz="4" w:space="0" w:color="auto"/>
            </w:tcBorders>
          </w:tcPr>
          <w:p w14:paraId="219FCBEC"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Non (sauf SCPI déficit foncier)</w:t>
            </w:r>
          </w:p>
        </w:tc>
        <w:tc>
          <w:tcPr>
            <w:tcW w:w="2763" w:type="dxa"/>
            <w:tcBorders>
              <w:top w:val="single" w:sz="4" w:space="0" w:color="auto"/>
              <w:left w:val="single" w:sz="4" w:space="0" w:color="auto"/>
              <w:bottom w:val="single" w:sz="4" w:space="0" w:color="auto"/>
              <w:right w:val="single" w:sz="4" w:space="0" w:color="auto"/>
            </w:tcBorders>
          </w:tcPr>
          <w:p w14:paraId="0A5EDA8E"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 xml:space="preserve">Oui </w:t>
            </w:r>
            <w:r>
              <w:rPr>
                <w:rFonts w:ascii="Arial" w:hAnsi="Arial" w:cs="Arial"/>
                <w:b/>
                <w:bCs/>
                <w:i/>
                <w:iCs/>
                <w:kern w:val="0"/>
                <w:sz w:val="20"/>
                <w:szCs w:val="20"/>
              </w:rPr>
              <w:t>(gros avantage du locatif)</w:t>
            </w:r>
          </w:p>
        </w:tc>
      </w:tr>
      <w:tr w:rsidR="00000000" w14:paraId="4824D9FA" w14:textId="77777777">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EBF1FB"/>
          </w:tcPr>
          <w:p w14:paraId="523CFA2F"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Investissement via assurance-vie</w:t>
            </w:r>
          </w:p>
        </w:tc>
        <w:tc>
          <w:tcPr>
            <w:tcW w:w="2763" w:type="dxa"/>
            <w:tcBorders>
              <w:top w:val="single" w:sz="4" w:space="0" w:color="auto"/>
              <w:left w:val="single" w:sz="4" w:space="0" w:color="auto"/>
              <w:bottom w:val="single" w:sz="4" w:space="0" w:color="auto"/>
              <w:right w:val="single" w:sz="4" w:space="0" w:color="auto"/>
            </w:tcBorders>
            <w:shd w:val="clear" w:color="auto" w:fill="EBF1FB"/>
          </w:tcPr>
          <w:p w14:paraId="0856B8B7"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 (fiscalité AV)</w:t>
            </w:r>
          </w:p>
        </w:tc>
        <w:tc>
          <w:tcPr>
            <w:tcW w:w="2763" w:type="dxa"/>
            <w:tcBorders>
              <w:top w:val="single" w:sz="4" w:space="0" w:color="auto"/>
              <w:left w:val="single" w:sz="4" w:space="0" w:color="auto"/>
              <w:bottom w:val="single" w:sz="4" w:space="0" w:color="auto"/>
              <w:right w:val="single" w:sz="4" w:space="0" w:color="auto"/>
            </w:tcBorders>
            <w:shd w:val="clear" w:color="auto" w:fill="EBF1FB"/>
          </w:tcPr>
          <w:p w14:paraId="01F8FD9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Non</w:t>
            </w:r>
          </w:p>
        </w:tc>
      </w:tr>
      <w:tr w:rsidR="00000000" w14:paraId="38DE053D" w14:textId="77777777">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tcPr>
          <w:p w14:paraId="48CB230A"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Investissement en nue-propriété</w:t>
            </w:r>
          </w:p>
        </w:tc>
        <w:tc>
          <w:tcPr>
            <w:tcW w:w="2763" w:type="dxa"/>
            <w:tcBorders>
              <w:top w:val="single" w:sz="4" w:space="0" w:color="auto"/>
              <w:left w:val="single" w:sz="4" w:space="0" w:color="auto"/>
              <w:bottom w:val="single" w:sz="4" w:space="0" w:color="auto"/>
              <w:right w:val="single" w:sz="4" w:space="0" w:color="auto"/>
            </w:tcBorders>
          </w:tcPr>
          <w:p w14:paraId="340C1199"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 (aucune fiscalité pendant la durée)</w:t>
            </w:r>
          </w:p>
        </w:tc>
        <w:tc>
          <w:tcPr>
            <w:tcW w:w="2763" w:type="dxa"/>
            <w:tcBorders>
              <w:top w:val="single" w:sz="4" w:space="0" w:color="auto"/>
              <w:left w:val="single" w:sz="4" w:space="0" w:color="auto"/>
              <w:bottom w:val="single" w:sz="4" w:space="0" w:color="auto"/>
              <w:right w:val="single" w:sz="4" w:space="0" w:color="auto"/>
            </w:tcBorders>
          </w:tcPr>
          <w:p w14:paraId="4E0BE1B0"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Oui mais plus complexe</w:t>
            </w:r>
          </w:p>
        </w:tc>
      </w:tr>
    </w:tbl>
    <w:p w14:paraId="387BC901" w14:textId="77777777" w:rsidR="00000000" w:rsidRDefault="00000000">
      <w:pPr>
        <w:autoSpaceDE w:val="0"/>
        <w:autoSpaceDN w:val="0"/>
        <w:adjustRightInd w:val="0"/>
        <w:spacing w:before="160" w:line="276" w:lineRule="auto"/>
        <w:rPr>
          <w:rFonts w:ascii="Arial" w:hAnsi="Arial" w:cs="Arial"/>
          <w:kern w:val="0"/>
          <w:sz w:val="22"/>
          <w:szCs w:val="22"/>
        </w:rPr>
      </w:pPr>
      <w:r>
        <w:rPr>
          <w:rFonts w:ascii="Arial" w:hAnsi="Arial" w:cs="Arial"/>
          <w:kern w:val="0"/>
          <w:sz w:val="22"/>
          <w:szCs w:val="22"/>
        </w:rPr>
        <w:t>Le locatif direct conserve un avantage fiscal important : la déductibilité des travaux. Un propriétaire au régime réel qui réalise 20 000 € de travaux peut les imputer sur ses revenus fonciers, voire créer un déficit foncier de 10 700 €/an déductible du revenu global. C’est un levier fiscal puissant que la SCPI classique ne permet pas.</w:t>
      </w:r>
    </w:p>
    <w:p w14:paraId="7FDB0F04"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lastRenderedPageBreak/>
        <w:t>La liquidité : un écart qui compte</w:t>
      </w:r>
    </w:p>
    <w:p w14:paraId="11DBFCA0" w14:textId="77777777" w:rsidR="00000000" w:rsidRDefault="00000000">
      <w:pPr>
        <w:autoSpaceDE w:val="0"/>
        <w:autoSpaceDN w:val="0"/>
        <w:adjustRightInd w:val="0"/>
        <w:spacing w:before="120" w:line="276" w:lineRule="auto"/>
        <w:rPr>
          <w:rFonts w:ascii="Arial" w:hAnsi="Arial" w:cs="Arial"/>
          <w:kern w:val="0"/>
          <w:sz w:val="22"/>
          <w:szCs w:val="22"/>
        </w:rPr>
      </w:pPr>
      <w:r>
        <w:rPr>
          <w:rFonts w:ascii="Arial" w:hAnsi="Arial" w:cs="Arial"/>
          <w:kern w:val="0"/>
          <w:sz w:val="22"/>
          <w:szCs w:val="22"/>
        </w:rPr>
        <w:t>Vendre un appartement prend en moyenne 3 à 6 mois (parfois plus en période de crise). La SCPI dispose d’un marché secondaire et de délais de retrait qui varient selon les SCPI et les conditions de marché, mais restent généralement plus courts qu’une cession immobilière classique.</w:t>
      </w:r>
    </w:p>
    <w:p w14:paraId="3F773674" w14:textId="77777777" w:rsidR="00000000" w:rsidRDefault="00000000">
      <w:pPr>
        <w:autoSpaceDE w:val="0"/>
        <w:autoSpaceDN w:val="0"/>
        <w:adjustRightInd w:val="0"/>
        <w:spacing w:line="276" w:lineRule="auto"/>
        <w:rPr>
          <w:rFonts w:ascii="Arial" w:hAnsi="Arial" w:cs="Arial"/>
          <w:kern w:val="0"/>
          <w:sz w:val="22"/>
          <w:szCs w:val="22"/>
        </w:rPr>
      </w:pPr>
      <w:r>
        <w:rPr>
          <w:rFonts w:ascii="Arial" w:hAnsi="Arial" w:cs="Arial"/>
          <w:kern w:val="0"/>
          <w:sz w:val="22"/>
          <w:szCs w:val="22"/>
        </w:rPr>
        <w:t>Cela dit, aucun des deux investissements n’est «liquide» au sens financier du terme. Ni la SCPI ni le locatif ne sont faits pour des horizons courts – on recommande dans les deux cas un minimum de 8 à 10 ans.</w:t>
      </w:r>
    </w:p>
    <w:p w14:paraId="5B70E00C"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t>Le crédit : un accélérateur dans les deux cas</w:t>
      </w:r>
    </w:p>
    <w:p w14:paraId="14501962" w14:textId="77777777" w:rsidR="00000000" w:rsidRDefault="00000000">
      <w:pPr>
        <w:autoSpaceDE w:val="0"/>
        <w:autoSpaceDN w:val="0"/>
        <w:adjustRightInd w:val="0"/>
        <w:spacing w:before="120" w:line="276" w:lineRule="auto"/>
        <w:rPr>
          <w:rFonts w:ascii="Arial" w:hAnsi="Arial" w:cs="Arial"/>
          <w:kern w:val="0"/>
          <w:sz w:val="22"/>
          <w:szCs w:val="22"/>
        </w:rPr>
      </w:pPr>
      <w:r>
        <w:rPr>
          <w:rFonts w:ascii="Arial" w:hAnsi="Arial" w:cs="Arial"/>
          <w:kern w:val="0"/>
          <w:sz w:val="22"/>
          <w:szCs w:val="22"/>
        </w:rPr>
        <w:t>Les deux stratégies sont compatibles avec le financement à crédit – et c’est précisément là que l’effet de levier prend tout son sens. Emprunter à 3-4 % pour investir dans un actif qui rapporte 4,5-5,5 % net crée une plus-value patrimoniale immédiate.</w:t>
      </w:r>
    </w:p>
    <w:p w14:paraId="5FEA8317" w14:textId="77777777" w:rsidR="00000000" w:rsidRDefault="00000000">
      <w:pPr>
        <w:autoSpaceDE w:val="0"/>
        <w:autoSpaceDN w:val="0"/>
        <w:adjustRightInd w:val="0"/>
        <w:spacing w:line="276" w:lineRule="auto"/>
        <w:rPr>
          <w:rFonts w:ascii="Arial" w:hAnsi="Arial" w:cs="Arial"/>
          <w:kern w:val="0"/>
          <w:sz w:val="22"/>
          <w:szCs w:val="22"/>
        </w:rPr>
      </w:pPr>
      <w:r>
        <w:rPr>
          <w:rFonts w:ascii="Arial" w:hAnsi="Arial" w:cs="Arial"/>
          <w:kern w:val="0"/>
          <w:sz w:val="22"/>
          <w:szCs w:val="22"/>
        </w:rPr>
        <w:t>Notez cependant que les banques acceptent plus facilement de financer l’immobilier direct (garantie hypothécaire plus simple) que les SCPI (nantissement de parts). Les conditions d’octroi pour la SCPI à crédit sont plus sélectives – mais les établissements spécialisés existent.</w:t>
      </w:r>
    </w:p>
    <w:p w14:paraId="42B3F5ED"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t>Deux stratégies complémentaires, pas opposées</w:t>
      </w:r>
    </w:p>
    <w:p w14:paraId="0CEE6682" w14:textId="77777777" w:rsidR="00000000" w:rsidRDefault="00000000">
      <w:pPr>
        <w:autoSpaceDE w:val="0"/>
        <w:autoSpaceDN w:val="0"/>
        <w:adjustRightInd w:val="0"/>
        <w:spacing w:before="120" w:after="120" w:line="276" w:lineRule="auto"/>
        <w:rPr>
          <w:rFonts w:ascii="Arial" w:hAnsi="Arial" w:cs="Arial"/>
          <w:kern w:val="0"/>
          <w:sz w:val="22"/>
          <w:szCs w:val="22"/>
        </w:rPr>
      </w:pPr>
      <w:r>
        <w:rPr>
          <w:rFonts w:ascii="Arial" w:hAnsi="Arial" w:cs="Arial"/>
          <w:kern w:val="0"/>
          <w:sz w:val="22"/>
          <w:szCs w:val="22"/>
        </w:rPr>
        <w:t xml:space="preserve">La vraie réponse à la question «SCPI ou locatif ?» n’est pas binaire. Ces deux approches sont souvent </w:t>
      </w:r>
      <w:r>
        <w:rPr>
          <w:rFonts w:ascii="Arial" w:hAnsi="Arial" w:cs="Arial"/>
          <w:b/>
          <w:bCs/>
          <w:kern w:val="0"/>
          <w:sz w:val="22"/>
          <w:szCs w:val="22"/>
        </w:rPr>
        <w:t>complémentaires</w:t>
      </w:r>
      <w:r>
        <w:rPr>
          <w:rFonts w:ascii="Arial" w:hAnsi="Arial" w:cs="Arial"/>
          <w:kern w:val="0"/>
          <w:sz w:val="22"/>
          <w:szCs w:val="22"/>
        </w:rPr>
        <w:t xml:space="preserve"> :</w:t>
      </w:r>
    </w:p>
    <w:p w14:paraId="30DF41CC" w14:textId="77777777" w:rsidR="00000000" w:rsidRDefault="00000000">
      <w:pPr>
        <w:autoSpaceDE w:val="0"/>
        <w:autoSpaceDN w:val="0"/>
        <w:adjustRightInd w:val="0"/>
        <w:spacing w:after="60" w:line="276" w:lineRule="auto"/>
        <w:ind w:left="360" w:hanging="180"/>
        <w:rPr>
          <w:rFonts w:ascii="Arial" w:hAnsi="Arial" w:cs="Arial"/>
          <w:kern w:val="0"/>
          <w:sz w:val="22"/>
          <w:szCs w:val="22"/>
        </w:rPr>
      </w:pPr>
      <w:r>
        <w:rPr>
          <w:rFonts w:ascii="Arial" w:hAnsi="Arial" w:cs="Arial"/>
          <w:kern w:val="0"/>
          <w:sz w:val="22"/>
          <w:szCs w:val="22"/>
        </w:rPr>
        <w:t>•  Un propriétaire qui détient déjà un bien locatif en direct peut diversifier son risque avec des SCPI</w:t>
      </w:r>
    </w:p>
    <w:p w14:paraId="7FEC0E44" w14:textId="77777777" w:rsidR="00000000" w:rsidRDefault="00000000">
      <w:pPr>
        <w:autoSpaceDE w:val="0"/>
        <w:autoSpaceDN w:val="0"/>
        <w:adjustRightInd w:val="0"/>
        <w:spacing w:after="60" w:line="276" w:lineRule="auto"/>
        <w:ind w:left="360" w:hanging="180"/>
        <w:rPr>
          <w:rFonts w:ascii="Arial" w:hAnsi="Arial" w:cs="Arial"/>
          <w:kern w:val="0"/>
          <w:sz w:val="22"/>
          <w:szCs w:val="22"/>
        </w:rPr>
      </w:pPr>
      <w:r>
        <w:rPr>
          <w:rFonts w:ascii="Arial" w:hAnsi="Arial" w:cs="Arial"/>
          <w:kern w:val="0"/>
          <w:sz w:val="22"/>
          <w:szCs w:val="22"/>
        </w:rPr>
        <w:t>•  Un épargnant sans expérience immobilière peut commencer par les SCPI pour s’exposer à l’immobilier sans les contraintes</w:t>
      </w:r>
    </w:p>
    <w:p w14:paraId="1DEC3AC5" w14:textId="77777777" w:rsidR="00000000" w:rsidRDefault="00000000">
      <w:pPr>
        <w:autoSpaceDE w:val="0"/>
        <w:autoSpaceDN w:val="0"/>
        <w:adjustRightInd w:val="0"/>
        <w:spacing w:line="276" w:lineRule="auto"/>
        <w:ind w:left="360" w:hanging="180"/>
        <w:rPr>
          <w:rFonts w:ascii="Arial" w:hAnsi="Arial" w:cs="Arial"/>
          <w:kern w:val="0"/>
          <w:sz w:val="22"/>
          <w:szCs w:val="22"/>
        </w:rPr>
      </w:pPr>
      <w:r>
        <w:rPr>
          <w:rFonts w:ascii="Arial" w:hAnsi="Arial" w:cs="Arial"/>
          <w:kern w:val="0"/>
          <w:sz w:val="22"/>
          <w:szCs w:val="22"/>
        </w:rPr>
        <w:t>•  Un investisseur à forte fiscalité peut combiner : SCPI en nue-propriété + locatif avec travaux pour optimiser son bilan fiscal</w:t>
      </w:r>
    </w:p>
    <w:tbl>
      <w:tblPr>
        <w:tblW w:w="0" w:type="auto"/>
        <w:tblInd w:w="115" w:type="dxa"/>
        <w:tblLayout w:type="fixed"/>
        <w:tblCellMar>
          <w:left w:w="115" w:type="dxa"/>
          <w:right w:w="115" w:type="dxa"/>
        </w:tblCellMar>
        <w:tblLook w:val="0000" w:firstRow="0" w:lastRow="0" w:firstColumn="0" w:lastColumn="0" w:noHBand="0" w:noVBand="0"/>
      </w:tblPr>
      <w:tblGrid>
        <w:gridCol w:w="4513"/>
        <w:gridCol w:w="4513"/>
      </w:tblGrid>
      <w:tr w:rsidR="00000000" w14:paraId="2C63872D" w14:textId="77777777">
        <w:tblPrEx>
          <w:tblCellMar>
            <w:top w:w="0" w:type="dxa"/>
            <w:bottom w:w="0" w:type="dxa"/>
          </w:tblCellMar>
        </w:tblPrEx>
        <w:tc>
          <w:tcPr>
            <w:tcW w:w="4513" w:type="dxa"/>
            <w:tcBorders>
              <w:top w:val="single" w:sz="4" w:space="0" w:color="auto"/>
              <w:left w:val="single" w:sz="4" w:space="0" w:color="auto"/>
              <w:bottom w:val="single" w:sz="4" w:space="0" w:color="auto"/>
              <w:right w:val="single" w:sz="4" w:space="0" w:color="auto"/>
            </w:tcBorders>
            <w:shd w:val="clear" w:color="auto" w:fill="2F5496"/>
          </w:tcPr>
          <w:p w14:paraId="0A9758FB" w14:textId="77777777" w:rsidR="00000000" w:rsidRDefault="00000000">
            <w:pPr>
              <w:autoSpaceDE w:val="0"/>
              <w:autoSpaceDN w:val="0"/>
              <w:adjustRightInd w:val="0"/>
              <w:spacing w:after="0" w:line="240" w:lineRule="auto"/>
              <w:rPr>
                <w:rFonts w:ascii="Arial" w:hAnsi="Arial" w:cs="Arial"/>
                <w:b/>
                <w:bCs/>
                <w:color w:val="FFFFFF"/>
                <w:kern w:val="0"/>
                <w:sz w:val="20"/>
                <w:szCs w:val="20"/>
              </w:rPr>
            </w:pPr>
            <w:r>
              <w:rPr>
                <w:rFonts w:ascii="Arial" w:hAnsi="Arial" w:cs="Arial"/>
                <w:b/>
                <w:bCs/>
                <w:color w:val="FFFFFF"/>
                <w:kern w:val="0"/>
                <w:sz w:val="20"/>
                <w:szCs w:val="20"/>
              </w:rPr>
              <w:t>Votre situation</w:t>
            </w:r>
          </w:p>
        </w:tc>
        <w:tc>
          <w:tcPr>
            <w:tcW w:w="4513" w:type="dxa"/>
            <w:tcBorders>
              <w:top w:val="single" w:sz="4" w:space="0" w:color="auto"/>
              <w:left w:val="single" w:sz="4" w:space="0" w:color="auto"/>
              <w:bottom w:val="single" w:sz="4" w:space="0" w:color="auto"/>
              <w:right w:val="single" w:sz="4" w:space="0" w:color="auto"/>
            </w:tcBorders>
            <w:shd w:val="clear" w:color="auto" w:fill="2F5496"/>
          </w:tcPr>
          <w:p w14:paraId="6B3D5E9C"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b/>
                <w:bCs/>
                <w:color w:val="FFFFFF"/>
                <w:kern w:val="0"/>
                <w:sz w:val="20"/>
                <w:szCs w:val="20"/>
              </w:rPr>
              <w:t>Recommandation</w:t>
            </w:r>
          </w:p>
        </w:tc>
      </w:tr>
      <w:tr w:rsidR="00000000" w14:paraId="1B9588AE" w14:textId="77777777">
        <w:tblPrEx>
          <w:tblCellMar>
            <w:top w:w="0" w:type="dxa"/>
            <w:bottom w:w="0" w:type="dxa"/>
          </w:tblCellMar>
        </w:tblPrEx>
        <w:tc>
          <w:tcPr>
            <w:tcW w:w="4513" w:type="dxa"/>
            <w:tcBorders>
              <w:top w:val="single" w:sz="4" w:space="0" w:color="auto"/>
              <w:left w:val="single" w:sz="4" w:space="0" w:color="auto"/>
              <w:bottom w:val="single" w:sz="4" w:space="0" w:color="auto"/>
              <w:right w:val="single" w:sz="4" w:space="0" w:color="auto"/>
            </w:tcBorders>
            <w:shd w:val="clear" w:color="auto" w:fill="EBF1FB"/>
          </w:tcPr>
          <w:p w14:paraId="0145909C"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Vous débutez, peu de temps à consacrer</w:t>
            </w:r>
          </w:p>
        </w:tc>
        <w:tc>
          <w:tcPr>
            <w:tcW w:w="4513" w:type="dxa"/>
            <w:tcBorders>
              <w:top w:val="single" w:sz="4" w:space="0" w:color="auto"/>
              <w:left w:val="single" w:sz="4" w:space="0" w:color="auto"/>
              <w:bottom w:val="single" w:sz="4" w:space="0" w:color="auto"/>
              <w:right w:val="single" w:sz="4" w:space="0" w:color="auto"/>
            </w:tcBorders>
            <w:shd w:val="clear" w:color="auto" w:fill="EBF1FB"/>
          </w:tcPr>
          <w:p w14:paraId="64C95A2E"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SCPI en priorité</w:t>
            </w:r>
          </w:p>
        </w:tc>
      </w:tr>
      <w:tr w:rsidR="00000000" w14:paraId="0E4FC0EB" w14:textId="77777777">
        <w:tblPrEx>
          <w:tblCellMar>
            <w:top w:w="0" w:type="dxa"/>
            <w:bottom w:w="0" w:type="dxa"/>
          </w:tblCellMar>
        </w:tblPrEx>
        <w:tc>
          <w:tcPr>
            <w:tcW w:w="4513" w:type="dxa"/>
            <w:tcBorders>
              <w:top w:val="single" w:sz="4" w:space="0" w:color="auto"/>
              <w:left w:val="single" w:sz="4" w:space="0" w:color="auto"/>
              <w:bottom w:val="single" w:sz="4" w:space="0" w:color="auto"/>
              <w:right w:val="single" w:sz="4" w:space="0" w:color="auto"/>
            </w:tcBorders>
          </w:tcPr>
          <w:p w14:paraId="52A944B7"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Vous êtes bricoleur, vous aimez gérer</w:t>
            </w:r>
          </w:p>
        </w:tc>
        <w:tc>
          <w:tcPr>
            <w:tcW w:w="4513" w:type="dxa"/>
            <w:tcBorders>
              <w:top w:val="single" w:sz="4" w:space="0" w:color="auto"/>
              <w:left w:val="single" w:sz="4" w:space="0" w:color="auto"/>
              <w:bottom w:val="single" w:sz="4" w:space="0" w:color="auto"/>
              <w:right w:val="single" w:sz="4" w:space="0" w:color="auto"/>
            </w:tcBorders>
          </w:tcPr>
          <w:p w14:paraId="42BE0196"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Locatif direct envisageable</w:t>
            </w:r>
          </w:p>
        </w:tc>
      </w:tr>
      <w:tr w:rsidR="00000000" w14:paraId="33564470" w14:textId="77777777">
        <w:tblPrEx>
          <w:tblCellMar>
            <w:top w:w="0" w:type="dxa"/>
            <w:bottom w:w="0" w:type="dxa"/>
          </w:tblCellMar>
        </w:tblPrEx>
        <w:tc>
          <w:tcPr>
            <w:tcW w:w="4513" w:type="dxa"/>
            <w:tcBorders>
              <w:top w:val="single" w:sz="4" w:space="0" w:color="auto"/>
              <w:left w:val="single" w:sz="4" w:space="0" w:color="auto"/>
              <w:bottom w:val="single" w:sz="4" w:space="0" w:color="auto"/>
              <w:right w:val="single" w:sz="4" w:space="0" w:color="auto"/>
            </w:tcBorders>
            <w:shd w:val="clear" w:color="auto" w:fill="EBF1FB"/>
          </w:tcPr>
          <w:p w14:paraId="24A8C0A7"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Vous avez déjà 1-2 biens en direct</w:t>
            </w:r>
          </w:p>
        </w:tc>
        <w:tc>
          <w:tcPr>
            <w:tcW w:w="4513" w:type="dxa"/>
            <w:tcBorders>
              <w:top w:val="single" w:sz="4" w:space="0" w:color="auto"/>
              <w:left w:val="single" w:sz="4" w:space="0" w:color="auto"/>
              <w:bottom w:val="single" w:sz="4" w:space="0" w:color="auto"/>
              <w:right w:val="single" w:sz="4" w:space="0" w:color="auto"/>
            </w:tcBorders>
            <w:shd w:val="clear" w:color="auto" w:fill="EBF1FB"/>
          </w:tcPr>
          <w:p w14:paraId="78F392DE"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Diversifiez avec des SCPI</w:t>
            </w:r>
          </w:p>
        </w:tc>
      </w:tr>
      <w:tr w:rsidR="00000000" w14:paraId="2FB589AD" w14:textId="77777777">
        <w:tblPrEx>
          <w:tblCellMar>
            <w:top w:w="0" w:type="dxa"/>
            <w:bottom w:w="0" w:type="dxa"/>
          </w:tblCellMar>
        </w:tblPrEx>
        <w:tc>
          <w:tcPr>
            <w:tcW w:w="4513" w:type="dxa"/>
            <w:tcBorders>
              <w:top w:val="single" w:sz="4" w:space="0" w:color="auto"/>
              <w:left w:val="single" w:sz="4" w:space="0" w:color="auto"/>
              <w:bottom w:val="single" w:sz="4" w:space="0" w:color="auto"/>
              <w:right w:val="single" w:sz="4" w:space="0" w:color="auto"/>
            </w:tcBorders>
          </w:tcPr>
          <w:p w14:paraId="0F8C44D9"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Vous êtes fortement imposé</w:t>
            </w:r>
          </w:p>
        </w:tc>
        <w:tc>
          <w:tcPr>
            <w:tcW w:w="4513" w:type="dxa"/>
            <w:tcBorders>
              <w:top w:val="single" w:sz="4" w:space="0" w:color="auto"/>
              <w:left w:val="single" w:sz="4" w:space="0" w:color="auto"/>
              <w:bottom w:val="single" w:sz="4" w:space="0" w:color="auto"/>
              <w:right w:val="single" w:sz="4" w:space="0" w:color="auto"/>
            </w:tcBorders>
          </w:tcPr>
          <w:p w14:paraId="1339E93D"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SCPI + locatif déficit foncier</w:t>
            </w:r>
          </w:p>
        </w:tc>
      </w:tr>
      <w:tr w:rsidR="00000000" w14:paraId="2A4F8611" w14:textId="77777777">
        <w:tblPrEx>
          <w:tblCellMar>
            <w:top w:w="0" w:type="dxa"/>
            <w:bottom w:w="0" w:type="dxa"/>
          </w:tblCellMar>
        </w:tblPrEx>
        <w:tc>
          <w:tcPr>
            <w:tcW w:w="4513" w:type="dxa"/>
            <w:tcBorders>
              <w:top w:val="single" w:sz="4" w:space="0" w:color="auto"/>
              <w:left w:val="single" w:sz="4" w:space="0" w:color="auto"/>
              <w:bottom w:val="single" w:sz="4" w:space="0" w:color="auto"/>
              <w:right w:val="single" w:sz="4" w:space="0" w:color="auto"/>
            </w:tcBorders>
            <w:shd w:val="clear" w:color="auto" w:fill="EBF1FB"/>
          </w:tcPr>
          <w:p w14:paraId="626F7462"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Vous souhaitez investir à crédit sans apport élevé</w:t>
            </w:r>
          </w:p>
        </w:tc>
        <w:tc>
          <w:tcPr>
            <w:tcW w:w="4513" w:type="dxa"/>
            <w:tcBorders>
              <w:top w:val="single" w:sz="4" w:space="0" w:color="auto"/>
              <w:left w:val="single" w:sz="4" w:space="0" w:color="auto"/>
              <w:bottom w:val="single" w:sz="4" w:space="0" w:color="auto"/>
              <w:right w:val="single" w:sz="4" w:space="0" w:color="auto"/>
            </w:tcBorders>
            <w:shd w:val="clear" w:color="auto" w:fill="EBF1FB"/>
          </w:tcPr>
          <w:p w14:paraId="68D0B8D4"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SCPI à crédit plus accessible</w:t>
            </w:r>
          </w:p>
        </w:tc>
      </w:tr>
      <w:tr w:rsidR="00000000" w14:paraId="169A3F0B" w14:textId="77777777">
        <w:tblPrEx>
          <w:tblCellMar>
            <w:top w:w="0" w:type="dxa"/>
            <w:bottom w:w="0" w:type="dxa"/>
          </w:tblCellMar>
        </w:tblPrEx>
        <w:tc>
          <w:tcPr>
            <w:tcW w:w="4513" w:type="dxa"/>
            <w:tcBorders>
              <w:top w:val="single" w:sz="4" w:space="0" w:color="auto"/>
              <w:left w:val="single" w:sz="4" w:space="0" w:color="auto"/>
              <w:bottom w:val="single" w:sz="4" w:space="0" w:color="auto"/>
              <w:right w:val="single" w:sz="4" w:space="0" w:color="auto"/>
            </w:tcBorders>
          </w:tcPr>
          <w:p w14:paraId="47D706FA"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Vous préparez votre retraite sur 15-20 ans</w:t>
            </w:r>
          </w:p>
        </w:tc>
        <w:tc>
          <w:tcPr>
            <w:tcW w:w="4513" w:type="dxa"/>
            <w:tcBorders>
              <w:top w:val="single" w:sz="4" w:space="0" w:color="auto"/>
              <w:left w:val="single" w:sz="4" w:space="0" w:color="auto"/>
              <w:bottom w:val="single" w:sz="4" w:space="0" w:color="auto"/>
              <w:right w:val="single" w:sz="4" w:space="0" w:color="auto"/>
            </w:tcBorders>
          </w:tcPr>
          <w:p w14:paraId="1F3385A1" w14:textId="77777777" w:rsidR="00000000" w:rsidRDefault="00000000">
            <w:pPr>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Les deux, selon votre capacité de gestion</w:t>
            </w:r>
          </w:p>
        </w:tc>
      </w:tr>
    </w:tbl>
    <w:p w14:paraId="36713C66" w14:textId="77777777" w:rsidR="00000000" w:rsidRDefault="00000000">
      <w:pPr>
        <w:autoSpaceDE w:val="0"/>
        <w:autoSpaceDN w:val="0"/>
        <w:adjustRightInd w:val="0"/>
        <w:spacing w:before="320" w:after="120" w:line="240" w:lineRule="auto"/>
        <w:rPr>
          <w:rFonts w:ascii="Arial" w:hAnsi="Arial" w:cs="Arial"/>
          <w:kern w:val="0"/>
          <w:sz w:val="28"/>
          <w:szCs w:val="28"/>
        </w:rPr>
      </w:pPr>
      <w:r>
        <w:rPr>
          <w:rFonts w:ascii="Arial" w:hAnsi="Arial" w:cs="Arial"/>
          <w:b/>
          <w:bCs/>
          <w:color w:val="2F5496"/>
          <w:kern w:val="0"/>
          <w:sz w:val="28"/>
          <w:szCs w:val="28"/>
        </w:rPr>
        <w:t>Ce qu’il faut retenir</w:t>
      </w:r>
    </w:p>
    <w:p w14:paraId="3126DFC2" w14:textId="77777777" w:rsidR="00000000" w:rsidRDefault="00000000">
      <w:pPr>
        <w:pBdr>
          <w:left w:val="single" w:sz="12" w:space="0" w:color="auto"/>
        </w:pBdr>
        <w:autoSpaceDE w:val="0"/>
        <w:autoSpaceDN w:val="0"/>
        <w:adjustRightInd w:val="0"/>
        <w:spacing w:before="160" w:line="276" w:lineRule="auto"/>
        <w:ind w:left="360" w:right="360"/>
        <w:rPr>
          <w:rFonts w:ascii="Arial" w:hAnsi="Arial" w:cs="Arial"/>
          <w:kern w:val="0"/>
          <w:sz w:val="22"/>
          <w:szCs w:val="22"/>
        </w:rPr>
      </w:pPr>
      <w:r>
        <w:rPr>
          <w:rFonts w:ascii="Arial" w:hAnsi="Arial" w:cs="Arial"/>
          <w:i/>
          <w:iCs/>
          <w:color w:val="1F497D"/>
          <w:kern w:val="0"/>
          <w:sz w:val="22"/>
          <w:szCs w:val="22"/>
        </w:rPr>
        <w:t xml:space="preserve">La SCPI n’est pas «mieux» que l’immobilier locatif, ni l’inverse. Chaque stratégie a ses avantages et ses contraintes propres. Là où le locatif direct offre un potentiel de </w:t>
      </w:r>
      <w:r>
        <w:rPr>
          <w:rFonts w:ascii="Arial" w:hAnsi="Arial" w:cs="Arial"/>
          <w:i/>
          <w:iCs/>
          <w:color w:val="1F497D"/>
          <w:kern w:val="0"/>
          <w:sz w:val="22"/>
          <w:szCs w:val="22"/>
        </w:rPr>
        <w:lastRenderedPageBreak/>
        <w:t>rendement brut plus élevé et une déductibilité des travaux, la SCPI se distingue par sa simplicité de gestion, sa diversification automatique et son accessibilité.</w:t>
      </w:r>
    </w:p>
    <w:p w14:paraId="3B62F2FD" w14:textId="77777777" w:rsidR="00000000" w:rsidRDefault="00000000">
      <w:pPr>
        <w:pBdr>
          <w:left w:val="single" w:sz="12" w:space="0" w:color="auto"/>
        </w:pBdr>
        <w:autoSpaceDE w:val="0"/>
        <w:autoSpaceDN w:val="0"/>
        <w:adjustRightInd w:val="0"/>
        <w:spacing w:before="160" w:line="276" w:lineRule="auto"/>
        <w:ind w:left="360" w:right="360"/>
        <w:rPr>
          <w:rFonts w:ascii="Arial" w:hAnsi="Arial" w:cs="Arial"/>
          <w:kern w:val="0"/>
          <w:sz w:val="22"/>
          <w:szCs w:val="22"/>
        </w:rPr>
      </w:pPr>
      <w:r>
        <w:rPr>
          <w:rFonts w:ascii="Arial" w:hAnsi="Arial" w:cs="Arial"/>
          <w:b/>
          <w:bCs/>
          <w:i/>
          <w:iCs/>
          <w:color w:val="1F497D"/>
          <w:kern w:val="0"/>
          <w:sz w:val="22"/>
          <w:szCs w:val="22"/>
        </w:rPr>
        <w:t>La clé, c’est d’aligner votre stratégie immobilière avec votre profil : disponibilité, fiscalité, horizon d’investissement et appétence pour la gestion. Un conseiller en gestion de patrimoine peut vous aider à construire une allocation cohérente qui combine intelligemment les deux approches.</w:t>
      </w:r>
    </w:p>
    <w:p w14:paraId="5E10A1C2" w14:textId="77777777" w:rsidR="00000000" w:rsidRDefault="00000000">
      <w:pPr>
        <w:autoSpaceDE w:val="0"/>
        <w:autoSpaceDN w:val="0"/>
        <w:adjustRightInd w:val="0"/>
        <w:spacing w:before="320" w:after="120" w:line="240" w:lineRule="auto"/>
        <w:rPr>
          <w:rFonts w:ascii="Arial" w:hAnsi="Arial" w:cs="Arial"/>
          <w:kern w:val="0"/>
        </w:rPr>
      </w:pPr>
      <w:r>
        <w:rPr>
          <w:rFonts w:ascii="Arial" w:hAnsi="Arial" w:cs="Arial"/>
          <w:b/>
          <w:bCs/>
          <w:color w:val="2F5496"/>
          <w:kern w:val="0"/>
        </w:rPr>
        <w:t>Sources</w:t>
      </w:r>
    </w:p>
    <w:p w14:paraId="3F1A851D" w14:textId="77777777" w:rsidR="00000000" w:rsidRDefault="00000000">
      <w:pPr>
        <w:autoSpaceDE w:val="0"/>
        <w:autoSpaceDN w:val="0"/>
        <w:adjustRightInd w:val="0"/>
        <w:spacing w:after="80" w:line="240" w:lineRule="auto"/>
        <w:ind w:left="360" w:hanging="180"/>
        <w:rPr>
          <w:rFonts w:ascii="Arial" w:hAnsi="Arial" w:cs="Arial"/>
          <w:kern w:val="0"/>
          <w:sz w:val="20"/>
          <w:szCs w:val="20"/>
        </w:rPr>
      </w:pPr>
      <w:r>
        <w:rPr>
          <w:rFonts w:ascii="Arial" w:hAnsi="Arial" w:cs="Arial"/>
          <w:kern w:val="0"/>
          <w:sz w:val="20"/>
          <w:szCs w:val="20"/>
        </w:rPr>
        <w:t xml:space="preserve">•  ASPIM / IEIF – </w:t>
      </w:r>
      <w:r>
        <w:rPr>
          <w:rFonts w:ascii="Arial" w:hAnsi="Arial" w:cs="Arial"/>
          <w:i/>
          <w:iCs/>
          <w:kern w:val="0"/>
          <w:sz w:val="20"/>
          <w:szCs w:val="20"/>
        </w:rPr>
        <w:t>Baromètre annuel des SCPI</w:t>
      </w:r>
      <w:r>
        <w:rPr>
          <w:rFonts w:ascii="Arial" w:hAnsi="Arial" w:cs="Arial"/>
          <w:kern w:val="0"/>
          <w:sz w:val="20"/>
          <w:szCs w:val="20"/>
        </w:rPr>
        <w:t>, 2023 – aspim.fr</w:t>
      </w:r>
    </w:p>
    <w:p w14:paraId="77718A1D" w14:textId="77777777" w:rsidR="00000000" w:rsidRDefault="00000000">
      <w:pPr>
        <w:autoSpaceDE w:val="0"/>
        <w:autoSpaceDN w:val="0"/>
        <w:adjustRightInd w:val="0"/>
        <w:spacing w:after="80" w:line="240" w:lineRule="auto"/>
        <w:ind w:left="360" w:hanging="180"/>
        <w:rPr>
          <w:rFonts w:ascii="Arial" w:hAnsi="Arial" w:cs="Arial"/>
          <w:kern w:val="0"/>
          <w:sz w:val="20"/>
          <w:szCs w:val="20"/>
        </w:rPr>
      </w:pPr>
      <w:r>
        <w:rPr>
          <w:rFonts w:ascii="Arial" w:hAnsi="Arial" w:cs="Arial"/>
          <w:kern w:val="0"/>
          <w:sz w:val="20"/>
          <w:szCs w:val="20"/>
        </w:rPr>
        <w:t xml:space="preserve">•  Notaires de France – </w:t>
      </w:r>
      <w:r>
        <w:rPr>
          <w:rFonts w:ascii="Arial" w:hAnsi="Arial" w:cs="Arial"/>
          <w:i/>
          <w:iCs/>
          <w:kern w:val="0"/>
          <w:sz w:val="20"/>
          <w:szCs w:val="20"/>
        </w:rPr>
        <w:t>Prix et loyers de l’immobilier résidentiel</w:t>
      </w:r>
      <w:r>
        <w:rPr>
          <w:rFonts w:ascii="Arial" w:hAnsi="Arial" w:cs="Arial"/>
          <w:kern w:val="0"/>
          <w:sz w:val="20"/>
          <w:szCs w:val="20"/>
        </w:rPr>
        <w:t>, 2023 – notaires.fr</w:t>
      </w:r>
    </w:p>
    <w:p w14:paraId="59CC7FE8" w14:textId="77777777" w:rsidR="00000000" w:rsidRDefault="00000000">
      <w:pPr>
        <w:autoSpaceDE w:val="0"/>
        <w:autoSpaceDN w:val="0"/>
        <w:adjustRightInd w:val="0"/>
        <w:spacing w:after="80" w:line="240" w:lineRule="auto"/>
        <w:ind w:left="360" w:hanging="180"/>
        <w:rPr>
          <w:rFonts w:ascii="Arial" w:hAnsi="Arial" w:cs="Arial"/>
          <w:kern w:val="0"/>
          <w:sz w:val="20"/>
          <w:szCs w:val="20"/>
        </w:rPr>
      </w:pPr>
      <w:r>
        <w:rPr>
          <w:rFonts w:ascii="Arial" w:hAnsi="Arial" w:cs="Arial"/>
          <w:kern w:val="0"/>
          <w:sz w:val="20"/>
          <w:szCs w:val="20"/>
        </w:rPr>
        <w:t xml:space="preserve">•  Direction Générale des Finances Publiques – </w:t>
      </w:r>
      <w:r>
        <w:rPr>
          <w:rFonts w:ascii="Arial" w:hAnsi="Arial" w:cs="Arial"/>
          <w:i/>
          <w:iCs/>
          <w:kern w:val="0"/>
          <w:sz w:val="20"/>
          <w:szCs w:val="20"/>
        </w:rPr>
        <w:t>Revenus fonciers et régimes d’imposition</w:t>
      </w:r>
    </w:p>
    <w:p w14:paraId="1553CD69" w14:textId="77777777" w:rsidR="00000000" w:rsidRDefault="00000000">
      <w:pPr>
        <w:autoSpaceDE w:val="0"/>
        <w:autoSpaceDN w:val="0"/>
        <w:adjustRightInd w:val="0"/>
        <w:spacing w:after="80" w:line="240" w:lineRule="auto"/>
        <w:ind w:left="360" w:hanging="180"/>
        <w:rPr>
          <w:rFonts w:ascii="Arial" w:hAnsi="Arial" w:cs="Arial"/>
          <w:kern w:val="0"/>
          <w:sz w:val="20"/>
          <w:szCs w:val="20"/>
        </w:rPr>
      </w:pPr>
      <w:r>
        <w:rPr>
          <w:rFonts w:ascii="Arial" w:hAnsi="Arial" w:cs="Arial"/>
          <w:kern w:val="0"/>
          <w:sz w:val="20"/>
          <w:szCs w:val="20"/>
        </w:rPr>
        <w:t xml:space="preserve">•  FNAIM – </w:t>
      </w:r>
      <w:r>
        <w:rPr>
          <w:rFonts w:ascii="Arial" w:hAnsi="Arial" w:cs="Arial"/>
          <w:i/>
          <w:iCs/>
          <w:kern w:val="0"/>
          <w:sz w:val="20"/>
          <w:szCs w:val="20"/>
        </w:rPr>
        <w:t>Observatoire des loyers et charges locatives</w:t>
      </w:r>
      <w:r>
        <w:rPr>
          <w:rFonts w:ascii="Arial" w:hAnsi="Arial" w:cs="Arial"/>
          <w:kern w:val="0"/>
          <w:sz w:val="20"/>
          <w:szCs w:val="20"/>
        </w:rPr>
        <w:t>, 2023 – fnaim.fr</w:t>
      </w:r>
    </w:p>
    <w:p w14:paraId="4AFBFEB9" w14:textId="77777777" w:rsidR="00000000" w:rsidRDefault="00000000">
      <w:pPr>
        <w:autoSpaceDE w:val="0"/>
        <w:autoSpaceDN w:val="0"/>
        <w:adjustRightInd w:val="0"/>
        <w:spacing w:after="80" w:line="240" w:lineRule="auto"/>
        <w:ind w:left="360" w:hanging="180"/>
        <w:rPr>
          <w:rFonts w:ascii="Arial" w:hAnsi="Arial" w:cs="Arial"/>
          <w:kern w:val="0"/>
          <w:sz w:val="20"/>
          <w:szCs w:val="20"/>
        </w:rPr>
      </w:pPr>
      <w:r>
        <w:rPr>
          <w:rFonts w:ascii="Arial" w:hAnsi="Arial" w:cs="Arial"/>
          <w:kern w:val="0"/>
          <w:sz w:val="20"/>
          <w:szCs w:val="20"/>
        </w:rPr>
        <w:t xml:space="preserve">•  INSEE – </w:t>
      </w:r>
      <w:r>
        <w:rPr>
          <w:rFonts w:ascii="Arial" w:hAnsi="Arial" w:cs="Arial"/>
          <w:i/>
          <w:iCs/>
          <w:kern w:val="0"/>
          <w:sz w:val="20"/>
          <w:szCs w:val="20"/>
        </w:rPr>
        <w:t>Enquête sur les conditions de logement et la gestion locative</w:t>
      </w:r>
      <w:r>
        <w:rPr>
          <w:rFonts w:ascii="Arial" w:hAnsi="Arial" w:cs="Arial"/>
          <w:kern w:val="0"/>
          <w:sz w:val="20"/>
          <w:szCs w:val="20"/>
        </w:rPr>
        <w:t>, 2022</w:t>
      </w:r>
    </w:p>
    <w:p w14:paraId="4067E748" w14:textId="77777777" w:rsidR="00564FF7" w:rsidRDefault="00000000">
      <w:pPr>
        <w:autoSpaceDE w:val="0"/>
        <w:autoSpaceDN w:val="0"/>
        <w:adjustRightInd w:val="0"/>
        <w:spacing w:before="200" w:line="240" w:lineRule="auto"/>
        <w:rPr>
          <w:rFonts w:ascii="Arial" w:hAnsi="Arial" w:cs="Arial"/>
          <w:kern w:val="0"/>
          <w:sz w:val="18"/>
          <w:szCs w:val="18"/>
        </w:rPr>
      </w:pPr>
      <w:r>
        <w:rPr>
          <w:rFonts w:ascii="Arial" w:hAnsi="Arial" w:cs="Arial"/>
          <w:i/>
          <w:iCs/>
          <w:color w:val="1F497D"/>
          <w:kern w:val="0"/>
          <w:sz w:val="18"/>
          <w:szCs w:val="18"/>
        </w:rPr>
        <w:t>Cet article est fourni à titre informatif et ne constitue pas un conseil en investissement. Les rendements mentionnés sont des estimations moyennes. Consultez un professionnel avant toute décision d’investissement.</w:t>
      </w:r>
    </w:p>
    <w:sectPr w:rsidR="00564FF7">
      <w:pgSz w:w="11906" w:h="16838"/>
      <w:pgMar w:top="180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046"/>
    <w:rsid w:val="001010DE"/>
    <w:rsid w:val="00564FF7"/>
    <w:rsid w:val="006010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0530D7A"/>
  <w14:defaultImageDpi w14:val="0"/>
  <w15:docId w15:val="{F6CA576A-6916-AE46-A482-AD7EA278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1252</Words>
  <Characters>6649</Characters>
  <Application>Microsoft Office Word</Application>
  <DocSecurity>0</DocSecurity>
  <Lines>195</Lines>
  <Paragraphs>154</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Vincent Rouffineau</cp:lastModifiedBy>
  <cp:revision>2</cp:revision>
  <dcterms:created xsi:type="dcterms:W3CDTF">2026-04-28T21:59:00Z</dcterms:created>
  <dcterms:modified xsi:type="dcterms:W3CDTF">2026-04-28T21:59:00Z</dcterms:modified>
</cp:coreProperties>
</file>