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9050E" w:rsidTr="00C9050E">
        <w:tc>
          <w:tcPr>
            <w:tcW w:w="3115" w:type="dxa"/>
          </w:tcPr>
          <w:p w:rsidR="00C9050E" w:rsidRPr="00C9050E" w:rsidRDefault="00C9050E">
            <w:r>
              <w:t>Задание</w:t>
            </w:r>
          </w:p>
        </w:tc>
        <w:tc>
          <w:tcPr>
            <w:tcW w:w="3115" w:type="dxa"/>
          </w:tcPr>
          <w:p w:rsidR="00C9050E" w:rsidRDefault="00C9050E">
            <w:r>
              <w:t>Исходный код</w:t>
            </w:r>
          </w:p>
        </w:tc>
        <w:tc>
          <w:tcPr>
            <w:tcW w:w="3115" w:type="dxa"/>
          </w:tcPr>
          <w:p w:rsidR="00C9050E" w:rsidRDefault="00C9050E">
            <w:r>
              <w:t xml:space="preserve">Код после </w:t>
            </w:r>
            <w:proofErr w:type="spellStart"/>
            <w:r>
              <w:t>рефакторинга</w:t>
            </w:r>
            <w:proofErr w:type="spellEnd"/>
          </w:p>
        </w:tc>
      </w:tr>
      <w:tr w:rsidR="00C9050E" w:rsidTr="00C9050E">
        <w:tc>
          <w:tcPr>
            <w:tcW w:w="3115" w:type="dxa"/>
          </w:tcPr>
          <w:p w:rsidR="00C9050E" w:rsidRDefault="00C9050E">
            <w:r w:rsidRPr="00C9050E">
              <w:t xml:space="preserve">Добавить </w:t>
            </w:r>
            <w:proofErr w:type="spellStart"/>
            <w:r w:rsidRPr="00C9050E">
              <w:t>AsNoTracking</w:t>
            </w:r>
            <w:proofErr w:type="spellEnd"/>
            <w:r w:rsidRPr="00C9050E">
              <w:t>, чтобы избежать лишнего отслеживания сущностей, так как данные только читаются.</w:t>
            </w:r>
          </w:p>
        </w:tc>
        <w:tc>
          <w:tcPr>
            <w:tcW w:w="3115" w:type="dxa"/>
          </w:tcPr>
          <w:p w:rsidR="00C9050E" w:rsidRDefault="00C9050E"/>
        </w:tc>
        <w:tc>
          <w:tcPr>
            <w:tcW w:w="3115" w:type="dxa"/>
          </w:tcPr>
          <w:p w:rsidR="00C9050E" w:rsidRDefault="00C9050E"/>
        </w:tc>
      </w:tr>
      <w:tr w:rsidR="00C9050E" w:rsidTr="00C9050E">
        <w:tc>
          <w:tcPr>
            <w:tcW w:w="3115" w:type="dxa"/>
          </w:tcPr>
          <w:p w:rsidR="00C9050E" w:rsidRDefault="00C9050E">
            <w:r>
              <w:t>Н</w:t>
            </w:r>
            <w:r>
              <w:t>ужно использовать проекцию (</w:t>
            </w:r>
            <w:proofErr w:type="spellStart"/>
            <w:r>
              <w:t>Select</w:t>
            </w:r>
            <w:proofErr w:type="spellEnd"/>
            <w:r>
              <w:t>), чтобы выбирать только необходимые данные, а не загружать весь объект</w:t>
            </w:r>
            <w:r>
              <w:t>.</w:t>
            </w:r>
          </w:p>
        </w:tc>
        <w:tc>
          <w:tcPr>
            <w:tcW w:w="3115" w:type="dxa"/>
          </w:tcPr>
          <w:p w:rsidR="00C9050E" w:rsidRDefault="00C9050E"/>
        </w:tc>
        <w:tc>
          <w:tcPr>
            <w:tcW w:w="3115" w:type="dxa"/>
          </w:tcPr>
          <w:p w:rsidR="00C9050E" w:rsidRDefault="00C9050E"/>
        </w:tc>
      </w:tr>
      <w:tr w:rsidR="00C9050E" w:rsidTr="00C9050E">
        <w:tc>
          <w:tcPr>
            <w:tcW w:w="3115" w:type="dxa"/>
          </w:tcPr>
          <w:p w:rsidR="00C9050E" w:rsidRDefault="00C9050E">
            <w:r>
              <w:t xml:space="preserve">Вместо цикла, в котором вызывается </w:t>
            </w:r>
            <w:proofErr w:type="spellStart"/>
            <w:r>
              <w:t>SaveChangesAsync</w:t>
            </w:r>
            <w:proofErr w:type="spellEnd"/>
            <w:r>
              <w:t xml:space="preserve"> для каждого пользователя, использовать </w:t>
            </w:r>
            <w:proofErr w:type="spellStart"/>
            <w:r>
              <w:t>AddRange</w:t>
            </w:r>
            <w:proofErr w:type="spellEnd"/>
            <w:r>
              <w:t xml:space="preserve"> и один вызов </w:t>
            </w:r>
            <w:proofErr w:type="spellStart"/>
            <w:r>
              <w:t>SaveChangesAsync</w:t>
            </w:r>
            <w:proofErr w:type="spellEnd"/>
            <w:r>
              <w:t>.</w:t>
            </w:r>
          </w:p>
        </w:tc>
        <w:tc>
          <w:tcPr>
            <w:tcW w:w="3115" w:type="dxa"/>
          </w:tcPr>
          <w:p w:rsidR="00C9050E" w:rsidRDefault="00C9050E"/>
        </w:tc>
        <w:tc>
          <w:tcPr>
            <w:tcW w:w="3115" w:type="dxa"/>
          </w:tcPr>
          <w:p w:rsidR="00C9050E" w:rsidRDefault="00C9050E"/>
        </w:tc>
      </w:tr>
      <w:tr w:rsidR="00C9050E" w:rsidTr="00C9050E">
        <w:tc>
          <w:tcPr>
            <w:tcW w:w="3115" w:type="dxa"/>
          </w:tcPr>
          <w:p w:rsidR="00C9050E" w:rsidRDefault="00C9050E">
            <w:r>
              <w:t>Заключить всю работу по записи данных в БД в транзакцию, чтобы повысить атомарность операций</w:t>
            </w:r>
            <w:r>
              <w:t>.</w:t>
            </w:r>
          </w:p>
        </w:tc>
        <w:tc>
          <w:tcPr>
            <w:tcW w:w="3115" w:type="dxa"/>
          </w:tcPr>
          <w:p w:rsidR="00C9050E" w:rsidRDefault="00C9050E"/>
        </w:tc>
        <w:tc>
          <w:tcPr>
            <w:tcW w:w="3115" w:type="dxa"/>
          </w:tcPr>
          <w:p w:rsidR="00C9050E" w:rsidRDefault="00C9050E"/>
        </w:tc>
      </w:tr>
      <w:tr w:rsidR="00C9050E" w:rsidRPr="00C9050E" w:rsidTr="00C9050E">
        <w:tc>
          <w:tcPr>
            <w:tcW w:w="3115" w:type="dxa"/>
          </w:tcPr>
          <w:p w:rsidR="00C9050E" w:rsidRDefault="00C9050E">
            <w:pPr>
              <w:rPr>
                <w:lang w:val="en-US"/>
              </w:rPr>
            </w:pPr>
            <w:r>
              <w:t xml:space="preserve">Добавить в </w:t>
            </w:r>
            <w:proofErr w:type="spellStart"/>
            <w:r>
              <w:rPr>
                <w:lang w:val="en-US"/>
              </w:rPr>
              <w:t>UserService</w:t>
            </w:r>
            <w:proofErr w:type="spellEnd"/>
            <w:r>
              <w:rPr>
                <w:lang w:val="en-US"/>
              </w:rPr>
              <w:t>:</w:t>
            </w:r>
          </w:p>
          <w:p w:rsidR="00C9050E" w:rsidRDefault="00C9050E">
            <w:pPr>
              <w:rPr>
                <w:lang w:val="en-US"/>
              </w:rPr>
            </w:pPr>
            <w:r w:rsidRPr="00C9050E">
              <w:rPr>
                <w:lang w:val="en-US"/>
              </w:rPr>
              <w:t xml:space="preserve">- </w:t>
            </w:r>
            <w:r>
              <w:t>метод</w:t>
            </w:r>
            <w:r w:rsidRPr="00C9050E">
              <w:rPr>
                <w:lang w:val="en-US"/>
              </w:rPr>
              <w:t xml:space="preserve"> </w:t>
            </w:r>
            <w:r>
              <w:t>для</w:t>
            </w:r>
            <w:r w:rsidRPr="00C9050E">
              <w:rPr>
                <w:lang w:val="en-US"/>
              </w:rPr>
              <w:t xml:space="preserve"> </w:t>
            </w:r>
            <w:r>
              <w:t>кэширования</w:t>
            </w:r>
            <w:r w:rsidRPr="00C9050E">
              <w:rPr>
                <w:lang w:val="en-US"/>
              </w:rPr>
              <w:t xml:space="preserve"> </w:t>
            </w:r>
            <w:bookmarkStart w:id="0" w:name="_GoBack"/>
            <w:bookmarkEnd w:id="0"/>
          </w:p>
          <w:p w:rsidR="00C9050E" w:rsidRPr="00C9050E" w:rsidRDefault="00C9050E">
            <w:r>
              <w:t>- поле для хранения продолжительности кэширования</w:t>
            </w:r>
          </w:p>
        </w:tc>
        <w:tc>
          <w:tcPr>
            <w:tcW w:w="3115" w:type="dxa"/>
          </w:tcPr>
          <w:p w:rsidR="00C9050E" w:rsidRPr="00C9050E" w:rsidRDefault="00C9050E"/>
        </w:tc>
        <w:tc>
          <w:tcPr>
            <w:tcW w:w="3115" w:type="dxa"/>
          </w:tcPr>
          <w:p w:rsidR="00C9050E" w:rsidRPr="00C9050E" w:rsidRDefault="00C9050E"/>
        </w:tc>
      </w:tr>
    </w:tbl>
    <w:p w:rsidR="00447B1A" w:rsidRPr="00C9050E" w:rsidRDefault="00447B1A"/>
    <w:sectPr w:rsidR="00447B1A" w:rsidRPr="00C90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C03"/>
    <w:rsid w:val="00447B1A"/>
    <w:rsid w:val="004F6C03"/>
    <w:rsid w:val="00C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FFF23"/>
  <w15:chartTrackingRefBased/>
  <w15:docId w15:val="{E18FE3CC-D962-4889-ABCC-90BD3FEE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0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507</Characters>
  <Application>Microsoft Office Word</Application>
  <DocSecurity>0</DocSecurity>
  <Lines>4</Lines>
  <Paragraphs>1</Paragraphs>
  <ScaleCrop>false</ScaleCrop>
  <Company>АКТ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3</cp:revision>
  <dcterms:created xsi:type="dcterms:W3CDTF">2026-09-23T08:56:00Z</dcterms:created>
  <dcterms:modified xsi:type="dcterms:W3CDTF">2026-09-23T08:59:00Z</dcterms:modified>
</cp:coreProperties>
</file>