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C4F94"/>
          <w:sz w:val="48"/>
        </w:rPr>
        <w:t>Projet RH Analytics – DataLendo</w:t>
      </w:r>
    </w:p>
    <w:p>
      <w:r>
        <w:rPr>
          <w:color w:val="52514E"/>
          <w:sz w:val="26"/>
        </w:rPr>
        <w:t>Document Insights : synthèse des résultats et recommandations RH</w:t>
      </w:r>
    </w:p>
    <w:p>
      <w:r>
        <w:rPr>
          <w:b w:val="0"/>
          <w:color w:val="52514E"/>
          <w:sz w:val="19"/>
        </w:rPr>
        <w:t xml:space="preserve">Date de référence de l'analyse : </w:t>
      </w:r>
      <w:r>
        <w:rPr>
          <w:b/>
          <w:color w:val="52514E"/>
          <w:sz w:val="19"/>
        </w:rPr>
        <w:t>10 octobre 2026</w:t>
      </w:r>
      <w:r>
        <w:rPr>
          <w:b w:val="0"/>
          <w:color w:val="52514E"/>
          <w:sz w:val="19"/>
        </w:rPr>
        <w:t xml:space="preserve"> · Périmètre : 1 500 employés, 10 départements, 18 000 évaluations trimestrielles (T1 2022 – T4 2024), 200 départs enregistrés.</w:t>
      </w:r>
    </w:p>
    <w:p>
      <w:pPr>
        <w:pStyle w:val="Heading1"/>
      </w:pPr>
      <w:r>
        <w:t>1. Ce qu'il faut retenir</w:t>
      </w:r>
    </w:p>
    <w:tbl>
      <w:tblPr>
        <w:tblStyle w:val="TableGrid"/>
        <w:tblW w:type="auto" w:w="0"/>
        <w:jc w:val="center"/>
        <w:tblLayout w:type="fixed"/>
        <w:tblLook w:firstColumn="1" w:firstRow="1" w:lastColumn="0" w:lastRow="0" w:noHBand="0" w:noVBand="1" w:val="04A0"/>
        <w:tblLayout w:type="fixed"/>
      </w:tblPr>
      <w:tblGrid>
        <w:gridCol w:w="2608"/>
        <w:gridCol w:w="1927"/>
        <w:gridCol w:w="5103"/>
      </w:tblGrid>
      <w:tr>
        <w:trPr>
          <w:cantSplit w:val="true"/>
          <w:tblHeader w:val="true"/>
        </w:trPr>
        <w:tc>
          <w:tcPr>
            <w:tcW w:type="dxa" w:w="2608"/>
            <w:shd w:val="clear" w:color="auto" w:fill="1C4F94"/>
          </w:tcPr>
          <w:p>
            <w:pPr>
              <w:spacing w:after="20" w:before="20"/>
              <w:jc w:val="left"/>
            </w:pPr>
            <w:r/>
            <w:r>
              <w:rPr>
                <w:b/>
                <w:color w:val="FFFFFF"/>
                <w:sz w:val="18"/>
              </w:rPr>
              <w:t>Indicateur</w:t>
            </w:r>
          </w:p>
        </w:tc>
        <w:tc>
          <w:tcPr>
            <w:tcW w:type="dxa" w:w="1928"/>
            <w:shd w:val="clear" w:color="auto" w:fill="1C4F94"/>
          </w:tcPr>
          <w:p>
            <w:pPr>
              <w:spacing w:after="20" w:before="20"/>
              <w:jc w:val="left"/>
            </w:pPr>
            <w:r/>
            <w:r>
              <w:rPr>
                <w:b/>
                <w:color w:val="FFFFFF"/>
                <w:sz w:val="18"/>
              </w:rPr>
              <w:t>Valeur</w:t>
            </w:r>
          </w:p>
        </w:tc>
        <w:tc>
          <w:tcPr>
            <w:tcW w:type="dxa" w:w="5102"/>
            <w:shd w:val="clear" w:color="auto" w:fill="1C4F94"/>
          </w:tcPr>
          <w:p>
            <w:pPr>
              <w:spacing w:after="20" w:before="20"/>
              <w:jc w:val="left"/>
            </w:pPr>
            <w:r/>
            <w:r>
              <w:rPr>
                <w:b/>
                <w:color w:val="FFFFFF"/>
                <w:sz w:val="18"/>
              </w:rPr>
              <w:t>Lecture</w:t>
            </w:r>
          </w:p>
        </w:tc>
      </w:tr>
      <w:tr>
        <w:trPr>
          <w:cantSplit w:val="true"/>
        </w:trPr>
        <w:tc>
          <w:tcPr>
            <w:tcW w:type="dxa" w:w="2608"/>
          </w:tcPr>
          <w:p>
            <w:pPr>
              <w:spacing w:after="20" w:before="20"/>
              <w:jc w:val="left"/>
            </w:pPr>
            <w:r/>
            <w:r>
              <w:rPr>
                <w:b w:val="0"/>
                <w:sz w:val="18"/>
              </w:rPr>
              <w:t>Employés actifs</w:t>
            </w:r>
          </w:p>
        </w:tc>
        <w:tc>
          <w:tcPr>
            <w:tcW w:type="dxa" w:w="1928"/>
          </w:tcPr>
          <w:p>
            <w:pPr>
              <w:spacing w:after="20" w:before="20"/>
              <w:jc w:val="left"/>
            </w:pPr>
            <w:r/>
            <w:r>
              <w:rPr>
                <w:b w:val="0"/>
                <w:sz w:val="18"/>
              </w:rPr>
              <w:t>1 329</w:t>
            </w:r>
          </w:p>
        </w:tc>
        <w:tc>
          <w:tcPr>
            <w:tcW w:type="dxa" w:w="5102"/>
          </w:tcPr>
          <w:p>
            <w:pPr>
              <w:spacing w:after="20" w:before="20"/>
              <w:jc w:val="left"/>
            </w:pPr>
            <w:r/>
            <w:r>
              <w:rPr>
                <w:b w:val="0"/>
                <w:sz w:val="18"/>
              </w:rPr>
              <w:t>1 300 sans départ enregistré + 29 avec un départ planifié après le 10/10/2026</w:t>
            </w:r>
          </w:p>
        </w:tc>
      </w:tr>
      <w:tr>
        <w:trPr>
          <w:cantSplit w:val="true"/>
        </w:trPr>
        <w:tc>
          <w:tcPr>
            <w:tcW w:type="dxa" w:w="2608"/>
            <w:shd w:val="clear" w:color="auto" w:fill="F1F4F9"/>
          </w:tcPr>
          <w:p>
            <w:pPr>
              <w:spacing w:after="20" w:before="20"/>
              <w:jc w:val="left"/>
            </w:pPr>
            <w:r/>
            <w:r>
              <w:rPr>
                <w:b w:val="0"/>
                <w:sz w:val="18"/>
              </w:rPr>
              <w:t>Départs sur 12 mois glissants</w:t>
            </w:r>
          </w:p>
        </w:tc>
        <w:tc>
          <w:tcPr>
            <w:tcW w:type="dxa" w:w="1928"/>
            <w:shd w:val="clear" w:color="auto" w:fill="F1F4F9"/>
          </w:tcPr>
          <w:p>
            <w:pPr>
              <w:spacing w:after="20" w:before="20"/>
              <w:jc w:val="left"/>
            </w:pPr>
            <w:r/>
            <w:r>
              <w:rPr>
                <w:b w:val="0"/>
                <w:sz w:val="18"/>
              </w:rPr>
              <w:t>23</w:t>
            </w:r>
          </w:p>
        </w:tc>
        <w:tc>
          <w:tcPr>
            <w:tcW w:type="dxa" w:w="5102"/>
            <w:shd w:val="clear" w:color="auto" w:fill="F1F4F9"/>
          </w:tcPr>
          <w:p>
            <w:pPr>
              <w:spacing w:after="20" w:before="20"/>
              <w:jc w:val="left"/>
            </w:pPr>
            <w:r/>
            <w:r>
              <w:rPr>
                <w:b w:val="0"/>
                <w:sz w:val="18"/>
              </w:rPr>
              <w:t>8 volontaires, 15 involontaires (vs 22 en 2025 et 42 en 2024)</w:t>
            </w:r>
          </w:p>
        </w:tc>
      </w:tr>
      <w:tr>
        <w:trPr>
          <w:cantSplit w:val="true"/>
        </w:trPr>
        <w:tc>
          <w:tcPr>
            <w:tcW w:type="dxa" w:w="2608"/>
          </w:tcPr>
          <w:p>
            <w:pPr>
              <w:spacing w:after="20" w:before="20"/>
              <w:jc w:val="left"/>
            </w:pPr>
            <w:r/>
            <w:r>
              <w:rPr>
                <w:b w:val="0"/>
                <w:sz w:val="18"/>
              </w:rPr>
              <w:t>Turnover cumulé</w:t>
            </w:r>
          </w:p>
        </w:tc>
        <w:tc>
          <w:tcPr>
            <w:tcW w:type="dxa" w:w="1928"/>
          </w:tcPr>
          <w:p>
            <w:pPr>
              <w:spacing w:after="20" w:before="20"/>
              <w:jc w:val="left"/>
            </w:pPr>
            <w:r/>
            <w:r>
              <w:rPr>
                <w:b w:val="0"/>
                <w:sz w:val="18"/>
              </w:rPr>
              <w:t>11,4 %</w:t>
            </w:r>
          </w:p>
        </w:tc>
        <w:tc>
          <w:tcPr>
            <w:tcW w:type="dxa" w:w="5102"/>
          </w:tcPr>
          <w:p>
            <w:pPr>
              <w:spacing w:after="20" w:before="20"/>
              <w:jc w:val="left"/>
            </w:pPr>
            <w:r/>
            <w:r>
              <w:rPr>
                <w:b w:val="0"/>
                <w:sz w:val="18"/>
              </w:rPr>
              <w:t>171 départs réalisés / 1 500 employés embauchés depuis 2019</w:t>
            </w:r>
          </w:p>
        </w:tc>
      </w:tr>
      <w:tr>
        <w:trPr>
          <w:cantSplit w:val="true"/>
        </w:trPr>
        <w:tc>
          <w:tcPr>
            <w:tcW w:type="dxa" w:w="2608"/>
            <w:shd w:val="clear" w:color="auto" w:fill="F1F4F9"/>
          </w:tcPr>
          <w:p>
            <w:pPr>
              <w:spacing w:after="20" w:before="20"/>
              <w:jc w:val="left"/>
            </w:pPr>
            <w:r/>
            <w:r>
              <w:rPr>
                <w:b w:val="0"/>
                <w:sz w:val="18"/>
              </w:rPr>
              <w:t>Rétention à 12 / 24 mois</w:t>
            </w:r>
          </w:p>
        </w:tc>
        <w:tc>
          <w:tcPr>
            <w:tcW w:type="dxa" w:w="1928"/>
            <w:shd w:val="clear" w:color="auto" w:fill="F1F4F9"/>
          </w:tcPr>
          <w:p>
            <w:pPr>
              <w:spacing w:after="20" w:before="20"/>
              <w:jc w:val="left"/>
            </w:pPr>
            <w:r/>
            <w:r>
              <w:rPr>
                <w:b w:val="0"/>
                <w:sz w:val="18"/>
              </w:rPr>
              <w:t>98,4 % / 95,6 %</w:t>
            </w:r>
          </w:p>
        </w:tc>
        <w:tc>
          <w:tcPr>
            <w:tcW w:type="dxa" w:w="5102"/>
            <w:shd w:val="clear" w:color="auto" w:fill="F1F4F9"/>
          </w:tcPr>
          <w:p>
            <w:pPr>
              <w:spacing w:after="20" w:before="20"/>
              <w:jc w:val="left"/>
            </w:pPr>
            <w:r/>
            <w:r>
              <w:rPr>
                <w:b w:val="0"/>
                <w:sz w:val="18"/>
              </w:rPr>
              <w:t>Très bonne rétention des nouvelles recrues, quelle que soit la cohorte</w:t>
            </w:r>
          </w:p>
        </w:tc>
      </w:tr>
      <w:tr>
        <w:trPr>
          <w:cantSplit w:val="true"/>
        </w:trPr>
        <w:tc>
          <w:tcPr>
            <w:tcW w:type="dxa" w:w="2608"/>
          </w:tcPr>
          <w:p>
            <w:pPr>
              <w:spacing w:after="20" w:before="20"/>
              <w:jc w:val="left"/>
            </w:pPr>
            <w:r/>
            <w:r>
              <w:rPr>
                <w:b w:val="0"/>
                <w:sz w:val="18"/>
              </w:rPr>
              <w:t>Départs volontaires / involontaires</w:t>
            </w:r>
          </w:p>
        </w:tc>
        <w:tc>
          <w:tcPr>
            <w:tcW w:type="dxa" w:w="1928"/>
          </w:tcPr>
          <w:p>
            <w:pPr>
              <w:spacing w:after="20" w:before="20"/>
              <w:jc w:val="left"/>
            </w:pPr>
            <w:r/>
            <w:r>
              <w:rPr>
                <w:b w:val="0"/>
                <w:sz w:val="18"/>
              </w:rPr>
              <w:t>49,7 % / 50,3 %</w:t>
            </w:r>
          </w:p>
        </w:tc>
        <w:tc>
          <w:tcPr>
            <w:tcW w:type="dxa" w:w="5102"/>
          </w:tcPr>
          <w:p>
            <w:pPr>
              <w:spacing w:after="20" w:before="20"/>
              <w:jc w:val="left"/>
            </w:pPr>
            <w:r/>
            <w:r>
              <w:rPr>
                <w:b w:val="0"/>
                <w:sz w:val="18"/>
              </w:rPr>
              <w:t>Une moitié des départs n'est pas choisie par le salarié</w:t>
            </w:r>
          </w:p>
        </w:tc>
      </w:tr>
      <w:tr>
        <w:trPr>
          <w:cantSplit w:val="true"/>
        </w:trPr>
        <w:tc>
          <w:tcPr>
            <w:tcW w:type="dxa" w:w="2608"/>
            <w:shd w:val="clear" w:color="auto" w:fill="F1F4F9"/>
          </w:tcPr>
          <w:p>
            <w:pPr>
              <w:spacing w:after="20" w:before="20"/>
              <w:jc w:val="left"/>
            </w:pPr>
            <w:r/>
            <w:r>
              <w:rPr>
                <w:b w:val="0"/>
                <w:sz w:val="18"/>
              </w:rPr>
              <w:t>Profil de performance (évalués)</w:t>
            </w:r>
          </w:p>
        </w:tc>
        <w:tc>
          <w:tcPr>
            <w:tcW w:type="dxa" w:w="1928"/>
            <w:shd w:val="clear" w:color="auto" w:fill="F1F4F9"/>
          </w:tcPr>
          <w:p>
            <w:pPr>
              <w:spacing w:after="20" w:before="20"/>
              <w:jc w:val="left"/>
            </w:pPr>
            <w:r/>
            <w:r>
              <w:rPr>
                <w:b w:val="0"/>
                <w:sz w:val="18"/>
              </w:rPr>
              <w:t>17 % / 59 % / 24 %</w:t>
            </w:r>
          </w:p>
        </w:tc>
        <w:tc>
          <w:tcPr>
            <w:tcW w:type="dxa" w:w="5102"/>
            <w:shd w:val="clear" w:color="auto" w:fill="F1F4F9"/>
          </w:tcPr>
          <w:p>
            <w:pPr>
              <w:spacing w:after="20" w:before="20"/>
              <w:jc w:val="left"/>
            </w:pPr>
            <w:r/>
            <w:r>
              <w:rPr>
                <w:b w:val="0"/>
                <w:sz w:val="18"/>
              </w:rPr>
              <w:t>Faible (&lt; 70) / moyen (70 à &lt; 78) / élevé (≥ 78)</w:t>
            </w:r>
          </w:p>
        </w:tc>
      </w:tr>
      <w:tr>
        <w:trPr>
          <w:cantSplit w:val="true"/>
        </w:trPr>
        <w:tc>
          <w:tcPr>
            <w:tcW w:type="dxa" w:w="2608"/>
          </w:tcPr>
          <w:p>
            <w:pPr>
              <w:spacing w:after="20" w:before="20"/>
              <w:jc w:val="left"/>
            </w:pPr>
            <w:r/>
            <w:r>
              <w:rPr>
                <w:b w:val="0"/>
                <w:sz w:val="18"/>
              </w:rPr>
              <w:t>Feedback reçu en 2026</w:t>
            </w:r>
          </w:p>
        </w:tc>
        <w:tc>
          <w:tcPr>
            <w:tcW w:type="dxa" w:w="1928"/>
          </w:tcPr>
          <w:p>
            <w:pPr>
              <w:spacing w:after="20" w:before="20"/>
              <w:jc w:val="left"/>
            </w:pPr>
            <w:r/>
            <w:r>
              <w:rPr>
                <w:b w:val="0"/>
                <w:sz w:val="18"/>
              </w:rPr>
              <w:t>0 sur 1 329</w:t>
            </w:r>
          </w:p>
        </w:tc>
        <w:tc>
          <w:tcPr>
            <w:tcW w:type="dxa" w:w="5102"/>
          </w:tcPr>
          <w:p>
            <w:pPr>
              <w:spacing w:after="20" w:before="20"/>
              <w:jc w:val="left"/>
            </w:pPr>
            <w:r/>
            <w:r>
              <w:rPr>
                <w:b w:val="0"/>
                <w:sz w:val="18"/>
              </w:rPr>
              <w:t>Aucune évaluation enregistrée depuis le 01/10/2024 (739 jours)</w:t>
            </w:r>
          </w:p>
        </w:tc>
      </w:tr>
    </w:tbl>
    <w:p>
      <w:pPr>
        <w:spacing w:after="40"/>
      </w:pPr>
    </w:p>
    <w:p>
      <w:r>
        <w:rPr>
          <w:b/>
        </w:rPr>
        <w:t>Message principal.</w:t>
      </w:r>
      <w:r>
        <w:rPr>
          <w:b w:val="0"/>
        </w:rPr>
        <w:t xml:space="preserve"> Les départements se ressemblent beaucoup plus qu'ils ne diffèrent. Les écarts de turnover (de 9,2 % à 14,7 %) et de performance (de 73,8 à 74,9 points) sont du même ordre que ce que le hasard produit : des tests de permutation donnent p = 0,89 pour le turnover et p = 0,63 pour le score. </w:t>
      </w:r>
      <w:r>
        <w:rPr>
          <w:b/>
        </w:rPr>
        <w:t>Aucun département ne justifie, à lui seul, un plan d'action ciblé sur la base de ces données.</w:t>
      </w:r>
      <w:r>
        <w:rPr>
          <w:b w:val="0"/>
        </w:rPr>
        <w:t xml:space="preserve"> Les vrais sujets sont ailleurs : le suivi du feedback, le lien rémunération / performance, la part de départs involontaires et la fiabilité des données RH.</w:t>
      </w:r>
    </w:p>
    <w:p>
      <w:pPr>
        <w:pStyle w:val="Heading1"/>
      </w:pPr>
      <w:r>
        <w:t>2. Fiabilité des données : cinq points à connaître</w:t>
      </w:r>
    </w:p>
    <w:p>
      <w:r>
        <w:rPr>
          <w:b w:val="0"/>
        </w:rPr>
        <w:t>Plusieurs résultats dépendent de choix de traitement que nous avons dû faire. Ils sont détaillés dans le README ; voici ceux qui changent les chiffres.</w:t>
      </w:r>
    </w:p>
    <w:p>
      <w:pPr>
        <w:pStyle w:val="ListBullet"/>
        <w:spacing w:after="60"/>
      </w:pPr>
      <w:r>
        <w:rPr>
          <w:b/>
        </w:rPr>
        <w:t>Dates de départ contradictoires.</w:t>
      </w:r>
      <w:r>
        <w:rPr>
          <w:b w:val="0"/>
        </w:rPr>
        <w:t xml:space="preserve"> Les 200 dates de la table turnover diffèrent toutes de celles de la table employés (écarts de −8,8 à +8,3 ans, dont 32 départs antérieurs à l'embauche), et l'ancienneté de la table turnover ne correspond pas à l'ancienneté recalculée (écart moyen de 2,9 ans). Nous avons retenu la table employés pour les dates et l'ancienneté, et la table turnover pour le type de départ.</w:t>
      </w:r>
    </w:p>
    <w:p>
      <w:pPr>
        <w:pStyle w:val="ListBullet"/>
        <w:spacing w:after="60"/>
      </w:pPr>
      <w:r>
        <w:rPr>
          <w:b/>
        </w:rPr>
        <w:t>Départs datés dans le futur.</w:t>
      </w:r>
      <w:r>
        <w:rPr>
          <w:b w:val="0"/>
        </w:rPr>
        <w:t xml:space="preserve"> 29 départs sont datés après le 10/10/2026 (jusqu'en 2029). Nous les traitons comme des départs planifiés : ces personnes sont comptées actives. Si on les comptait comme déjà parties, l'effectif actif serait de 1 300.</w:t>
      </w:r>
    </w:p>
    <w:p>
      <w:pPr>
        <w:pStyle w:val="ListBullet"/>
        <w:spacing w:after="60"/>
      </w:pPr>
      <w:r>
        <w:rPr>
          <w:b/>
        </w:rPr>
        <w:t>Évaluations hors période d'emploi.</w:t>
      </w:r>
      <w:r>
        <w:rPr>
          <w:b w:val="0"/>
        </w:rPr>
        <w:t xml:space="preserve"> 3 430 évaluations sur 18 000 (19 %) sont datées avant l'embauche (2 621) ou après le départ (809). Elles sont exclues des calculs de performance.</w:t>
      </w:r>
    </w:p>
    <w:p>
      <w:pPr>
        <w:pStyle w:val="ListBullet"/>
        <w:spacing w:after="60"/>
      </w:pPr>
      <w:r>
        <w:rPr>
          <w:b/>
        </w:rPr>
        <w:t>Objectifs et score déconnectés.</w:t>
      </w:r>
      <w:r>
        <w:rPr>
          <w:b w:val="0"/>
        </w:rPr>
        <w:t xml:space="preserve"> Le score moyen est identique que les objectifs soient atteints ou non (74,5 dans les deux cas) : l'un des deux indicateurs est probablement mal renseigné.</w:t>
      </w:r>
    </w:p>
    <w:p>
      <w:pPr>
        <w:pStyle w:val="ListBullet"/>
        <w:spacing w:after="60"/>
      </w:pPr>
      <w:r>
        <w:rPr>
          <w:b/>
        </w:rPr>
        <w:t>Pas de table de feedback.</w:t>
      </w:r>
      <w:r>
        <w:rPr>
          <w:b w:val="0"/>
        </w:rPr>
        <w:t xml:space="preserve"> Les évaluations trimestrielles servent de proxy pour la question « feedback reçu cette année ». Les postes (Analyste, Finance, Manager, RH, Développeur) sont par ailleurs répartis de manière uniforme dans tous les départements, ce qui n'est pas réaliste.</w:t>
      </w:r>
    </w:p>
    <w:p>
      <w:pPr>
        <w:pStyle w:val="Heading1"/>
      </w:pPr>
      <w:r>
        <w:t>3. Résultats détaillés</w:t>
      </w:r>
    </w:p>
    <w:p>
      <w:pPr>
        <w:pStyle w:val="Heading2"/>
      </w:pPr>
      <w:r>
        <w:t>3.1 Effectifs et ancienneté (Q1, Q5, Q12)</w:t>
      </w:r>
    </w:p>
    <w:p>
      <w:r>
        <w:rPr>
          <w:b w:val="0"/>
        </w:rPr>
        <w:t xml:space="preserve">L'entreprise compte </w:t>
      </w:r>
      <w:r>
        <w:rPr>
          <w:b/>
        </w:rPr>
        <w:t>1 329 employés actifs</w:t>
      </w:r>
      <w:r>
        <w:rPr>
          <w:b w:val="0"/>
        </w:rPr>
        <w:t xml:space="preserve">. </w:t>
      </w:r>
      <w:r>
        <w:rPr>
          <w:b/>
        </w:rPr>
        <w:t>718 d'entre eux ont plus de 5 ans d'ancienneté</w:t>
      </w:r>
      <w:r>
        <w:rPr>
          <w:b w:val="0"/>
        </w:rPr>
        <w:t xml:space="preserve"> (54 %) : la base est mature. L'ancienneté moyenne des actifs est de 5,2 ans, quasi identique pour tous les postes (5,1 à 5,3 ans). Aucun actif n'a moins de 2,8 ans d'ancienneté : </w:t>
      </w:r>
      <w:r>
        <w:rPr>
          <w:b/>
        </w:rPr>
        <w:t>le jeu de données ne contient aucune embauche après décembre 2023</w:t>
      </w:r>
      <w:r>
        <w:rPr>
          <w:b w:val="0"/>
        </w:rPr>
        <w:t>, ce qui fait vieillir mécaniquement l'effectif.</w:t>
      </w:r>
    </w:p>
    <w:p>
      <w:pPr>
        <w:pStyle w:val="Heading2"/>
      </w:pPr>
      <w:r>
        <w:t>3.2 Départs et turnover (Q2, Q3, Q11)</w:t>
      </w:r>
    </w:p>
    <w:p>
      <w:r>
        <w:rPr>
          <w:b w:val="0"/>
        </w:rPr>
        <w:t xml:space="preserve">Sur les 12 derniers mois, </w:t>
      </w:r>
      <w:r>
        <w:rPr>
          <w:b/>
        </w:rPr>
        <w:t>23 départs</w:t>
      </w:r>
      <w:r>
        <w:rPr>
          <w:b w:val="0"/>
        </w:rPr>
        <w:t xml:space="preserve"> ont eu lieu (8 volontaires, 15 involontaires). Après un pic à </w:t>
      </w:r>
      <w:r>
        <w:rPr>
          <w:b/>
        </w:rPr>
        <w:t>42 départs en 2024</w:t>
      </w:r>
      <w:r>
        <w:rPr>
          <w:b w:val="0"/>
        </w:rPr>
        <w:t>, le rythme est revenu à 22 en 2025 et 21 en 2026 à ce jour.</w:t>
      </w:r>
    </w:p>
    <w:p>
      <w:pPr>
        <w:keepNext/>
        <w:jc w:val="center"/>
      </w:pPr>
      <w:r>
        <w:drawing>
          <wp:inline xmlns:a="http://schemas.openxmlformats.org/drawingml/2006/main" xmlns:pic="http://schemas.openxmlformats.org/drawingml/2006/picture">
            <wp:extent cx="5760000" cy="2800000"/>
            <wp:docPr id="1" name="Picture 1"/>
            <wp:cNvGraphicFramePr>
              <a:graphicFrameLocks noChangeAspect="1"/>
            </wp:cNvGraphicFramePr>
            <a:graphic>
              <a:graphicData uri="http://schemas.openxmlformats.org/drawingml/2006/picture">
                <pic:pic>
                  <pic:nvPicPr>
                    <pic:cNvPr id="0" name="fig4_departs_par_annee.png"/>
                    <pic:cNvPicPr/>
                  </pic:nvPicPr>
                  <pic:blipFill>
                    <a:blip r:embed="rId9"/>
                    <a:stretch>
                      <a:fillRect/>
                    </a:stretch>
                  </pic:blipFill>
                  <pic:spPr>
                    <a:xfrm>
                      <a:off x="0" y="0"/>
                      <a:ext cx="5760000" cy="2800000"/>
                    </a:xfrm>
                    <a:prstGeom prst="rect"/>
                  </pic:spPr>
                </pic:pic>
              </a:graphicData>
            </a:graphic>
          </wp:inline>
        </w:drawing>
      </w:r>
    </w:p>
    <w:p>
      <w:pPr>
        <w:jc w:val="center"/>
      </w:pPr>
      <w:r>
        <w:rPr>
          <w:i/>
          <w:color w:val="52514E"/>
          <w:sz w:val="18"/>
        </w:rPr>
        <w:t>Figure 1 – Départs réalisés par année et par type (source : dataset enrichi, voir Q11)</w:t>
      </w:r>
    </w:p>
    <w:p>
      <w:r>
        <w:rPr>
          <w:b w:val="0"/>
        </w:rPr>
        <w:t xml:space="preserve">Le turnover cumulé est le plus élevé en </w:t>
      </w:r>
      <w:r>
        <w:rPr>
          <w:b/>
        </w:rPr>
        <w:t>Opérations (14,7 %)</w:t>
      </w:r>
      <w:r>
        <w:rPr>
          <w:b w:val="0"/>
        </w:rPr>
        <w:t xml:space="preserve">, </w:t>
      </w:r>
      <w:r>
        <w:rPr>
          <w:b/>
        </w:rPr>
        <w:t>Direction Générale (13,8 %)</w:t>
      </w:r>
      <w:r>
        <w:rPr>
          <w:b w:val="0"/>
        </w:rPr>
        <w:t xml:space="preserve"> et </w:t>
      </w:r>
      <w:r>
        <w:rPr>
          <w:b/>
        </w:rPr>
        <w:t>Juridique (12,4 %)</w:t>
      </w:r>
      <w:r>
        <w:rPr>
          <w:b w:val="0"/>
        </w:rPr>
        <w:t>, et le plus bas en Ressources Humaines (9,2 %), Ventes (9,4 %) et Service Client (9,6 %). Sur les 12 derniers mois, c'est pourtant Ventes (5 départs) et Informatique (4) qui sont en tête : le classement cumulé ne dit pas où se situe le risque actuel.</w:t>
      </w:r>
    </w:p>
    <w:p>
      <w:pPr>
        <w:keepNext/>
        <w:jc w:val="center"/>
      </w:pPr>
      <w:r>
        <w:drawing>
          <wp:inline xmlns:a="http://schemas.openxmlformats.org/drawingml/2006/main" xmlns:pic="http://schemas.openxmlformats.org/drawingml/2006/picture">
            <wp:extent cx="5760000" cy="3120000"/>
            <wp:docPr id="2" name="Picture 2"/>
            <wp:cNvGraphicFramePr>
              <a:graphicFrameLocks noChangeAspect="1"/>
            </wp:cNvGraphicFramePr>
            <a:graphic>
              <a:graphicData uri="http://schemas.openxmlformats.org/drawingml/2006/picture">
                <pic:pic>
                  <pic:nvPicPr>
                    <pic:cNvPr id="0" name="fig1_turnover_departement.png"/>
                    <pic:cNvPicPr/>
                  </pic:nvPicPr>
                  <pic:blipFill>
                    <a:blip r:embed="rId10"/>
                    <a:stretch>
                      <a:fillRect/>
                    </a:stretch>
                  </pic:blipFill>
                  <pic:spPr>
                    <a:xfrm>
                      <a:off x="0" y="0"/>
                      <a:ext cx="5760000" cy="3120000"/>
                    </a:xfrm>
                    <a:prstGeom prst="rect"/>
                  </pic:spPr>
                </pic:pic>
              </a:graphicData>
            </a:graphic>
          </wp:inline>
        </w:drawing>
      </w:r>
    </w:p>
    <w:p>
      <w:pPr>
        <w:jc w:val="center"/>
      </w:pPr>
      <w:r>
        <w:rPr>
          <w:i/>
          <w:color w:val="52514E"/>
          <w:sz w:val="18"/>
        </w:rPr>
        <w:t>Figure 2 – Taux de turnover cumulé par département (source : Q3)</w:t>
      </w:r>
    </w:p>
    <w:p>
      <w:r>
        <w:rPr>
          <w:b w:val="0"/>
        </w:rPr>
        <w:t xml:space="preserve">Les départs sont </w:t>
      </w:r>
      <w:r>
        <w:rPr>
          <w:b/>
        </w:rPr>
        <w:t>répartis à parts égales</w:t>
      </w:r>
      <w:r>
        <w:rPr>
          <w:b w:val="0"/>
        </w:rPr>
        <w:t xml:space="preserve"> entre volontaires (85) et involontaires (86). Les involontaires partent en moyenne à 2,7 ans d'ancienneté, les volontaires à 2,3 ans.</w:t>
      </w:r>
    </w:p>
    <w:p>
      <w:pPr>
        <w:pStyle w:val="Heading2"/>
      </w:pPr>
      <w:r>
        <w:t>3.3 Rétention par cohorte d'embauche (Q9)</w:t>
      </w:r>
    </w:p>
    <w:p>
      <w:r>
        <w:rPr>
          <w:b w:val="0"/>
        </w:rPr>
        <w:t xml:space="preserve">La rétention à 12 mois dépasse 97 % pour toutes les cohortes, et atteint au moins 95 % à 24 mois. La cohorte </w:t>
      </w:r>
      <w:r>
        <w:rPr>
          <w:b/>
        </w:rPr>
        <w:t>2020 a la rétention actuelle la plus basse (85,4 %)</w:t>
      </w:r>
      <w:r>
        <w:rPr>
          <w:b w:val="0"/>
        </w:rPr>
        <w:t xml:space="preserve"> et la cohorte 2023 la plus haute (93,3 %), mais ce classement reflète surtout la durée d'observation : à ancienneté égale, les cohortes ne se distinguent pas. Les employés qui partent le font en moyenne après 2,5 ans de présence, rarement dans la première année.</w:t>
      </w:r>
    </w:p>
    <w:p>
      <w:pPr>
        <w:keepNext/>
        <w:jc w:val="center"/>
      </w:pPr>
      <w:r>
        <w:drawing>
          <wp:inline xmlns:a="http://schemas.openxmlformats.org/drawingml/2006/main" xmlns:pic="http://schemas.openxmlformats.org/drawingml/2006/picture">
            <wp:extent cx="5760000" cy="2880000"/>
            <wp:docPr id="3" name="Picture 3"/>
            <wp:cNvGraphicFramePr>
              <a:graphicFrameLocks noChangeAspect="1"/>
            </wp:cNvGraphicFramePr>
            <a:graphic>
              <a:graphicData uri="http://schemas.openxmlformats.org/drawingml/2006/picture">
                <pic:pic>
                  <pic:nvPicPr>
                    <pic:cNvPr id="0" name="fig2_retention_cohorte.png"/>
                    <pic:cNvPicPr/>
                  </pic:nvPicPr>
                  <pic:blipFill>
                    <a:blip r:embed="rId11"/>
                    <a:stretch>
                      <a:fillRect/>
                    </a:stretch>
                  </pic:blipFill>
                  <pic:spPr>
                    <a:xfrm>
                      <a:off x="0" y="0"/>
                      <a:ext cx="5760000" cy="2880000"/>
                    </a:xfrm>
                    <a:prstGeom prst="rect"/>
                  </pic:spPr>
                </pic:pic>
              </a:graphicData>
            </a:graphic>
          </wp:inline>
        </w:drawing>
      </w:r>
    </w:p>
    <w:p>
      <w:pPr>
        <w:jc w:val="center"/>
      </w:pPr>
      <w:r>
        <w:rPr>
          <w:i/>
          <w:color w:val="52514E"/>
          <w:sz w:val="18"/>
        </w:rPr>
        <w:t>Figure 3 – Rétention à 12 mois, 24 mois et actuelle par cohorte (source : Q9)</w:t>
      </w:r>
    </w:p>
    <w:p>
      <w:pPr>
        <w:pStyle w:val="Heading2"/>
      </w:pPr>
      <w:r>
        <w:t>3.4 Rémunération (Q4)</w:t>
      </w:r>
    </w:p>
    <w:p>
      <w:r>
        <w:rPr>
          <w:b w:val="0"/>
        </w:rPr>
        <w:t xml:space="preserve">Le salaire moyen des actifs va de </w:t>
      </w:r>
      <w:r>
        <w:rPr>
          <w:b/>
        </w:rPr>
        <w:t>2 704 (Marketing)</w:t>
      </w:r>
      <w:r>
        <w:rPr>
          <w:b w:val="0"/>
        </w:rPr>
        <w:t xml:space="preserve"> à </w:t>
      </w:r>
      <w:r>
        <w:rPr>
          <w:b/>
        </w:rPr>
        <w:t>3 107 (Finance)</w:t>
      </w:r>
      <w:r>
        <w:rPr>
          <w:b w:val="0"/>
        </w:rPr>
        <w:t xml:space="preserve">, soit un écart de 15 % entre départements. Les postes se distinguent très peu (de 2 870 à 2 971 en moyenne). Surtout, </w:t>
      </w:r>
      <w:r>
        <w:rPr>
          <w:b/>
        </w:rPr>
        <w:t>le salaire n'est lié ni à la performance (corrélation de −0,01) ni à l'ancienneté (+0,01)</w:t>
      </w:r>
      <w:r>
        <w:rPr>
          <w:b w:val="0"/>
        </w:rPr>
        <w:t>. Les employés au profil « élevé » gagnent en moyenne moins (2 865) que ceux au profil « faible » (2 985).</w:t>
      </w:r>
    </w:p>
    <w:p>
      <w:pPr>
        <w:pStyle w:val="Heading2"/>
      </w:pPr>
      <w:r>
        <w:t>3.5 Performance (Q6, Q7, Q8, Q14)</w:t>
      </w:r>
    </w:p>
    <w:p>
      <w:r>
        <w:rPr>
          <w:b w:val="0"/>
        </w:rPr>
        <w:t xml:space="preserve">Le score moyen est stable autour de </w:t>
      </w:r>
      <w:r>
        <w:rPr>
          <w:b/>
        </w:rPr>
        <w:t>74,5 / 100</w:t>
      </w:r>
      <w:r>
        <w:rPr>
          <w:b w:val="0"/>
        </w:rPr>
        <w:t xml:space="preserve"> sur les 12 trimestres. Les départements sont classés dans un mouchoir de poche : </w:t>
      </w:r>
      <w:r>
        <w:rPr>
          <w:b/>
        </w:rPr>
        <w:t>Opérations (74,9), Finance (74,8) et Service Client (74,8)</w:t>
      </w:r>
      <w:r>
        <w:rPr>
          <w:b w:val="0"/>
        </w:rPr>
        <w:t xml:space="preserve"> en tête, </w:t>
      </w:r>
      <w:r>
        <w:rPr>
          <w:b/>
        </w:rPr>
        <w:t>Marketing (73,8)</w:t>
      </w:r>
      <w:r>
        <w:rPr>
          <w:b w:val="0"/>
        </w:rPr>
        <w:t xml:space="preserve"> en queue. Les rangs changent d'un trimestre à l'autre : 8 départements sur 10 ont été classés premiers au moins une fois.</w:t>
      </w:r>
    </w:p>
    <w:p>
      <w:r>
        <w:rPr>
          <w:b/>
        </w:rPr>
        <w:t>Segmentation :</w:t>
      </w:r>
      <w:r>
        <w:rPr>
          <w:b w:val="0"/>
        </w:rPr>
        <w:t xml:space="preserve"> 251 employés ont un profil faible (17 % des évalués), 852 un profil moyen (59 %), 345 un profil élevé (24 %) ; 52 ne sont pas évaluables (moins de 4 évaluations valides, tous déjà partis). Parmi les actifs, </w:t>
      </w:r>
      <w:r>
        <w:rPr>
          <w:b/>
        </w:rPr>
        <w:t>228 ont un profil faible</w:t>
      </w:r>
      <w:r>
        <w:rPr>
          <w:b w:val="0"/>
        </w:rPr>
        <w:t>. Ventes (22,3 % de profils faibles parmi les évalués), Service Client (21,1 %) et Direction Générale (20,5 %) sont les plus concernés, Opérations (10,6 %) le moins. Ces écarts restent dans la marge du hasard.</w:t>
      </w:r>
    </w:p>
    <w:p>
      <w:pPr>
        <w:keepNext/>
        <w:jc w:val="center"/>
      </w:pPr>
      <w:r>
        <w:drawing>
          <wp:inline xmlns:a="http://schemas.openxmlformats.org/drawingml/2006/main" xmlns:pic="http://schemas.openxmlformats.org/drawingml/2006/picture">
            <wp:extent cx="5760000" cy="3120000"/>
            <wp:docPr id="4" name="Picture 4"/>
            <wp:cNvGraphicFramePr>
              <a:graphicFrameLocks noChangeAspect="1"/>
            </wp:cNvGraphicFramePr>
            <a:graphic>
              <a:graphicData uri="http://schemas.openxmlformats.org/drawingml/2006/picture">
                <pic:pic>
                  <pic:nvPicPr>
                    <pic:cNvPr id="0" name="fig3_segmentation_performance.png"/>
                    <pic:cNvPicPr/>
                  </pic:nvPicPr>
                  <pic:blipFill>
                    <a:blip r:embed="rId12"/>
                    <a:stretch>
                      <a:fillRect/>
                    </a:stretch>
                  </pic:blipFill>
                  <pic:spPr>
                    <a:xfrm>
                      <a:off x="0" y="0"/>
                      <a:ext cx="5760000" cy="3120000"/>
                    </a:xfrm>
                    <a:prstGeom prst="rect"/>
                  </pic:spPr>
                </pic:pic>
              </a:graphicData>
            </a:graphic>
          </wp:inline>
        </w:drawing>
      </w:r>
    </w:p>
    <w:p>
      <w:pPr>
        <w:jc w:val="center"/>
      </w:pPr>
      <w:r>
        <w:rPr>
          <w:i/>
          <w:color w:val="52514E"/>
          <w:sz w:val="18"/>
        </w:rPr>
        <w:t>Figure 4 – Répartition des employés évalués par niveau de performance et par département (source : Q14b)</w:t>
      </w:r>
    </w:p>
    <w:p>
      <w:r>
        <w:rPr>
          <w:b w:val="0"/>
        </w:rPr>
        <w:t>Les départs ne sont pas associés à une moindre performance : les employés partis avaient un score moyen de 74,1 contre 74,5 pour les actifs.</w:t>
      </w:r>
    </w:p>
    <w:p>
      <w:pPr>
        <w:spacing w:after="60"/>
      </w:pPr>
      <w:r>
        <w:rPr>
          <w:b/>
        </w:rPr>
        <w:t>Top 10 sur les trois derniers trimestres</w:t>
      </w:r>
      <w:r>
        <w:rPr>
          <w:b w:val="0"/>
        </w:rPr>
        <w:t xml:space="preserve"> (T2 à T4 2024, employés actifs avec 3 évaluations valides). Les données sont anonymisées (Nom_xxx) : le tableau identifie les employés par leur numéro.</w:t>
      </w:r>
    </w:p>
    <w:tbl>
      <w:tblPr>
        <w:tblStyle w:val="TableGrid"/>
        <w:tblW w:type="auto" w:w="0"/>
        <w:jc w:val="center"/>
        <w:tblLayout w:type="fixed"/>
        <w:tblLook w:firstColumn="1" w:firstRow="1" w:lastColumn="0" w:lastRow="0" w:noHBand="0" w:noVBand="1" w:val="04A0"/>
        <w:tblLayout w:type="fixed"/>
      </w:tblPr>
      <w:tblGrid>
        <w:gridCol w:w="793"/>
        <w:gridCol w:w="1247"/>
        <w:gridCol w:w="1474"/>
        <w:gridCol w:w="2494"/>
        <w:gridCol w:w="1474"/>
        <w:gridCol w:w="2154"/>
      </w:tblGrid>
      <w:tr>
        <w:trPr>
          <w:cantSplit w:val="true"/>
          <w:tblHeader w:val="true"/>
        </w:trPr>
        <w:tc>
          <w:tcPr>
            <w:tcW w:type="dxa" w:w="794"/>
            <w:shd w:val="clear" w:color="auto" w:fill="1C4F94"/>
          </w:tcPr>
          <w:p>
            <w:pPr>
              <w:spacing w:after="20" w:before="20"/>
              <w:jc w:val="center"/>
            </w:pPr>
            <w:r/>
            <w:r>
              <w:rPr>
                <w:b/>
                <w:color w:val="FFFFFF"/>
                <w:sz w:val="18"/>
              </w:rPr>
              <w:t>Rang</w:t>
            </w:r>
          </w:p>
        </w:tc>
        <w:tc>
          <w:tcPr>
            <w:tcW w:type="dxa" w:w="1247"/>
            <w:shd w:val="clear" w:color="auto" w:fill="1C4F94"/>
          </w:tcPr>
          <w:p>
            <w:pPr>
              <w:spacing w:after="20" w:before="20"/>
              <w:jc w:val="center"/>
            </w:pPr>
            <w:r/>
            <w:r>
              <w:rPr>
                <w:b/>
                <w:color w:val="FFFFFF"/>
                <w:sz w:val="18"/>
              </w:rPr>
              <w:t>Employé n°</w:t>
            </w:r>
          </w:p>
        </w:tc>
        <w:tc>
          <w:tcPr>
            <w:tcW w:type="dxa" w:w="1474"/>
            <w:shd w:val="clear" w:color="auto" w:fill="1C4F94"/>
          </w:tcPr>
          <w:p>
            <w:pPr>
              <w:spacing w:after="20" w:before="20"/>
              <w:jc w:val="left"/>
            </w:pPr>
            <w:r/>
            <w:r>
              <w:rPr>
                <w:b/>
                <w:color w:val="FFFFFF"/>
                <w:sz w:val="18"/>
              </w:rPr>
              <w:t>Poste</w:t>
            </w:r>
          </w:p>
        </w:tc>
        <w:tc>
          <w:tcPr>
            <w:tcW w:type="dxa" w:w="2494"/>
            <w:shd w:val="clear" w:color="auto" w:fill="1C4F94"/>
          </w:tcPr>
          <w:p>
            <w:pPr>
              <w:spacing w:after="20" w:before="20"/>
              <w:jc w:val="left"/>
            </w:pPr>
            <w:r/>
            <w:r>
              <w:rPr>
                <w:b/>
                <w:color w:val="FFFFFF"/>
                <w:sz w:val="18"/>
              </w:rPr>
              <w:t>Département</w:t>
            </w:r>
          </w:p>
        </w:tc>
        <w:tc>
          <w:tcPr>
            <w:tcW w:type="dxa" w:w="1474"/>
            <w:shd w:val="clear" w:color="auto" w:fill="1C4F94"/>
          </w:tcPr>
          <w:p>
            <w:pPr>
              <w:spacing w:after="20" w:before="20"/>
              <w:jc w:val="center"/>
            </w:pPr>
            <w:r/>
            <w:r>
              <w:rPr>
                <w:b/>
                <w:color w:val="FFFFFF"/>
                <w:sz w:val="18"/>
              </w:rPr>
              <w:t>Score moyen</w:t>
            </w:r>
          </w:p>
        </w:tc>
        <w:tc>
          <w:tcPr>
            <w:tcW w:type="dxa" w:w="2154"/>
            <w:shd w:val="clear" w:color="auto" w:fill="1C4F94"/>
          </w:tcPr>
          <w:p>
            <w:pPr>
              <w:spacing w:after="20" w:before="20"/>
              <w:jc w:val="center"/>
            </w:pPr>
            <w:r/>
            <w:r>
              <w:rPr>
                <w:b/>
                <w:color w:val="FFFFFF"/>
                <w:sz w:val="18"/>
              </w:rPr>
              <w:t>Objectifs atteints (/3)</w:t>
            </w:r>
          </w:p>
        </w:tc>
      </w:tr>
      <w:tr>
        <w:trPr>
          <w:cantSplit w:val="true"/>
        </w:trPr>
        <w:tc>
          <w:tcPr>
            <w:tcW w:type="dxa" w:w="794"/>
          </w:tcPr>
          <w:p>
            <w:pPr>
              <w:spacing w:after="20" w:before="20"/>
              <w:jc w:val="center"/>
            </w:pPr>
            <w:r/>
            <w:r>
              <w:rPr>
                <w:b w:val="0"/>
                <w:sz w:val="18"/>
              </w:rPr>
              <w:t>1</w:t>
            </w:r>
          </w:p>
        </w:tc>
        <w:tc>
          <w:tcPr>
            <w:tcW w:type="dxa" w:w="1247"/>
          </w:tcPr>
          <w:p>
            <w:pPr>
              <w:spacing w:after="20" w:before="20"/>
              <w:jc w:val="center"/>
            </w:pPr>
            <w:r/>
            <w:r>
              <w:rPr>
                <w:b w:val="0"/>
                <w:sz w:val="18"/>
              </w:rPr>
              <w:t>1156</w:t>
            </w:r>
          </w:p>
        </w:tc>
        <w:tc>
          <w:tcPr>
            <w:tcW w:type="dxa" w:w="1474"/>
          </w:tcPr>
          <w:p>
            <w:pPr>
              <w:spacing w:after="20" w:before="20"/>
              <w:jc w:val="left"/>
            </w:pPr>
            <w:r/>
            <w:r>
              <w:rPr>
                <w:b w:val="0"/>
                <w:sz w:val="18"/>
              </w:rPr>
              <w:t>RH</w:t>
            </w:r>
          </w:p>
        </w:tc>
        <w:tc>
          <w:tcPr>
            <w:tcW w:type="dxa" w:w="2494"/>
          </w:tcPr>
          <w:p>
            <w:pPr>
              <w:spacing w:after="20" w:before="20"/>
              <w:jc w:val="left"/>
            </w:pPr>
            <w:r/>
            <w:r>
              <w:rPr>
                <w:b w:val="0"/>
                <w:sz w:val="18"/>
              </w:rPr>
              <w:t>Ressources Humaines</w:t>
            </w:r>
          </w:p>
        </w:tc>
        <w:tc>
          <w:tcPr>
            <w:tcW w:type="dxa" w:w="1474"/>
          </w:tcPr>
          <w:p>
            <w:pPr>
              <w:spacing w:after="20" w:before="20"/>
              <w:jc w:val="right"/>
            </w:pPr>
            <w:r/>
            <w:r>
              <w:rPr>
                <w:b w:val="0"/>
                <w:sz w:val="18"/>
              </w:rPr>
              <w:t>97,33</w:t>
            </w:r>
          </w:p>
        </w:tc>
        <w:tc>
          <w:tcPr>
            <w:tcW w:type="dxa" w:w="2154"/>
          </w:tcPr>
          <w:p>
            <w:pPr>
              <w:spacing w:after="20" w:before="20"/>
              <w:jc w:val="center"/>
            </w:pPr>
            <w:r/>
            <w:r>
              <w:rPr>
                <w:b w:val="0"/>
                <w:sz w:val="18"/>
              </w:rPr>
              <w:t>2</w:t>
            </w:r>
          </w:p>
        </w:tc>
      </w:tr>
      <w:tr>
        <w:trPr>
          <w:cantSplit w:val="true"/>
        </w:trPr>
        <w:tc>
          <w:tcPr>
            <w:tcW w:type="dxa" w:w="794"/>
            <w:shd w:val="clear" w:color="auto" w:fill="F1F4F9"/>
          </w:tcPr>
          <w:p>
            <w:pPr>
              <w:spacing w:after="20" w:before="20"/>
              <w:jc w:val="center"/>
            </w:pPr>
            <w:r/>
            <w:r>
              <w:rPr>
                <w:b w:val="0"/>
                <w:sz w:val="18"/>
              </w:rPr>
              <w:t>2</w:t>
            </w:r>
          </w:p>
        </w:tc>
        <w:tc>
          <w:tcPr>
            <w:tcW w:type="dxa" w:w="1247"/>
            <w:shd w:val="clear" w:color="auto" w:fill="F1F4F9"/>
          </w:tcPr>
          <w:p>
            <w:pPr>
              <w:spacing w:after="20" w:before="20"/>
              <w:jc w:val="center"/>
            </w:pPr>
            <w:r/>
            <w:r>
              <w:rPr>
                <w:b w:val="0"/>
                <w:sz w:val="18"/>
              </w:rPr>
              <w:t>1009</w:t>
            </w:r>
          </w:p>
        </w:tc>
        <w:tc>
          <w:tcPr>
            <w:tcW w:type="dxa" w:w="1474"/>
            <w:shd w:val="clear" w:color="auto" w:fill="F1F4F9"/>
          </w:tcPr>
          <w:p>
            <w:pPr>
              <w:spacing w:after="20" w:before="20"/>
              <w:jc w:val="left"/>
            </w:pPr>
            <w:r/>
            <w:r>
              <w:rPr>
                <w:b w:val="0"/>
                <w:sz w:val="18"/>
              </w:rPr>
              <w:t>Analyste</w:t>
            </w:r>
          </w:p>
        </w:tc>
        <w:tc>
          <w:tcPr>
            <w:tcW w:type="dxa" w:w="2494"/>
            <w:shd w:val="clear" w:color="auto" w:fill="F1F4F9"/>
          </w:tcPr>
          <w:p>
            <w:pPr>
              <w:spacing w:after="20" w:before="20"/>
              <w:jc w:val="left"/>
            </w:pPr>
            <w:r/>
            <w:r>
              <w:rPr>
                <w:b w:val="0"/>
                <w:sz w:val="18"/>
              </w:rPr>
              <w:t>Data &amp; Analytics</w:t>
            </w:r>
          </w:p>
        </w:tc>
        <w:tc>
          <w:tcPr>
            <w:tcW w:type="dxa" w:w="1474"/>
            <w:shd w:val="clear" w:color="auto" w:fill="F1F4F9"/>
          </w:tcPr>
          <w:p>
            <w:pPr>
              <w:spacing w:after="20" w:before="20"/>
              <w:jc w:val="right"/>
            </w:pPr>
            <w:r/>
            <w:r>
              <w:rPr>
                <w:b w:val="0"/>
                <w:sz w:val="18"/>
              </w:rPr>
              <w:t>96,00</w:t>
            </w:r>
          </w:p>
        </w:tc>
        <w:tc>
          <w:tcPr>
            <w:tcW w:type="dxa" w:w="2154"/>
            <w:shd w:val="clear" w:color="auto" w:fill="F1F4F9"/>
          </w:tcPr>
          <w:p>
            <w:pPr>
              <w:spacing w:after="20" w:before="20"/>
              <w:jc w:val="center"/>
            </w:pPr>
            <w:r/>
            <w:r>
              <w:rPr>
                <w:b w:val="0"/>
                <w:sz w:val="18"/>
              </w:rPr>
              <w:t>1</w:t>
            </w:r>
          </w:p>
        </w:tc>
      </w:tr>
      <w:tr>
        <w:trPr>
          <w:cantSplit w:val="true"/>
        </w:trPr>
        <w:tc>
          <w:tcPr>
            <w:tcW w:type="dxa" w:w="794"/>
          </w:tcPr>
          <w:p>
            <w:pPr>
              <w:spacing w:after="20" w:before="20"/>
              <w:jc w:val="center"/>
            </w:pPr>
            <w:r/>
            <w:r>
              <w:rPr>
                <w:b w:val="0"/>
                <w:sz w:val="18"/>
              </w:rPr>
              <w:t>3</w:t>
            </w:r>
          </w:p>
        </w:tc>
        <w:tc>
          <w:tcPr>
            <w:tcW w:type="dxa" w:w="1247"/>
          </w:tcPr>
          <w:p>
            <w:pPr>
              <w:spacing w:after="20" w:before="20"/>
              <w:jc w:val="center"/>
            </w:pPr>
            <w:r/>
            <w:r>
              <w:rPr>
                <w:b w:val="0"/>
                <w:sz w:val="18"/>
              </w:rPr>
              <w:t>536</w:t>
            </w:r>
          </w:p>
        </w:tc>
        <w:tc>
          <w:tcPr>
            <w:tcW w:type="dxa" w:w="1474"/>
          </w:tcPr>
          <w:p>
            <w:pPr>
              <w:spacing w:after="20" w:before="20"/>
              <w:jc w:val="left"/>
            </w:pPr>
            <w:r/>
            <w:r>
              <w:rPr>
                <w:b w:val="0"/>
                <w:sz w:val="18"/>
              </w:rPr>
              <w:t>Finance</w:t>
            </w:r>
          </w:p>
        </w:tc>
        <w:tc>
          <w:tcPr>
            <w:tcW w:type="dxa" w:w="2494"/>
          </w:tcPr>
          <w:p>
            <w:pPr>
              <w:spacing w:after="20" w:before="20"/>
              <w:jc w:val="left"/>
            </w:pPr>
            <w:r/>
            <w:r>
              <w:rPr>
                <w:b w:val="0"/>
                <w:sz w:val="18"/>
              </w:rPr>
              <w:t>Ventes</w:t>
            </w:r>
          </w:p>
        </w:tc>
        <w:tc>
          <w:tcPr>
            <w:tcW w:type="dxa" w:w="1474"/>
          </w:tcPr>
          <w:p>
            <w:pPr>
              <w:spacing w:after="20" w:before="20"/>
              <w:jc w:val="right"/>
            </w:pPr>
            <w:r/>
            <w:r>
              <w:rPr>
                <w:b w:val="0"/>
                <w:sz w:val="18"/>
              </w:rPr>
              <w:t>95,00</w:t>
            </w:r>
          </w:p>
        </w:tc>
        <w:tc>
          <w:tcPr>
            <w:tcW w:type="dxa" w:w="2154"/>
          </w:tcPr>
          <w:p>
            <w:pPr>
              <w:spacing w:after="20" w:before="20"/>
              <w:jc w:val="center"/>
            </w:pPr>
            <w:r/>
            <w:r>
              <w:rPr>
                <w:b w:val="0"/>
                <w:sz w:val="18"/>
              </w:rPr>
              <w:t>2</w:t>
            </w:r>
          </w:p>
        </w:tc>
      </w:tr>
      <w:tr>
        <w:trPr>
          <w:cantSplit w:val="true"/>
        </w:trPr>
        <w:tc>
          <w:tcPr>
            <w:tcW w:type="dxa" w:w="794"/>
            <w:shd w:val="clear" w:color="auto" w:fill="F1F4F9"/>
          </w:tcPr>
          <w:p>
            <w:pPr>
              <w:spacing w:after="20" w:before="20"/>
              <w:jc w:val="center"/>
            </w:pPr>
            <w:r/>
            <w:r>
              <w:rPr>
                <w:b w:val="0"/>
                <w:sz w:val="18"/>
              </w:rPr>
              <w:t>4</w:t>
            </w:r>
          </w:p>
        </w:tc>
        <w:tc>
          <w:tcPr>
            <w:tcW w:type="dxa" w:w="1247"/>
            <w:shd w:val="clear" w:color="auto" w:fill="F1F4F9"/>
          </w:tcPr>
          <w:p>
            <w:pPr>
              <w:spacing w:after="20" w:before="20"/>
              <w:jc w:val="center"/>
            </w:pPr>
            <w:r/>
            <w:r>
              <w:rPr>
                <w:b w:val="0"/>
                <w:sz w:val="18"/>
              </w:rPr>
              <w:t>424</w:t>
            </w:r>
          </w:p>
        </w:tc>
        <w:tc>
          <w:tcPr>
            <w:tcW w:type="dxa" w:w="1474"/>
            <w:shd w:val="clear" w:color="auto" w:fill="F1F4F9"/>
          </w:tcPr>
          <w:p>
            <w:pPr>
              <w:spacing w:after="20" w:before="20"/>
              <w:jc w:val="left"/>
            </w:pPr>
            <w:r/>
            <w:r>
              <w:rPr>
                <w:b w:val="0"/>
                <w:sz w:val="18"/>
              </w:rPr>
              <w:t>Analyste</w:t>
            </w:r>
          </w:p>
        </w:tc>
        <w:tc>
          <w:tcPr>
            <w:tcW w:type="dxa" w:w="2494"/>
            <w:shd w:val="clear" w:color="auto" w:fill="F1F4F9"/>
          </w:tcPr>
          <w:p>
            <w:pPr>
              <w:spacing w:after="20" w:before="20"/>
              <w:jc w:val="left"/>
            </w:pPr>
            <w:r/>
            <w:r>
              <w:rPr>
                <w:b w:val="0"/>
                <w:sz w:val="18"/>
              </w:rPr>
              <w:t>Opérations</w:t>
            </w:r>
          </w:p>
        </w:tc>
        <w:tc>
          <w:tcPr>
            <w:tcW w:type="dxa" w:w="1474"/>
            <w:shd w:val="clear" w:color="auto" w:fill="F1F4F9"/>
          </w:tcPr>
          <w:p>
            <w:pPr>
              <w:spacing w:after="20" w:before="20"/>
              <w:jc w:val="right"/>
            </w:pPr>
            <w:r/>
            <w:r>
              <w:rPr>
                <w:b w:val="0"/>
                <w:sz w:val="18"/>
              </w:rPr>
              <w:t>95,00</w:t>
            </w:r>
          </w:p>
        </w:tc>
        <w:tc>
          <w:tcPr>
            <w:tcW w:type="dxa" w:w="2154"/>
            <w:shd w:val="clear" w:color="auto" w:fill="F1F4F9"/>
          </w:tcPr>
          <w:p>
            <w:pPr>
              <w:spacing w:after="20" w:before="20"/>
              <w:jc w:val="center"/>
            </w:pPr>
            <w:r/>
            <w:r>
              <w:rPr>
                <w:b w:val="0"/>
                <w:sz w:val="18"/>
              </w:rPr>
              <w:t>1</w:t>
            </w:r>
          </w:p>
        </w:tc>
      </w:tr>
      <w:tr>
        <w:trPr>
          <w:cantSplit w:val="true"/>
        </w:trPr>
        <w:tc>
          <w:tcPr>
            <w:tcW w:type="dxa" w:w="794"/>
          </w:tcPr>
          <w:p>
            <w:pPr>
              <w:spacing w:after="20" w:before="20"/>
              <w:jc w:val="center"/>
            </w:pPr>
            <w:r/>
            <w:r>
              <w:rPr>
                <w:b w:val="0"/>
                <w:sz w:val="18"/>
              </w:rPr>
              <w:t>5</w:t>
            </w:r>
          </w:p>
        </w:tc>
        <w:tc>
          <w:tcPr>
            <w:tcW w:type="dxa" w:w="1247"/>
          </w:tcPr>
          <w:p>
            <w:pPr>
              <w:spacing w:after="20" w:before="20"/>
              <w:jc w:val="center"/>
            </w:pPr>
            <w:r/>
            <w:r>
              <w:rPr>
                <w:b w:val="0"/>
                <w:sz w:val="18"/>
              </w:rPr>
              <w:t>549</w:t>
            </w:r>
          </w:p>
        </w:tc>
        <w:tc>
          <w:tcPr>
            <w:tcW w:type="dxa" w:w="1474"/>
          </w:tcPr>
          <w:p>
            <w:pPr>
              <w:spacing w:after="20" w:before="20"/>
              <w:jc w:val="left"/>
            </w:pPr>
            <w:r/>
            <w:r>
              <w:rPr>
                <w:b w:val="0"/>
                <w:sz w:val="18"/>
              </w:rPr>
              <w:t>Analyste</w:t>
            </w:r>
          </w:p>
        </w:tc>
        <w:tc>
          <w:tcPr>
            <w:tcW w:type="dxa" w:w="2494"/>
          </w:tcPr>
          <w:p>
            <w:pPr>
              <w:spacing w:after="20" w:before="20"/>
              <w:jc w:val="left"/>
            </w:pPr>
            <w:r/>
            <w:r>
              <w:rPr>
                <w:b w:val="0"/>
                <w:sz w:val="18"/>
              </w:rPr>
              <w:t>Ventes</w:t>
            </w:r>
          </w:p>
        </w:tc>
        <w:tc>
          <w:tcPr>
            <w:tcW w:type="dxa" w:w="1474"/>
          </w:tcPr>
          <w:p>
            <w:pPr>
              <w:spacing w:after="20" w:before="20"/>
              <w:jc w:val="right"/>
            </w:pPr>
            <w:r/>
            <w:r>
              <w:rPr>
                <w:b w:val="0"/>
                <w:sz w:val="18"/>
              </w:rPr>
              <w:t>94,67</w:t>
            </w:r>
          </w:p>
        </w:tc>
        <w:tc>
          <w:tcPr>
            <w:tcW w:type="dxa" w:w="2154"/>
          </w:tcPr>
          <w:p>
            <w:pPr>
              <w:spacing w:after="20" w:before="20"/>
              <w:jc w:val="center"/>
            </w:pPr>
            <w:r/>
            <w:r>
              <w:rPr>
                <w:b w:val="0"/>
                <w:sz w:val="18"/>
              </w:rPr>
              <w:t>1</w:t>
            </w:r>
          </w:p>
        </w:tc>
      </w:tr>
      <w:tr>
        <w:trPr>
          <w:cantSplit w:val="true"/>
        </w:trPr>
        <w:tc>
          <w:tcPr>
            <w:tcW w:type="dxa" w:w="794"/>
            <w:shd w:val="clear" w:color="auto" w:fill="F1F4F9"/>
          </w:tcPr>
          <w:p>
            <w:pPr>
              <w:spacing w:after="20" w:before="20"/>
              <w:jc w:val="center"/>
            </w:pPr>
            <w:r/>
            <w:r>
              <w:rPr>
                <w:b w:val="0"/>
                <w:sz w:val="18"/>
              </w:rPr>
              <w:t>6</w:t>
            </w:r>
          </w:p>
        </w:tc>
        <w:tc>
          <w:tcPr>
            <w:tcW w:type="dxa" w:w="1247"/>
            <w:shd w:val="clear" w:color="auto" w:fill="F1F4F9"/>
          </w:tcPr>
          <w:p>
            <w:pPr>
              <w:spacing w:after="20" w:before="20"/>
              <w:jc w:val="center"/>
            </w:pPr>
            <w:r/>
            <w:r>
              <w:rPr>
                <w:b w:val="0"/>
                <w:sz w:val="18"/>
              </w:rPr>
              <w:t>852</w:t>
            </w:r>
          </w:p>
        </w:tc>
        <w:tc>
          <w:tcPr>
            <w:tcW w:type="dxa" w:w="1474"/>
            <w:shd w:val="clear" w:color="auto" w:fill="F1F4F9"/>
          </w:tcPr>
          <w:p>
            <w:pPr>
              <w:spacing w:after="20" w:before="20"/>
              <w:jc w:val="left"/>
            </w:pPr>
            <w:r/>
            <w:r>
              <w:rPr>
                <w:b w:val="0"/>
                <w:sz w:val="18"/>
              </w:rPr>
              <w:t>Analyste</w:t>
            </w:r>
          </w:p>
        </w:tc>
        <w:tc>
          <w:tcPr>
            <w:tcW w:type="dxa" w:w="2494"/>
            <w:shd w:val="clear" w:color="auto" w:fill="F1F4F9"/>
          </w:tcPr>
          <w:p>
            <w:pPr>
              <w:spacing w:after="20" w:before="20"/>
              <w:jc w:val="left"/>
            </w:pPr>
            <w:r/>
            <w:r>
              <w:rPr>
                <w:b w:val="0"/>
                <w:sz w:val="18"/>
              </w:rPr>
              <w:t>Marketing</w:t>
            </w:r>
          </w:p>
        </w:tc>
        <w:tc>
          <w:tcPr>
            <w:tcW w:type="dxa" w:w="1474"/>
            <w:shd w:val="clear" w:color="auto" w:fill="F1F4F9"/>
          </w:tcPr>
          <w:p>
            <w:pPr>
              <w:spacing w:after="20" w:before="20"/>
              <w:jc w:val="right"/>
            </w:pPr>
            <w:r/>
            <w:r>
              <w:rPr>
                <w:b w:val="0"/>
                <w:sz w:val="18"/>
              </w:rPr>
              <w:t>94,67</w:t>
            </w:r>
          </w:p>
        </w:tc>
        <w:tc>
          <w:tcPr>
            <w:tcW w:type="dxa" w:w="2154"/>
            <w:shd w:val="clear" w:color="auto" w:fill="F1F4F9"/>
          </w:tcPr>
          <w:p>
            <w:pPr>
              <w:spacing w:after="20" w:before="20"/>
              <w:jc w:val="center"/>
            </w:pPr>
            <w:r/>
            <w:r>
              <w:rPr>
                <w:b w:val="0"/>
                <w:sz w:val="18"/>
              </w:rPr>
              <w:t>1</w:t>
            </w:r>
          </w:p>
        </w:tc>
      </w:tr>
      <w:tr>
        <w:trPr>
          <w:cantSplit w:val="true"/>
        </w:trPr>
        <w:tc>
          <w:tcPr>
            <w:tcW w:type="dxa" w:w="794"/>
          </w:tcPr>
          <w:p>
            <w:pPr>
              <w:spacing w:after="20" w:before="20"/>
              <w:jc w:val="center"/>
            </w:pPr>
            <w:r/>
            <w:r>
              <w:rPr>
                <w:b w:val="0"/>
                <w:sz w:val="18"/>
              </w:rPr>
              <w:t>7</w:t>
            </w:r>
          </w:p>
        </w:tc>
        <w:tc>
          <w:tcPr>
            <w:tcW w:type="dxa" w:w="1247"/>
          </w:tcPr>
          <w:p>
            <w:pPr>
              <w:spacing w:after="20" w:before="20"/>
              <w:jc w:val="center"/>
            </w:pPr>
            <w:r/>
            <w:r>
              <w:rPr>
                <w:b w:val="0"/>
                <w:sz w:val="18"/>
              </w:rPr>
              <w:t>1366</w:t>
            </w:r>
          </w:p>
        </w:tc>
        <w:tc>
          <w:tcPr>
            <w:tcW w:type="dxa" w:w="1474"/>
          </w:tcPr>
          <w:p>
            <w:pPr>
              <w:spacing w:after="20" w:before="20"/>
              <w:jc w:val="left"/>
            </w:pPr>
            <w:r/>
            <w:r>
              <w:rPr>
                <w:b w:val="0"/>
                <w:sz w:val="18"/>
              </w:rPr>
              <w:t>RH</w:t>
            </w:r>
          </w:p>
        </w:tc>
        <w:tc>
          <w:tcPr>
            <w:tcW w:type="dxa" w:w="2494"/>
          </w:tcPr>
          <w:p>
            <w:pPr>
              <w:spacing w:after="20" w:before="20"/>
              <w:jc w:val="left"/>
            </w:pPr>
            <w:r/>
            <w:r>
              <w:rPr>
                <w:b w:val="0"/>
                <w:sz w:val="18"/>
              </w:rPr>
              <w:t>Opérations</w:t>
            </w:r>
          </w:p>
        </w:tc>
        <w:tc>
          <w:tcPr>
            <w:tcW w:type="dxa" w:w="1474"/>
          </w:tcPr>
          <w:p>
            <w:pPr>
              <w:spacing w:after="20" w:before="20"/>
              <w:jc w:val="right"/>
            </w:pPr>
            <w:r/>
            <w:r>
              <w:rPr>
                <w:b w:val="0"/>
                <w:sz w:val="18"/>
              </w:rPr>
              <w:t>94,67</w:t>
            </w:r>
          </w:p>
        </w:tc>
        <w:tc>
          <w:tcPr>
            <w:tcW w:type="dxa" w:w="2154"/>
          </w:tcPr>
          <w:p>
            <w:pPr>
              <w:spacing w:after="20" w:before="20"/>
              <w:jc w:val="center"/>
            </w:pPr>
            <w:r/>
            <w:r>
              <w:rPr>
                <w:b w:val="0"/>
                <w:sz w:val="18"/>
              </w:rPr>
              <w:t>1</w:t>
            </w:r>
          </w:p>
        </w:tc>
      </w:tr>
      <w:tr>
        <w:trPr>
          <w:cantSplit w:val="true"/>
        </w:trPr>
        <w:tc>
          <w:tcPr>
            <w:tcW w:type="dxa" w:w="794"/>
            <w:shd w:val="clear" w:color="auto" w:fill="F1F4F9"/>
          </w:tcPr>
          <w:p>
            <w:pPr>
              <w:spacing w:after="20" w:before="20"/>
              <w:jc w:val="center"/>
            </w:pPr>
            <w:r/>
            <w:r>
              <w:rPr>
                <w:b w:val="0"/>
                <w:sz w:val="18"/>
              </w:rPr>
              <w:t>8</w:t>
            </w:r>
          </w:p>
        </w:tc>
        <w:tc>
          <w:tcPr>
            <w:tcW w:type="dxa" w:w="1247"/>
            <w:shd w:val="clear" w:color="auto" w:fill="F1F4F9"/>
          </w:tcPr>
          <w:p>
            <w:pPr>
              <w:spacing w:after="20" w:before="20"/>
              <w:jc w:val="center"/>
            </w:pPr>
            <w:r/>
            <w:r>
              <w:rPr>
                <w:b w:val="0"/>
                <w:sz w:val="18"/>
              </w:rPr>
              <w:t>1490</w:t>
            </w:r>
          </w:p>
        </w:tc>
        <w:tc>
          <w:tcPr>
            <w:tcW w:type="dxa" w:w="1474"/>
            <w:shd w:val="clear" w:color="auto" w:fill="F1F4F9"/>
          </w:tcPr>
          <w:p>
            <w:pPr>
              <w:spacing w:after="20" w:before="20"/>
              <w:jc w:val="left"/>
            </w:pPr>
            <w:r/>
            <w:r>
              <w:rPr>
                <w:b w:val="0"/>
                <w:sz w:val="18"/>
              </w:rPr>
              <w:t>Finance</w:t>
            </w:r>
          </w:p>
        </w:tc>
        <w:tc>
          <w:tcPr>
            <w:tcW w:type="dxa" w:w="2494"/>
            <w:shd w:val="clear" w:color="auto" w:fill="F1F4F9"/>
          </w:tcPr>
          <w:p>
            <w:pPr>
              <w:spacing w:after="20" w:before="20"/>
              <w:jc w:val="left"/>
            </w:pPr>
            <w:r/>
            <w:r>
              <w:rPr>
                <w:b w:val="0"/>
                <w:sz w:val="18"/>
              </w:rPr>
              <w:t>Marketing</w:t>
            </w:r>
          </w:p>
        </w:tc>
        <w:tc>
          <w:tcPr>
            <w:tcW w:type="dxa" w:w="1474"/>
            <w:shd w:val="clear" w:color="auto" w:fill="F1F4F9"/>
          </w:tcPr>
          <w:p>
            <w:pPr>
              <w:spacing w:after="20" w:before="20"/>
              <w:jc w:val="right"/>
            </w:pPr>
            <w:r/>
            <w:r>
              <w:rPr>
                <w:b w:val="0"/>
                <w:sz w:val="18"/>
              </w:rPr>
              <w:t>94,33</w:t>
            </w:r>
          </w:p>
        </w:tc>
        <w:tc>
          <w:tcPr>
            <w:tcW w:type="dxa" w:w="2154"/>
            <w:shd w:val="clear" w:color="auto" w:fill="F1F4F9"/>
          </w:tcPr>
          <w:p>
            <w:pPr>
              <w:spacing w:after="20" w:before="20"/>
              <w:jc w:val="center"/>
            </w:pPr>
            <w:r/>
            <w:r>
              <w:rPr>
                <w:b w:val="0"/>
                <w:sz w:val="18"/>
              </w:rPr>
              <w:t>1</w:t>
            </w:r>
          </w:p>
        </w:tc>
      </w:tr>
      <w:tr>
        <w:trPr>
          <w:cantSplit w:val="true"/>
        </w:trPr>
        <w:tc>
          <w:tcPr>
            <w:tcW w:type="dxa" w:w="794"/>
          </w:tcPr>
          <w:p>
            <w:pPr>
              <w:spacing w:after="20" w:before="20"/>
              <w:jc w:val="center"/>
            </w:pPr>
            <w:r/>
            <w:r>
              <w:rPr>
                <w:b w:val="0"/>
                <w:sz w:val="18"/>
              </w:rPr>
              <w:t>9</w:t>
            </w:r>
          </w:p>
        </w:tc>
        <w:tc>
          <w:tcPr>
            <w:tcW w:type="dxa" w:w="1247"/>
          </w:tcPr>
          <w:p>
            <w:pPr>
              <w:spacing w:after="20" w:before="20"/>
              <w:jc w:val="center"/>
            </w:pPr>
            <w:r/>
            <w:r>
              <w:rPr>
                <w:b w:val="0"/>
                <w:sz w:val="18"/>
              </w:rPr>
              <w:t>1466</w:t>
            </w:r>
          </w:p>
        </w:tc>
        <w:tc>
          <w:tcPr>
            <w:tcW w:type="dxa" w:w="1474"/>
          </w:tcPr>
          <w:p>
            <w:pPr>
              <w:spacing w:after="20" w:before="20"/>
              <w:jc w:val="left"/>
            </w:pPr>
            <w:r/>
            <w:r>
              <w:rPr>
                <w:b w:val="0"/>
                <w:sz w:val="18"/>
              </w:rPr>
              <w:t>Analyste</w:t>
            </w:r>
          </w:p>
        </w:tc>
        <w:tc>
          <w:tcPr>
            <w:tcW w:type="dxa" w:w="2494"/>
          </w:tcPr>
          <w:p>
            <w:pPr>
              <w:spacing w:after="20" w:before="20"/>
              <w:jc w:val="left"/>
            </w:pPr>
            <w:r/>
            <w:r>
              <w:rPr>
                <w:b w:val="0"/>
                <w:sz w:val="18"/>
              </w:rPr>
              <w:t>Direction Générale</w:t>
            </w:r>
          </w:p>
        </w:tc>
        <w:tc>
          <w:tcPr>
            <w:tcW w:type="dxa" w:w="1474"/>
          </w:tcPr>
          <w:p>
            <w:pPr>
              <w:spacing w:after="20" w:before="20"/>
              <w:jc w:val="right"/>
            </w:pPr>
            <w:r/>
            <w:r>
              <w:rPr>
                <w:b w:val="0"/>
                <w:sz w:val="18"/>
              </w:rPr>
              <w:t>94,00</w:t>
            </w:r>
          </w:p>
        </w:tc>
        <w:tc>
          <w:tcPr>
            <w:tcW w:type="dxa" w:w="2154"/>
          </w:tcPr>
          <w:p>
            <w:pPr>
              <w:spacing w:after="20" w:before="20"/>
              <w:jc w:val="center"/>
            </w:pPr>
            <w:r/>
            <w:r>
              <w:rPr>
                <w:b w:val="0"/>
                <w:sz w:val="18"/>
              </w:rPr>
              <w:t>3</w:t>
            </w:r>
          </w:p>
        </w:tc>
      </w:tr>
      <w:tr>
        <w:trPr>
          <w:cantSplit w:val="true"/>
        </w:trPr>
        <w:tc>
          <w:tcPr>
            <w:tcW w:type="dxa" w:w="794"/>
            <w:shd w:val="clear" w:color="auto" w:fill="F1F4F9"/>
          </w:tcPr>
          <w:p>
            <w:pPr>
              <w:spacing w:after="20" w:before="20"/>
              <w:jc w:val="center"/>
            </w:pPr>
            <w:r/>
            <w:r>
              <w:rPr>
                <w:b w:val="0"/>
                <w:sz w:val="18"/>
              </w:rPr>
              <w:t>10</w:t>
            </w:r>
          </w:p>
        </w:tc>
        <w:tc>
          <w:tcPr>
            <w:tcW w:type="dxa" w:w="1247"/>
            <w:shd w:val="clear" w:color="auto" w:fill="F1F4F9"/>
          </w:tcPr>
          <w:p>
            <w:pPr>
              <w:spacing w:after="20" w:before="20"/>
              <w:jc w:val="center"/>
            </w:pPr>
            <w:r/>
            <w:r>
              <w:rPr>
                <w:b w:val="0"/>
                <w:sz w:val="18"/>
              </w:rPr>
              <w:t>280</w:t>
            </w:r>
          </w:p>
        </w:tc>
        <w:tc>
          <w:tcPr>
            <w:tcW w:type="dxa" w:w="1474"/>
            <w:shd w:val="clear" w:color="auto" w:fill="F1F4F9"/>
          </w:tcPr>
          <w:p>
            <w:pPr>
              <w:spacing w:after="20" w:before="20"/>
              <w:jc w:val="left"/>
            </w:pPr>
            <w:r/>
            <w:r>
              <w:rPr>
                <w:b w:val="0"/>
                <w:sz w:val="18"/>
              </w:rPr>
              <w:t>Analyste</w:t>
            </w:r>
          </w:p>
        </w:tc>
        <w:tc>
          <w:tcPr>
            <w:tcW w:type="dxa" w:w="2494"/>
            <w:shd w:val="clear" w:color="auto" w:fill="F1F4F9"/>
          </w:tcPr>
          <w:p>
            <w:pPr>
              <w:spacing w:after="20" w:before="20"/>
              <w:jc w:val="left"/>
            </w:pPr>
            <w:r/>
            <w:r>
              <w:rPr>
                <w:b w:val="0"/>
                <w:sz w:val="18"/>
              </w:rPr>
              <w:t>Service Client</w:t>
            </w:r>
          </w:p>
        </w:tc>
        <w:tc>
          <w:tcPr>
            <w:tcW w:type="dxa" w:w="1474"/>
            <w:shd w:val="clear" w:color="auto" w:fill="F1F4F9"/>
          </w:tcPr>
          <w:p>
            <w:pPr>
              <w:spacing w:after="20" w:before="20"/>
              <w:jc w:val="right"/>
            </w:pPr>
            <w:r/>
            <w:r>
              <w:rPr>
                <w:b w:val="0"/>
                <w:sz w:val="18"/>
              </w:rPr>
              <w:t>94,00</w:t>
            </w:r>
          </w:p>
        </w:tc>
        <w:tc>
          <w:tcPr>
            <w:tcW w:type="dxa" w:w="2154"/>
            <w:shd w:val="clear" w:color="auto" w:fill="F1F4F9"/>
          </w:tcPr>
          <w:p>
            <w:pPr>
              <w:spacing w:after="20" w:before="20"/>
              <w:jc w:val="center"/>
            </w:pPr>
            <w:r/>
            <w:r>
              <w:rPr>
                <w:b w:val="0"/>
                <w:sz w:val="18"/>
              </w:rPr>
              <w:t>2</w:t>
            </w:r>
          </w:p>
        </w:tc>
      </w:tr>
    </w:tbl>
    <w:p>
      <w:pPr>
        <w:spacing w:after="40"/>
      </w:pPr>
    </w:p>
    <w:p>
      <w:pPr>
        <w:pStyle w:val="Heading2"/>
      </w:pPr>
      <w:r>
        <w:t>3.6 Feedback (Q13)</w:t>
      </w:r>
    </w:p>
    <w:p>
      <w:r>
        <w:rPr>
          <w:b/>
        </w:rPr>
        <w:t>Aucun des 1 329 employés actifs n'a de feedback enregistré en 2026</w:t>
      </w:r>
      <w:r>
        <w:rPr>
          <w:b w:val="0"/>
        </w:rPr>
        <w:t xml:space="preserve"> : la dernière campagne d'évaluation date du 1er octobre 2024, soit 739 jours avant la date de référence. En 2024, tous les employés actifs avaient été évalués : le processus a donc existé, puis s'est interrompu, ou les données n'ont pas été mises à jour.</w:t>
      </w:r>
    </w:p>
    <w:p>
      <w:pPr>
        <w:pStyle w:val="Heading2"/>
      </w:pPr>
      <w:r>
        <w:t>3.7 Recrutement (Q10)</w:t>
      </w:r>
    </w:p>
    <w:p>
      <w:r>
        <w:rPr>
          <w:b w:val="0"/>
        </w:rPr>
        <w:t xml:space="preserve">Les embauches (1 500 sur 2019–2023, soit 300 par an en moyenne) sont réparties de façon homogène. </w:t>
      </w:r>
      <w:r>
        <w:rPr>
          <w:b/>
        </w:rPr>
        <w:t>Ressources Humaines (164), Juridique (161), Informatique et Ventes (159 chacun)</w:t>
      </w:r>
      <w:r>
        <w:rPr>
          <w:b w:val="0"/>
        </w:rPr>
        <w:t xml:space="preserve"> recrutent le plus ; Direction Générale (130) le moins.</w:t>
      </w:r>
    </w:p>
    <w:p>
      <w:pPr>
        <w:pStyle w:val="Heading2"/>
      </w:pPr>
      <w:r>
        <w:t>3.8 Tableau de synthèse par département (Q15)</w:t>
      </w:r>
    </w:p>
    <w:p>
      <w:pPr>
        <w:spacing w:after="60"/>
      </w:pPr>
      <w:r>
        <w:rPr>
          <w:b w:val="0"/>
        </w:rPr>
        <w:t>Le tableau complet par département × cohorte (66 lignes, avec les niveaux cohorte et global) est dans outputs/Q15.csv ; voici la vue par département.</w:t>
      </w:r>
    </w:p>
    <w:tbl>
      <w:tblPr>
        <w:tblStyle w:val="TableGrid"/>
        <w:tblW w:type="auto" w:w="0"/>
        <w:jc w:val="center"/>
        <w:tblLayout w:type="fixed"/>
        <w:tblLook w:firstColumn="1" w:firstRow="1" w:lastColumn="0" w:lastRow="0" w:noHBand="0" w:noVBand="1" w:val="04A0"/>
        <w:tblLayout w:type="fixed"/>
      </w:tblPr>
      <w:tblGrid>
        <w:gridCol w:w="1927"/>
        <w:gridCol w:w="1134"/>
        <w:gridCol w:w="793"/>
        <w:gridCol w:w="963"/>
        <w:gridCol w:w="1020"/>
        <w:gridCol w:w="963"/>
        <w:gridCol w:w="850"/>
        <w:gridCol w:w="793"/>
        <w:gridCol w:w="793"/>
      </w:tblGrid>
      <w:tr>
        <w:trPr>
          <w:cantSplit w:val="true"/>
          <w:tblHeader w:val="true"/>
        </w:trPr>
        <w:tc>
          <w:tcPr>
            <w:tcW w:type="dxa" w:w="1928"/>
            <w:shd w:val="clear" w:color="auto" w:fill="1C4F94"/>
          </w:tcPr>
          <w:p>
            <w:pPr>
              <w:spacing w:after="20" w:before="20"/>
              <w:jc w:val="left"/>
            </w:pPr>
            <w:r/>
            <w:r>
              <w:rPr>
                <w:b/>
                <w:color w:val="FFFFFF"/>
                <w:sz w:val="17"/>
              </w:rPr>
              <w:t>Département</w:t>
            </w:r>
          </w:p>
        </w:tc>
        <w:tc>
          <w:tcPr>
            <w:tcW w:type="dxa" w:w="1134"/>
            <w:shd w:val="clear" w:color="auto" w:fill="1C4F94"/>
          </w:tcPr>
          <w:p>
            <w:pPr>
              <w:spacing w:after="20" w:before="20"/>
              <w:jc w:val="center"/>
            </w:pPr>
            <w:r/>
            <w:r>
              <w:rPr>
                <w:b/>
                <w:color w:val="FFFFFF"/>
                <w:sz w:val="17"/>
              </w:rPr>
              <w:t>Embauches</w:t>
            </w:r>
          </w:p>
        </w:tc>
        <w:tc>
          <w:tcPr>
            <w:tcW w:type="dxa" w:w="794"/>
            <w:shd w:val="clear" w:color="auto" w:fill="1C4F94"/>
          </w:tcPr>
          <w:p>
            <w:pPr>
              <w:spacing w:after="20" w:before="20"/>
              <w:jc w:val="center"/>
            </w:pPr>
            <w:r/>
            <w:r>
              <w:rPr>
                <w:b/>
                <w:color w:val="FFFFFF"/>
                <w:sz w:val="17"/>
              </w:rPr>
              <w:t>Actifs</w:t>
            </w:r>
          </w:p>
        </w:tc>
        <w:tc>
          <w:tcPr>
            <w:tcW w:type="dxa" w:w="964"/>
            <w:shd w:val="clear" w:color="auto" w:fill="1C4F94"/>
          </w:tcPr>
          <w:p>
            <w:pPr>
              <w:spacing w:after="20" w:before="20"/>
              <w:jc w:val="center"/>
            </w:pPr>
            <w:r/>
            <w:r>
              <w:rPr>
                <w:b/>
                <w:color w:val="FFFFFF"/>
                <w:sz w:val="17"/>
              </w:rPr>
              <w:t>Turnover %</w:t>
            </w:r>
          </w:p>
        </w:tc>
        <w:tc>
          <w:tcPr>
            <w:tcW w:type="dxa" w:w="1020"/>
            <w:shd w:val="clear" w:color="auto" w:fill="1C4F94"/>
          </w:tcPr>
          <w:p>
            <w:pPr>
              <w:spacing w:after="20" w:before="20"/>
              <w:jc w:val="center"/>
            </w:pPr>
            <w:r/>
            <w:r>
              <w:rPr>
                <w:b/>
                <w:color w:val="FFFFFF"/>
                <w:sz w:val="17"/>
              </w:rPr>
              <w:t>Départs 12 mois</w:t>
            </w:r>
          </w:p>
        </w:tc>
        <w:tc>
          <w:tcPr>
            <w:tcW w:type="dxa" w:w="964"/>
            <w:shd w:val="clear" w:color="auto" w:fill="1C4F94"/>
          </w:tcPr>
          <w:p>
            <w:pPr>
              <w:spacing w:after="20" w:before="20"/>
              <w:jc w:val="center"/>
            </w:pPr>
            <w:r/>
            <w:r>
              <w:rPr>
                <w:b/>
                <w:color w:val="FFFFFF"/>
                <w:sz w:val="17"/>
              </w:rPr>
              <w:t>Salaire moyen</w:t>
            </w:r>
          </w:p>
        </w:tc>
        <w:tc>
          <w:tcPr>
            <w:tcW w:type="dxa" w:w="850"/>
            <w:shd w:val="clear" w:color="auto" w:fill="1C4F94"/>
          </w:tcPr>
          <w:p>
            <w:pPr>
              <w:spacing w:after="20" w:before="20"/>
              <w:jc w:val="center"/>
            </w:pPr>
            <w:r/>
            <w:r>
              <w:rPr>
                <w:b/>
                <w:color w:val="FFFFFF"/>
                <w:sz w:val="17"/>
              </w:rPr>
              <w:t>Score trim.</w:t>
            </w:r>
          </w:p>
        </w:tc>
        <w:tc>
          <w:tcPr>
            <w:tcW w:type="dxa" w:w="794"/>
            <w:shd w:val="clear" w:color="auto" w:fill="1C4F94"/>
          </w:tcPr>
          <w:p>
            <w:pPr>
              <w:spacing w:after="20" w:before="20"/>
              <w:jc w:val="center"/>
            </w:pPr>
            <w:r/>
            <w:r>
              <w:rPr>
                <w:b/>
                <w:color w:val="FFFFFF"/>
                <w:sz w:val="17"/>
              </w:rPr>
              <w:t>% élevé</w:t>
            </w:r>
          </w:p>
        </w:tc>
        <w:tc>
          <w:tcPr>
            <w:tcW w:type="dxa" w:w="794"/>
            <w:shd w:val="clear" w:color="auto" w:fill="1C4F94"/>
          </w:tcPr>
          <w:p>
            <w:pPr>
              <w:spacing w:after="20" w:before="20"/>
              <w:jc w:val="center"/>
            </w:pPr>
            <w:r/>
            <w:r>
              <w:rPr>
                <w:b/>
                <w:color w:val="FFFFFF"/>
                <w:sz w:val="17"/>
              </w:rPr>
              <w:t>% faible</w:t>
            </w:r>
          </w:p>
        </w:tc>
      </w:tr>
      <w:tr>
        <w:trPr>
          <w:cantSplit w:val="true"/>
        </w:trPr>
        <w:tc>
          <w:tcPr>
            <w:tcW w:type="dxa" w:w="1928"/>
          </w:tcPr>
          <w:p>
            <w:pPr>
              <w:spacing w:after="20" w:before="20"/>
              <w:jc w:val="left"/>
            </w:pPr>
            <w:r/>
            <w:r>
              <w:rPr>
                <w:b w:val="0"/>
                <w:sz w:val="17"/>
              </w:rPr>
              <w:t>Opérations</w:t>
            </w:r>
          </w:p>
        </w:tc>
        <w:tc>
          <w:tcPr>
            <w:tcW w:type="dxa" w:w="1134"/>
          </w:tcPr>
          <w:p>
            <w:pPr>
              <w:spacing w:after="20" w:before="20"/>
              <w:jc w:val="right"/>
            </w:pPr>
            <w:r/>
            <w:r>
              <w:rPr>
                <w:b w:val="0"/>
                <w:sz w:val="17"/>
              </w:rPr>
              <w:t>150</w:t>
            </w:r>
          </w:p>
        </w:tc>
        <w:tc>
          <w:tcPr>
            <w:tcW w:type="dxa" w:w="794"/>
          </w:tcPr>
          <w:p>
            <w:pPr>
              <w:spacing w:after="20" w:before="20"/>
              <w:jc w:val="right"/>
            </w:pPr>
            <w:r/>
            <w:r>
              <w:rPr>
                <w:b w:val="0"/>
                <w:sz w:val="17"/>
              </w:rPr>
              <w:t>128</w:t>
            </w:r>
          </w:p>
        </w:tc>
        <w:tc>
          <w:tcPr>
            <w:tcW w:type="dxa" w:w="964"/>
          </w:tcPr>
          <w:p>
            <w:pPr>
              <w:spacing w:after="20" w:before="20"/>
              <w:jc w:val="right"/>
            </w:pPr>
            <w:r/>
            <w:r>
              <w:rPr>
                <w:b w:val="0"/>
                <w:sz w:val="17"/>
              </w:rPr>
              <w:t>14,7</w:t>
            </w:r>
          </w:p>
        </w:tc>
        <w:tc>
          <w:tcPr>
            <w:tcW w:type="dxa" w:w="1020"/>
          </w:tcPr>
          <w:p>
            <w:pPr>
              <w:spacing w:after="20" w:before="20"/>
              <w:jc w:val="right"/>
            </w:pPr>
            <w:r/>
            <w:r>
              <w:rPr>
                <w:b w:val="0"/>
                <w:sz w:val="17"/>
              </w:rPr>
              <w:t>2</w:t>
            </w:r>
          </w:p>
        </w:tc>
        <w:tc>
          <w:tcPr>
            <w:tcW w:type="dxa" w:w="964"/>
          </w:tcPr>
          <w:p>
            <w:pPr>
              <w:spacing w:after="20" w:before="20"/>
              <w:jc w:val="right"/>
            </w:pPr>
            <w:r/>
            <w:r>
              <w:rPr>
                <w:b w:val="0"/>
                <w:sz w:val="17"/>
              </w:rPr>
              <w:t>2 728</w:t>
            </w:r>
          </w:p>
        </w:tc>
        <w:tc>
          <w:tcPr>
            <w:tcW w:type="dxa" w:w="850"/>
          </w:tcPr>
          <w:p>
            <w:pPr>
              <w:spacing w:after="20" w:before="20"/>
              <w:jc w:val="right"/>
            </w:pPr>
            <w:r/>
            <w:r>
              <w:rPr>
                <w:b w:val="0"/>
                <w:sz w:val="17"/>
              </w:rPr>
              <w:t>74,9</w:t>
            </w:r>
          </w:p>
        </w:tc>
        <w:tc>
          <w:tcPr>
            <w:tcW w:type="dxa" w:w="794"/>
          </w:tcPr>
          <w:p>
            <w:pPr>
              <w:spacing w:after="20" w:before="20"/>
              <w:jc w:val="right"/>
            </w:pPr>
            <w:r/>
            <w:r>
              <w:rPr>
                <w:b w:val="0"/>
                <w:sz w:val="17"/>
              </w:rPr>
              <w:t>23,4</w:t>
            </w:r>
          </w:p>
        </w:tc>
        <w:tc>
          <w:tcPr>
            <w:tcW w:type="dxa" w:w="794"/>
          </w:tcPr>
          <w:p>
            <w:pPr>
              <w:spacing w:after="20" w:before="20"/>
              <w:jc w:val="right"/>
            </w:pPr>
            <w:r/>
            <w:r>
              <w:rPr>
                <w:b w:val="0"/>
                <w:sz w:val="17"/>
              </w:rPr>
              <w:t>10,6</w:t>
            </w:r>
          </w:p>
        </w:tc>
      </w:tr>
      <w:tr>
        <w:trPr>
          <w:cantSplit w:val="true"/>
        </w:trPr>
        <w:tc>
          <w:tcPr>
            <w:tcW w:type="dxa" w:w="1928"/>
            <w:shd w:val="clear" w:color="auto" w:fill="F1F4F9"/>
          </w:tcPr>
          <w:p>
            <w:pPr>
              <w:spacing w:after="20" w:before="20"/>
              <w:jc w:val="left"/>
            </w:pPr>
            <w:r/>
            <w:r>
              <w:rPr>
                <w:b w:val="0"/>
                <w:sz w:val="17"/>
              </w:rPr>
              <w:t>Direction Générale</w:t>
            </w:r>
          </w:p>
        </w:tc>
        <w:tc>
          <w:tcPr>
            <w:tcW w:type="dxa" w:w="1134"/>
            <w:shd w:val="clear" w:color="auto" w:fill="F1F4F9"/>
          </w:tcPr>
          <w:p>
            <w:pPr>
              <w:spacing w:after="20" w:before="20"/>
              <w:jc w:val="right"/>
            </w:pPr>
            <w:r/>
            <w:r>
              <w:rPr>
                <w:b w:val="0"/>
                <w:sz w:val="17"/>
              </w:rPr>
              <w:t>130</w:t>
            </w:r>
          </w:p>
        </w:tc>
        <w:tc>
          <w:tcPr>
            <w:tcW w:type="dxa" w:w="794"/>
            <w:shd w:val="clear" w:color="auto" w:fill="F1F4F9"/>
          </w:tcPr>
          <w:p>
            <w:pPr>
              <w:spacing w:after="20" w:before="20"/>
              <w:jc w:val="right"/>
            </w:pPr>
            <w:r/>
            <w:r>
              <w:rPr>
                <w:b w:val="0"/>
                <w:sz w:val="17"/>
              </w:rPr>
              <w:t>112</w:t>
            </w:r>
          </w:p>
        </w:tc>
        <w:tc>
          <w:tcPr>
            <w:tcW w:type="dxa" w:w="964"/>
            <w:shd w:val="clear" w:color="auto" w:fill="F1F4F9"/>
          </w:tcPr>
          <w:p>
            <w:pPr>
              <w:spacing w:after="20" w:before="20"/>
              <w:jc w:val="right"/>
            </w:pPr>
            <w:r/>
            <w:r>
              <w:rPr>
                <w:b w:val="0"/>
                <w:sz w:val="17"/>
              </w:rPr>
              <w:t>13,8</w:t>
            </w:r>
          </w:p>
        </w:tc>
        <w:tc>
          <w:tcPr>
            <w:tcW w:type="dxa" w:w="1020"/>
            <w:shd w:val="clear" w:color="auto" w:fill="F1F4F9"/>
          </w:tcPr>
          <w:p>
            <w:pPr>
              <w:spacing w:after="20" w:before="20"/>
              <w:jc w:val="right"/>
            </w:pPr>
            <w:r/>
            <w:r>
              <w:rPr>
                <w:b w:val="0"/>
                <w:sz w:val="17"/>
              </w:rPr>
              <w:t>0</w:t>
            </w:r>
          </w:p>
        </w:tc>
        <w:tc>
          <w:tcPr>
            <w:tcW w:type="dxa" w:w="964"/>
            <w:shd w:val="clear" w:color="auto" w:fill="F1F4F9"/>
          </w:tcPr>
          <w:p>
            <w:pPr>
              <w:spacing w:after="20" w:before="20"/>
              <w:jc w:val="right"/>
            </w:pPr>
            <w:r/>
            <w:r>
              <w:rPr>
                <w:b w:val="0"/>
                <w:sz w:val="17"/>
              </w:rPr>
              <w:t>3 099</w:t>
            </w:r>
          </w:p>
        </w:tc>
        <w:tc>
          <w:tcPr>
            <w:tcW w:type="dxa" w:w="850"/>
            <w:shd w:val="clear" w:color="auto" w:fill="F1F4F9"/>
          </w:tcPr>
          <w:p>
            <w:pPr>
              <w:spacing w:after="20" w:before="20"/>
              <w:jc w:val="right"/>
            </w:pPr>
            <w:r/>
            <w:r>
              <w:rPr>
                <w:b w:val="0"/>
                <w:sz w:val="17"/>
              </w:rPr>
              <w:t>74,2</w:t>
            </w:r>
          </w:p>
        </w:tc>
        <w:tc>
          <w:tcPr>
            <w:tcW w:type="dxa" w:w="794"/>
            <w:shd w:val="clear" w:color="auto" w:fill="F1F4F9"/>
          </w:tcPr>
          <w:p>
            <w:pPr>
              <w:spacing w:after="20" w:before="20"/>
              <w:jc w:val="right"/>
            </w:pPr>
            <w:r/>
            <w:r>
              <w:rPr>
                <w:b w:val="0"/>
                <w:sz w:val="17"/>
              </w:rPr>
              <w:t>22,1</w:t>
            </w:r>
          </w:p>
        </w:tc>
        <w:tc>
          <w:tcPr>
            <w:tcW w:type="dxa" w:w="794"/>
            <w:shd w:val="clear" w:color="auto" w:fill="F1F4F9"/>
          </w:tcPr>
          <w:p>
            <w:pPr>
              <w:spacing w:after="20" w:before="20"/>
              <w:jc w:val="right"/>
            </w:pPr>
            <w:r/>
            <w:r>
              <w:rPr>
                <w:b w:val="0"/>
                <w:sz w:val="17"/>
              </w:rPr>
              <w:t>20,5</w:t>
            </w:r>
          </w:p>
        </w:tc>
      </w:tr>
      <w:tr>
        <w:trPr>
          <w:cantSplit w:val="true"/>
        </w:trPr>
        <w:tc>
          <w:tcPr>
            <w:tcW w:type="dxa" w:w="1928"/>
          </w:tcPr>
          <w:p>
            <w:pPr>
              <w:spacing w:after="20" w:before="20"/>
              <w:jc w:val="left"/>
            </w:pPr>
            <w:r/>
            <w:r>
              <w:rPr>
                <w:b w:val="0"/>
                <w:sz w:val="17"/>
              </w:rPr>
              <w:t>Juridique</w:t>
            </w:r>
          </w:p>
        </w:tc>
        <w:tc>
          <w:tcPr>
            <w:tcW w:type="dxa" w:w="1134"/>
          </w:tcPr>
          <w:p>
            <w:pPr>
              <w:spacing w:after="20" w:before="20"/>
              <w:jc w:val="right"/>
            </w:pPr>
            <w:r/>
            <w:r>
              <w:rPr>
                <w:b w:val="0"/>
                <w:sz w:val="17"/>
              </w:rPr>
              <w:t>161</w:t>
            </w:r>
          </w:p>
        </w:tc>
        <w:tc>
          <w:tcPr>
            <w:tcW w:type="dxa" w:w="794"/>
          </w:tcPr>
          <w:p>
            <w:pPr>
              <w:spacing w:after="20" w:before="20"/>
              <w:jc w:val="right"/>
            </w:pPr>
            <w:r/>
            <w:r>
              <w:rPr>
                <w:b w:val="0"/>
                <w:sz w:val="17"/>
              </w:rPr>
              <w:t>141</w:t>
            </w:r>
          </w:p>
        </w:tc>
        <w:tc>
          <w:tcPr>
            <w:tcW w:type="dxa" w:w="964"/>
          </w:tcPr>
          <w:p>
            <w:pPr>
              <w:spacing w:after="20" w:before="20"/>
              <w:jc w:val="right"/>
            </w:pPr>
            <w:r/>
            <w:r>
              <w:rPr>
                <w:b w:val="0"/>
                <w:sz w:val="17"/>
              </w:rPr>
              <w:t>12,4</w:t>
            </w:r>
          </w:p>
        </w:tc>
        <w:tc>
          <w:tcPr>
            <w:tcW w:type="dxa" w:w="1020"/>
          </w:tcPr>
          <w:p>
            <w:pPr>
              <w:spacing w:after="20" w:before="20"/>
              <w:jc w:val="right"/>
            </w:pPr>
            <w:r/>
            <w:r>
              <w:rPr>
                <w:b w:val="0"/>
                <w:sz w:val="17"/>
              </w:rPr>
              <w:t>1</w:t>
            </w:r>
          </w:p>
        </w:tc>
        <w:tc>
          <w:tcPr>
            <w:tcW w:type="dxa" w:w="964"/>
          </w:tcPr>
          <w:p>
            <w:pPr>
              <w:spacing w:after="20" w:before="20"/>
              <w:jc w:val="right"/>
            </w:pPr>
            <w:r/>
            <w:r>
              <w:rPr>
                <w:b w:val="0"/>
                <w:sz w:val="17"/>
              </w:rPr>
              <w:t>2 985</w:t>
            </w:r>
          </w:p>
        </w:tc>
        <w:tc>
          <w:tcPr>
            <w:tcW w:type="dxa" w:w="850"/>
          </w:tcPr>
          <w:p>
            <w:pPr>
              <w:spacing w:after="20" w:before="20"/>
              <w:jc w:val="right"/>
            </w:pPr>
            <w:r/>
            <w:r>
              <w:rPr>
                <w:b w:val="0"/>
                <w:sz w:val="17"/>
              </w:rPr>
              <w:t>74,3</w:t>
            </w:r>
          </w:p>
        </w:tc>
        <w:tc>
          <w:tcPr>
            <w:tcW w:type="dxa" w:w="794"/>
          </w:tcPr>
          <w:p>
            <w:pPr>
              <w:spacing w:after="20" w:before="20"/>
              <w:jc w:val="right"/>
            </w:pPr>
            <w:r/>
            <w:r>
              <w:rPr>
                <w:b w:val="0"/>
                <w:sz w:val="17"/>
              </w:rPr>
              <w:t>20,4</w:t>
            </w:r>
          </w:p>
        </w:tc>
        <w:tc>
          <w:tcPr>
            <w:tcW w:type="dxa" w:w="794"/>
          </w:tcPr>
          <w:p>
            <w:pPr>
              <w:spacing w:after="20" w:before="20"/>
              <w:jc w:val="right"/>
            </w:pPr>
            <w:r/>
            <w:r>
              <w:rPr>
                <w:b w:val="0"/>
                <w:sz w:val="17"/>
              </w:rPr>
              <w:t>17,1</w:t>
            </w:r>
          </w:p>
        </w:tc>
      </w:tr>
      <w:tr>
        <w:trPr>
          <w:cantSplit w:val="true"/>
        </w:trPr>
        <w:tc>
          <w:tcPr>
            <w:tcW w:type="dxa" w:w="1928"/>
            <w:shd w:val="clear" w:color="auto" w:fill="F1F4F9"/>
          </w:tcPr>
          <w:p>
            <w:pPr>
              <w:spacing w:after="20" w:before="20"/>
              <w:jc w:val="left"/>
            </w:pPr>
            <w:r/>
            <w:r>
              <w:rPr>
                <w:b w:val="0"/>
                <w:sz w:val="17"/>
              </w:rPr>
              <w:t>Informatique</w:t>
            </w:r>
          </w:p>
        </w:tc>
        <w:tc>
          <w:tcPr>
            <w:tcW w:type="dxa" w:w="1134"/>
            <w:shd w:val="clear" w:color="auto" w:fill="F1F4F9"/>
          </w:tcPr>
          <w:p>
            <w:pPr>
              <w:spacing w:after="20" w:before="20"/>
              <w:jc w:val="right"/>
            </w:pPr>
            <w:r/>
            <w:r>
              <w:rPr>
                <w:b w:val="0"/>
                <w:sz w:val="17"/>
              </w:rPr>
              <w:t>159</w:t>
            </w:r>
          </w:p>
        </w:tc>
        <w:tc>
          <w:tcPr>
            <w:tcW w:type="dxa" w:w="794"/>
            <w:shd w:val="clear" w:color="auto" w:fill="F1F4F9"/>
          </w:tcPr>
          <w:p>
            <w:pPr>
              <w:spacing w:after="20" w:before="20"/>
              <w:jc w:val="right"/>
            </w:pPr>
            <w:r/>
            <w:r>
              <w:rPr>
                <w:b w:val="0"/>
                <w:sz w:val="17"/>
              </w:rPr>
              <w:t>140</w:t>
            </w:r>
          </w:p>
        </w:tc>
        <w:tc>
          <w:tcPr>
            <w:tcW w:type="dxa" w:w="964"/>
            <w:shd w:val="clear" w:color="auto" w:fill="F1F4F9"/>
          </w:tcPr>
          <w:p>
            <w:pPr>
              <w:spacing w:after="20" w:before="20"/>
              <w:jc w:val="right"/>
            </w:pPr>
            <w:r/>
            <w:r>
              <w:rPr>
                <w:b w:val="0"/>
                <w:sz w:val="17"/>
              </w:rPr>
              <w:t>11,9</w:t>
            </w:r>
          </w:p>
        </w:tc>
        <w:tc>
          <w:tcPr>
            <w:tcW w:type="dxa" w:w="1020"/>
            <w:shd w:val="clear" w:color="auto" w:fill="F1F4F9"/>
          </w:tcPr>
          <w:p>
            <w:pPr>
              <w:spacing w:after="20" w:before="20"/>
              <w:jc w:val="right"/>
            </w:pPr>
            <w:r/>
            <w:r>
              <w:rPr>
                <w:b w:val="0"/>
                <w:sz w:val="17"/>
              </w:rPr>
              <w:t>4</w:t>
            </w:r>
          </w:p>
        </w:tc>
        <w:tc>
          <w:tcPr>
            <w:tcW w:type="dxa" w:w="964"/>
            <w:shd w:val="clear" w:color="auto" w:fill="F1F4F9"/>
          </w:tcPr>
          <w:p>
            <w:pPr>
              <w:spacing w:after="20" w:before="20"/>
              <w:jc w:val="right"/>
            </w:pPr>
            <w:r/>
            <w:r>
              <w:rPr>
                <w:b w:val="0"/>
                <w:sz w:val="17"/>
              </w:rPr>
              <w:t>2 958</w:t>
            </w:r>
          </w:p>
        </w:tc>
        <w:tc>
          <w:tcPr>
            <w:tcW w:type="dxa" w:w="850"/>
            <w:shd w:val="clear" w:color="auto" w:fill="F1F4F9"/>
          </w:tcPr>
          <w:p>
            <w:pPr>
              <w:spacing w:after="20" w:before="20"/>
              <w:jc w:val="right"/>
            </w:pPr>
            <w:r/>
            <w:r>
              <w:rPr>
                <w:b w:val="0"/>
                <w:sz w:val="17"/>
              </w:rPr>
              <w:t>74,3</w:t>
            </w:r>
          </w:p>
        </w:tc>
        <w:tc>
          <w:tcPr>
            <w:tcW w:type="dxa" w:w="794"/>
            <w:shd w:val="clear" w:color="auto" w:fill="F1F4F9"/>
          </w:tcPr>
          <w:p>
            <w:pPr>
              <w:spacing w:after="20" w:before="20"/>
              <w:jc w:val="right"/>
            </w:pPr>
            <w:r/>
            <w:r>
              <w:rPr>
                <w:b w:val="0"/>
                <w:sz w:val="17"/>
              </w:rPr>
              <w:t>21,9</w:t>
            </w:r>
          </w:p>
        </w:tc>
        <w:tc>
          <w:tcPr>
            <w:tcW w:type="dxa" w:w="794"/>
            <w:shd w:val="clear" w:color="auto" w:fill="F1F4F9"/>
          </w:tcPr>
          <w:p>
            <w:pPr>
              <w:spacing w:after="20" w:before="20"/>
              <w:jc w:val="right"/>
            </w:pPr>
            <w:r/>
            <w:r>
              <w:rPr>
                <w:b w:val="0"/>
                <w:sz w:val="17"/>
              </w:rPr>
              <w:t>14,8</w:t>
            </w:r>
          </w:p>
        </w:tc>
      </w:tr>
      <w:tr>
        <w:trPr>
          <w:cantSplit w:val="true"/>
        </w:trPr>
        <w:tc>
          <w:tcPr>
            <w:tcW w:type="dxa" w:w="1928"/>
          </w:tcPr>
          <w:p>
            <w:pPr>
              <w:spacing w:after="20" w:before="20"/>
              <w:jc w:val="left"/>
            </w:pPr>
            <w:r/>
            <w:r>
              <w:rPr>
                <w:b w:val="0"/>
                <w:sz w:val="17"/>
              </w:rPr>
              <w:t>Data &amp; Analytics</w:t>
            </w:r>
          </w:p>
        </w:tc>
        <w:tc>
          <w:tcPr>
            <w:tcW w:type="dxa" w:w="1134"/>
          </w:tcPr>
          <w:p>
            <w:pPr>
              <w:spacing w:after="20" w:before="20"/>
              <w:jc w:val="right"/>
            </w:pPr>
            <w:r/>
            <w:r>
              <w:rPr>
                <w:b w:val="0"/>
                <w:sz w:val="17"/>
              </w:rPr>
              <w:t>152</w:t>
            </w:r>
          </w:p>
        </w:tc>
        <w:tc>
          <w:tcPr>
            <w:tcW w:type="dxa" w:w="794"/>
          </w:tcPr>
          <w:p>
            <w:pPr>
              <w:spacing w:after="20" w:before="20"/>
              <w:jc w:val="right"/>
            </w:pPr>
            <w:r/>
            <w:r>
              <w:rPr>
                <w:b w:val="0"/>
                <w:sz w:val="17"/>
              </w:rPr>
              <w:t>134</w:t>
            </w:r>
          </w:p>
        </w:tc>
        <w:tc>
          <w:tcPr>
            <w:tcW w:type="dxa" w:w="964"/>
          </w:tcPr>
          <w:p>
            <w:pPr>
              <w:spacing w:after="20" w:before="20"/>
              <w:jc w:val="right"/>
            </w:pPr>
            <w:r/>
            <w:r>
              <w:rPr>
                <w:b w:val="0"/>
                <w:sz w:val="17"/>
              </w:rPr>
              <w:t>11,8</w:t>
            </w:r>
          </w:p>
        </w:tc>
        <w:tc>
          <w:tcPr>
            <w:tcW w:type="dxa" w:w="1020"/>
          </w:tcPr>
          <w:p>
            <w:pPr>
              <w:spacing w:after="20" w:before="20"/>
              <w:jc w:val="right"/>
            </w:pPr>
            <w:r/>
            <w:r>
              <w:rPr>
                <w:b w:val="0"/>
                <w:sz w:val="17"/>
              </w:rPr>
              <w:t>3</w:t>
            </w:r>
          </w:p>
        </w:tc>
        <w:tc>
          <w:tcPr>
            <w:tcW w:type="dxa" w:w="964"/>
          </w:tcPr>
          <w:p>
            <w:pPr>
              <w:spacing w:after="20" w:before="20"/>
              <w:jc w:val="right"/>
            </w:pPr>
            <w:r/>
            <w:r>
              <w:rPr>
                <w:b w:val="0"/>
                <w:sz w:val="17"/>
              </w:rPr>
              <w:t>2 740</w:t>
            </w:r>
          </w:p>
        </w:tc>
        <w:tc>
          <w:tcPr>
            <w:tcW w:type="dxa" w:w="850"/>
          </w:tcPr>
          <w:p>
            <w:pPr>
              <w:spacing w:after="20" w:before="20"/>
              <w:jc w:val="right"/>
            </w:pPr>
            <w:r/>
            <w:r>
              <w:rPr>
                <w:b w:val="0"/>
                <w:sz w:val="17"/>
              </w:rPr>
              <w:t>74,7</w:t>
            </w:r>
          </w:p>
        </w:tc>
        <w:tc>
          <w:tcPr>
            <w:tcW w:type="dxa" w:w="794"/>
          </w:tcPr>
          <w:p>
            <w:pPr>
              <w:spacing w:after="20" w:before="20"/>
              <w:jc w:val="right"/>
            </w:pPr>
            <w:r/>
            <w:r>
              <w:rPr>
                <w:b w:val="0"/>
                <w:sz w:val="17"/>
              </w:rPr>
              <w:t>27,2</w:t>
            </w:r>
          </w:p>
        </w:tc>
        <w:tc>
          <w:tcPr>
            <w:tcW w:type="dxa" w:w="794"/>
          </w:tcPr>
          <w:p>
            <w:pPr>
              <w:spacing w:after="20" w:before="20"/>
              <w:jc w:val="right"/>
            </w:pPr>
            <w:r/>
            <w:r>
              <w:rPr>
                <w:b w:val="0"/>
                <w:sz w:val="17"/>
              </w:rPr>
              <w:t>17,7</w:t>
            </w:r>
          </w:p>
        </w:tc>
      </w:tr>
      <w:tr>
        <w:trPr>
          <w:cantSplit w:val="true"/>
        </w:trPr>
        <w:tc>
          <w:tcPr>
            <w:tcW w:type="dxa" w:w="1928"/>
            <w:shd w:val="clear" w:color="auto" w:fill="F1F4F9"/>
          </w:tcPr>
          <w:p>
            <w:pPr>
              <w:spacing w:after="20" w:before="20"/>
              <w:jc w:val="left"/>
            </w:pPr>
            <w:r/>
            <w:r>
              <w:rPr>
                <w:b w:val="0"/>
                <w:sz w:val="17"/>
              </w:rPr>
              <w:t>Marketing</w:t>
            </w:r>
          </w:p>
        </w:tc>
        <w:tc>
          <w:tcPr>
            <w:tcW w:type="dxa" w:w="1134"/>
            <w:shd w:val="clear" w:color="auto" w:fill="F1F4F9"/>
          </w:tcPr>
          <w:p>
            <w:pPr>
              <w:spacing w:after="20" w:before="20"/>
              <w:jc w:val="right"/>
            </w:pPr>
            <w:r/>
            <w:r>
              <w:rPr>
                <w:b w:val="0"/>
                <w:sz w:val="17"/>
              </w:rPr>
              <w:t>150</w:t>
            </w:r>
          </w:p>
        </w:tc>
        <w:tc>
          <w:tcPr>
            <w:tcW w:type="dxa" w:w="794"/>
            <w:shd w:val="clear" w:color="auto" w:fill="F1F4F9"/>
          </w:tcPr>
          <w:p>
            <w:pPr>
              <w:spacing w:after="20" w:before="20"/>
              <w:jc w:val="right"/>
            </w:pPr>
            <w:r/>
            <w:r>
              <w:rPr>
                <w:b w:val="0"/>
                <w:sz w:val="17"/>
              </w:rPr>
              <w:t>133</w:t>
            </w:r>
          </w:p>
        </w:tc>
        <w:tc>
          <w:tcPr>
            <w:tcW w:type="dxa" w:w="964"/>
            <w:shd w:val="clear" w:color="auto" w:fill="F1F4F9"/>
          </w:tcPr>
          <w:p>
            <w:pPr>
              <w:spacing w:after="20" w:before="20"/>
              <w:jc w:val="right"/>
            </w:pPr>
            <w:r/>
            <w:r>
              <w:rPr>
                <w:b w:val="0"/>
                <w:sz w:val="17"/>
              </w:rPr>
              <w:t>11,3</w:t>
            </w:r>
          </w:p>
        </w:tc>
        <w:tc>
          <w:tcPr>
            <w:tcW w:type="dxa" w:w="1020"/>
            <w:shd w:val="clear" w:color="auto" w:fill="F1F4F9"/>
          </w:tcPr>
          <w:p>
            <w:pPr>
              <w:spacing w:after="20" w:before="20"/>
              <w:jc w:val="right"/>
            </w:pPr>
            <w:r/>
            <w:r>
              <w:rPr>
                <w:b w:val="0"/>
                <w:sz w:val="17"/>
              </w:rPr>
              <w:t>2</w:t>
            </w:r>
          </w:p>
        </w:tc>
        <w:tc>
          <w:tcPr>
            <w:tcW w:type="dxa" w:w="964"/>
            <w:shd w:val="clear" w:color="auto" w:fill="F1F4F9"/>
          </w:tcPr>
          <w:p>
            <w:pPr>
              <w:spacing w:after="20" w:before="20"/>
              <w:jc w:val="right"/>
            </w:pPr>
            <w:r/>
            <w:r>
              <w:rPr>
                <w:b w:val="0"/>
                <w:sz w:val="17"/>
              </w:rPr>
              <w:t>2 704</w:t>
            </w:r>
          </w:p>
        </w:tc>
        <w:tc>
          <w:tcPr>
            <w:tcW w:type="dxa" w:w="850"/>
            <w:shd w:val="clear" w:color="auto" w:fill="F1F4F9"/>
          </w:tcPr>
          <w:p>
            <w:pPr>
              <w:spacing w:after="20" w:before="20"/>
              <w:jc w:val="right"/>
            </w:pPr>
            <w:r/>
            <w:r>
              <w:rPr>
                <w:b w:val="0"/>
                <w:sz w:val="17"/>
              </w:rPr>
              <w:t>73,8</w:t>
            </w:r>
          </w:p>
        </w:tc>
        <w:tc>
          <w:tcPr>
            <w:tcW w:type="dxa" w:w="794"/>
            <w:shd w:val="clear" w:color="auto" w:fill="F1F4F9"/>
          </w:tcPr>
          <w:p>
            <w:pPr>
              <w:spacing w:after="20" w:before="20"/>
              <w:jc w:val="right"/>
            </w:pPr>
            <w:r/>
            <w:r>
              <w:rPr>
                <w:b w:val="0"/>
                <w:sz w:val="17"/>
              </w:rPr>
              <w:t>18,9</w:t>
            </w:r>
          </w:p>
        </w:tc>
        <w:tc>
          <w:tcPr>
            <w:tcW w:type="dxa" w:w="794"/>
            <w:shd w:val="clear" w:color="auto" w:fill="F1F4F9"/>
          </w:tcPr>
          <w:p>
            <w:pPr>
              <w:spacing w:after="20" w:before="20"/>
              <w:jc w:val="right"/>
            </w:pPr>
            <w:r/>
            <w:r>
              <w:rPr>
                <w:b w:val="0"/>
                <w:sz w:val="17"/>
              </w:rPr>
              <w:t>19,6</w:t>
            </w:r>
          </w:p>
        </w:tc>
      </w:tr>
      <w:tr>
        <w:trPr>
          <w:cantSplit w:val="true"/>
        </w:trPr>
        <w:tc>
          <w:tcPr>
            <w:tcW w:type="dxa" w:w="1928"/>
          </w:tcPr>
          <w:p>
            <w:pPr>
              <w:spacing w:after="20" w:before="20"/>
              <w:jc w:val="left"/>
            </w:pPr>
            <w:r/>
            <w:r>
              <w:rPr>
                <w:b w:val="0"/>
                <w:sz w:val="17"/>
              </w:rPr>
              <w:t>Finance</w:t>
            </w:r>
          </w:p>
        </w:tc>
        <w:tc>
          <w:tcPr>
            <w:tcW w:type="dxa" w:w="1134"/>
          </w:tcPr>
          <w:p>
            <w:pPr>
              <w:spacing w:after="20" w:before="20"/>
              <w:jc w:val="right"/>
            </w:pPr>
            <w:r/>
            <w:r>
              <w:rPr>
                <w:b w:val="0"/>
                <w:sz w:val="17"/>
              </w:rPr>
              <w:t>139</w:t>
            </w:r>
          </w:p>
        </w:tc>
        <w:tc>
          <w:tcPr>
            <w:tcW w:type="dxa" w:w="794"/>
          </w:tcPr>
          <w:p>
            <w:pPr>
              <w:spacing w:after="20" w:before="20"/>
              <w:jc w:val="right"/>
            </w:pPr>
            <w:r/>
            <w:r>
              <w:rPr>
                <w:b w:val="0"/>
                <w:sz w:val="17"/>
              </w:rPr>
              <w:t>125</w:t>
            </w:r>
          </w:p>
        </w:tc>
        <w:tc>
          <w:tcPr>
            <w:tcW w:type="dxa" w:w="964"/>
          </w:tcPr>
          <w:p>
            <w:pPr>
              <w:spacing w:after="20" w:before="20"/>
              <w:jc w:val="right"/>
            </w:pPr>
            <w:r/>
            <w:r>
              <w:rPr>
                <w:b w:val="0"/>
                <w:sz w:val="17"/>
              </w:rPr>
              <w:t>10,1</w:t>
            </w:r>
          </w:p>
        </w:tc>
        <w:tc>
          <w:tcPr>
            <w:tcW w:type="dxa" w:w="1020"/>
          </w:tcPr>
          <w:p>
            <w:pPr>
              <w:spacing w:after="20" w:before="20"/>
              <w:jc w:val="right"/>
            </w:pPr>
            <w:r/>
            <w:r>
              <w:rPr>
                <w:b w:val="0"/>
                <w:sz w:val="17"/>
              </w:rPr>
              <w:t>3</w:t>
            </w:r>
          </w:p>
        </w:tc>
        <w:tc>
          <w:tcPr>
            <w:tcW w:type="dxa" w:w="964"/>
          </w:tcPr>
          <w:p>
            <w:pPr>
              <w:spacing w:after="20" w:before="20"/>
              <w:jc w:val="right"/>
            </w:pPr>
            <w:r/>
            <w:r>
              <w:rPr>
                <w:b w:val="0"/>
                <w:sz w:val="17"/>
              </w:rPr>
              <w:t>3 107</w:t>
            </w:r>
          </w:p>
        </w:tc>
        <w:tc>
          <w:tcPr>
            <w:tcW w:type="dxa" w:w="850"/>
          </w:tcPr>
          <w:p>
            <w:pPr>
              <w:spacing w:after="20" w:before="20"/>
              <w:jc w:val="right"/>
            </w:pPr>
            <w:r/>
            <w:r>
              <w:rPr>
                <w:b w:val="0"/>
                <w:sz w:val="17"/>
              </w:rPr>
              <w:t>74,8</w:t>
            </w:r>
          </w:p>
        </w:tc>
        <w:tc>
          <w:tcPr>
            <w:tcW w:type="dxa" w:w="794"/>
          </w:tcPr>
          <w:p>
            <w:pPr>
              <w:spacing w:after="20" w:before="20"/>
              <w:jc w:val="right"/>
            </w:pPr>
            <w:r/>
            <w:r>
              <w:rPr>
                <w:b w:val="0"/>
                <w:sz w:val="17"/>
              </w:rPr>
              <w:t>26,7</w:t>
            </w:r>
          </w:p>
        </w:tc>
        <w:tc>
          <w:tcPr>
            <w:tcW w:type="dxa" w:w="794"/>
          </w:tcPr>
          <w:p>
            <w:pPr>
              <w:spacing w:after="20" w:before="20"/>
              <w:jc w:val="right"/>
            </w:pPr>
            <w:r/>
            <w:r>
              <w:rPr>
                <w:b w:val="0"/>
                <w:sz w:val="17"/>
              </w:rPr>
              <w:t>13,3</w:t>
            </w:r>
          </w:p>
        </w:tc>
      </w:tr>
      <w:tr>
        <w:trPr>
          <w:cantSplit w:val="true"/>
        </w:trPr>
        <w:tc>
          <w:tcPr>
            <w:tcW w:type="dxa" w:w="1928"/>
            <w:shd w:val="clear" w:color="auto" w:fill="F1F4F9"/>
          </w:tcPr>
          <w:p>
            <w:pPr>
              <w:spacing w:after="20" w:before="20"/>
              <w:jc w:val="left"/>
            </w:pPr>
            <w:r/>
            <w:r>
              <w:rPr>
                <w:b w:val="0"/>
                <w:sz w:val="17"/>
              </w:rPr>
              <w:t>Service Client</w:t>
            </w:r>
          </w:p>
        </w:tc>
        <w:tc>
          <w:tcPr>
            <w:tcW w:type="dxa" w:w="1134"/>
            <w:shd w:val="clear" w:color="auto" w:fill="F1F4F9"/>
          </w:tcPr>
          <w:p>
            <w:pPr>
              <w:spacing w:after="20" w:before="20"/>
              <w:jc w:val="right"/>
            </w:pPr>
            <w:r/>
            <w:r>
              <w:rPr>
                <w:b w:val="0"/>
                <w:sz w:val="17"/>
              </w:rPr>
              <w:t>136</w:t>
            </w:r>
          </w:p>
        </w:tc>
        <w:tc>
          <w:tcPr>
            <w:tcW w:type="dxa" w:w="794"/>
            <w:shd w:val="clear" w:color="auto" w:fill="F1F4F9"/>
          </w:tcPr>
          <w:p>
            <w:pPr>
              <w:spacing w:after="20" w:before="20"/>
              <w:jc w:val="right"/>
            </w:pPr>
            <w:r/>
            <w:r>
              <w:rPr>
                <w:b w:val="0"/>
                <w:sz w:val="17"/>
              </w:rPr>
              <w:t>123</w:t>
            </w:r>
          </w:p>
        </w:tc>
        <w:tc>
          <w:tcPr>
            <w:tcW w:type="dxa" w:w="964"/>
            <w:shd w:val="clear" w:color="auto" w:fill="F1F4F9"/>
          </w:tcPr>
          <w:p>
            <w:pPr>
              <w:spacing w:after="20" w:before="20"/>
              <w:jc w:val="right"/>
            </w:pPr>
            <w:r/>
            <w:r>
              <w:rPr>
                <w:b w:val="0"/>
                <w:sz w:val="17"/>
              </w:rPr>
              <w:t>9,6</w:t>
            </w:r>
          </w:p>
        </w:tc>
        <w:tc>
          <w:tcPr>
            <w:tcW w:type="dxa" w:w="1020"/>
            <w:shd w:val="clear" w:color="auto" w:fill="F1F4F9"/>
          </w:tcPr>
          <w:p>
            <w:pPr>
              <w:spacing w:after="20" w:before="20"/>
              <w:jc w:val="right"/>
            </w:pPr>
            <w:r/>
            <w:r>
              <w:rPr>
                <w:b w:val="0"/>
                <w:sz w:val="17"/>
              </w:rPr>
              <w:t>0</w:t>
            </w:r>
          </w:p>
        </w:tc>
        <w:tc>
          <w:tcPr>
            <w:tcW w:type="dxa" w:w="964"/>
            <w:shd w:val="clear" w:color="auto" w:fill="F1F4F9"/>
          </w:tcPr>
          <w:p>
            <w:pPr>
              <w:spacing w:after="20" w:before="20"/>
              <w:jc w:val="right"/>
            </w:pPr>
            <w:r/>
            <w:r>
              <w:rPr>
                <w:b w:val="0"/>
                <w:sz w:val="17"/>
              </w:rPr>
              <w:t>3 046</w:t>
            </w:r>
          </w:p>
        </w:tc>
        <w:tc>
          <w:tcPr>
            <w:tcW w:type="dxa" w:w="850"/>
            <w:shd w:val="clear" w:color="auto" w:fill="F1F4F9"/>
          </w:tcPr>
          <w:p>
            <w:pPr>
              <w:spacing w:after="20" w:before="20"/>
              <w:jc w:val="right"/>
            </w:pPr>
            <w:r/>
            <w:r>
              <w:rPr>
                <w:b w:val="0"/>
                <w:sz w:val="17"/>
              </w:rPr>
              <w:t>74,8</w:t>
            </w:r>
          </w:p>
        </w:tc>
        <w:tc>
          <w:tcPr>
            <w:tcW w:type="dxa" w:w="794"/>
            <w:shd w:val="clear" w:color="auto" w:fill="F1F4F9"/>
          </w:tcPr>
          <w:p>
            <w:pPr>
              <w:spacing w:after="20" w:before="20"/>
              <w:jc w:val="right"/>
            </w:pPr>
            <w:r/>
            <w:r>
              <w:rPr>
                <w:b w:val="0"/>
                <w:sz w:val="17"/>
              </w:rPr>
              <w:t>29,3</w:t>
            </w:r>
          </w:p>
        </w:tc>
        <w:tc>
          <w:tcPr>
            <w:tcW w:type="dxa" w:w="794"/>
            <w:shd w:val="clear" w:color="auto" w:fill="F1F4F9"/>
          </w:tcPr>
          <w:p>
            <w:pPr>
              <w:spacing w:after="20" w:before="20"/>
              <w:jc w:val="right"/>
            </w:pPr>
            <w:r/>
            <w:r>
              <w:rPr>
                <w:b w:val="0"/>
                <w:sz w:val="17"/>
              </w:rPr>
              <w:t>21,1</w:t>
            </w:r>
          </w:p>
        </w:tc>
      </w:tr>
      <w:tr>
        <w:trPr>
          <w:cantSplit w:val="true"/>
        </w:trPr>
        <w:tc>
          <w:tcPr>
            <w:tcW w:type="dxa" w:w="1928"/>
          </w:tcPr>
          <w:p>
            <w:pPr>
              <w:spacing w:after="20" w:before="20"/>
              <w:jc w:val="left"/>
            </w:pPr>
            <w:r/>
            <w:r>
              <w:rPr>
                <w:b w:val="0"/>
                <w:sz w:val="17"/>
              </w:rPr>
              <w:t>Ventes</w:t>
            </w:r>
          </w:p>
        </w:tc>
        <w:tc>
          <w:tcPr>
            <w:tcW w:type="dxa" w:w="1134"/>
          </w:tcPr>
          <w:p>
            <w:pPr>
              <w:spacing w:after="20" w:before="20"/>
              <w:jc w:val="right"/>
            </w:pPr>
            <w:r/>
            <w:r>
              <w:rPr>
                <w:b w:val="0"/>
                <w:sz w:val="17"/>
              </w:rPr>
              <w:t>159</w:t>
            </w:r>
          </w:p>
        </w:tc>
        <w:tc>
          <w:tcPr>
            <w:tcW w:type="dxa" w:w="794"/>
          </w:tcPr>
          <w:p>
            <w:pPr>
              <w:spacing w:after="20" w:before="20"/>
              <w:jc w:val="right"/>
            </w:pPr>
            <w:r/>
            <w:r>
              <w:rPr>
                <w:b w:val="0"/>
                <w:sz w:val="17"/>
              </w:rPr>
              <w:t>144</w:t>
            </w:r>
          </w:p>
        </w:tc>
        <w:tc>
          <w:tcPr>
            <w:tcW w:type="dxa" w:w="964"/>
          </w:tcPr>
          <w:p>
            <w:pPr>
              <w:spacing w:after="20" w:before="20"/>
              <w:jc w:val="right"/>
            </w:pPr>
            <w:r/>
            <w:r>
              <w:rPr>
                <w:b w:val="0"/>
                <w:sz w:val="17"/>
              </w:rPr>
              <w:t>9,4</w:t>
            </w:r>
          </w:p>
        </w:tc>
        <w:tc>
          <w:tcPr>
            <w:tcW w:type="dxa" w:w="1020"/>
          </w:tcPr>
          <w:p>
            <w:pPr>
              <w:spacing w:after="20" w:before="20"/>
              <w:jc w:val="right"/>
            </w:pPr>
            <w:r/>
            <w:r>
              <w:rPr>
                <w:b w:val="0"/>
                <w:sz w:val="17"/>
              </w:rPr>
              <w:t>5</w:t>
            </w:r>
          </w:p>
        </w:tc>
        <w:tc>
          <w:tcPr>
            <w:tcW w:type="dxa" w:w="964"/>
          </w:tcPr>
          <w:p>
            <w:pPr>
              <w:spacing w:after="20" w:before="20"/>
              <w:jc w:val="right"/>
            </w:pPr>
            <w:r/>
            <w:r>
              <w:rPr>
                <w:b w:val="0"/>
                <w:sz w:val="17"/>
              </w:rPr>
              <w:t>2 929</w:t>
            </w:r>
          </w:p>
        </w:tc>
        <w:tc>
          <w:tcPr>
            <w:tcW w:type="dxa" w:w="850"/>
          </w:tcPr>
          <w:p>
            <w:pPr>
              <w:spacing w:after="20" w:before="20"/>
              <w:jc w:val="right"/>
            </w:pPr>
            <w:r/>
            <w:r>
              <w:rPr>
                <w:b w:val="0"/>
                <w:sz w:val="17"/>
              </w:rPr>
              <w:t>74,2</w:t>
            </w:r>
          </w:p>
        </w:tc>
        <w:tc>
          <w:tcPr>
            <w:tcW w:type="dxa" w:w="794"/>
          </w:tcPr>
          <w:p>
            <w:pPr>
              <w:spacing w:after="20" w:before="20"/>
              <w:jc w:val="right"/>
            </w:pPr>
            <w:r/>
            <w:r>
              <w:rPr>
                <w:b w:val="0"/>
                <w:sz w:val="17"/>
              </w:rPr>
              <w:t>25,5</w:t>
            </w:r>
          </w:p>
        </w:tc>
        <w:tc>
          <w:tcPr>
            <w:tcW w:type="dxa" w:w="794"/>
          </w:tcPr>
          <w:p>
            <w:pPr>
              <w:spacing w:after="20" w:before="20"/>
              <w:jc w:val="right"/>
            </w:pPr>
            <w:r/>
            <w:r>
              <w:rPr>
                <w:b w:val="0"/>
                <w:sz w:val="17"/>
              </w:rPr>
              <w:t>22,3</w:t>
            </w:r>
          </w:p>
        </w:tc>
      </w:tr>
      <w:tr>
        <w:trPr>
          <w:cantSplit w:val="true"/>
        </w:trPr>
        <w:tc>
          <w:tcPr>
            <w:tcW w:type="dxa" w:w="1928"/>
            <w:shd w:val="clear" w:color="auto" w:fill="F1F4F9"/>
          </w:tcPr>
          <w:p>
            <w:pPr>
              <w:spacing w:after="20" w:before="20"/>
              <w:jc w:val="left"/>
            </w:pPr>
            <w:r/>
            <w:r>
              <w:rPr>
                <w:b w:val="0"/>
                <w:sz w:val="17"/>
              </w:rPr>
              <w:t>Ressources Humaines</w:t>
            </w:r>
          </w:p>
        </w:tc>
        <w:tc>
          <w:tcPr>
            <w:tcW w:type="dxa" w:w="1134"/>
            <w:shd w:val="clear" w:color="auto" w:fill="F1F4F9"/>
          </w:tcPr>
          <w:p>
            <w:pPr>
              <w:spacing w:after="20" w:before="20"/>
              <w:jc w:val="right"/>
            </w:pPr>
            <w:r/>
            <w:r>
              <w:rPr>
                <w:b w:val="0"/>
                <w:sz w:val="17"/>
              </w:rPr>
              <w:t>164</w:t>
            </w:r>
          </w:p>
        </w:tc>
        <w:tc>
          <w:tcPr>
            <w:tcW w:type="dxa" w:w="794"/>
            <w:shd w:val="clear" w:color="auto" w:fill="F1F4F9"/>
          </w:tcPr>
          <w:p>
            <w:pPr>
              <w:spacing w:after="20" w:before="20"/>
              <w:jc w:val="right"/>
            </w:pPr>
            <w:r/>
            <w:r>
              <w:rPr>
                <w:b w:val="0"/>
                <w:sz w:val="17"/>
              </w:rPr>
              <w:t>149</w:t>
            </w:r>
          </w:p>
        </w:tc>
        <w:tc>
          <w:tcPr>
            <w:tcW w:type="dxa" w:w="964"/>
            <w:shd w:val="clear" w:color="auto" w:fill="F1F4F9"/>
          </w:tcPr>
          <w:p>
            <w:pPr>
              <w:spacing w:after="20" w:before="20"/>
              <w:jc w:val="right"/>
            </w:pPr>
            <w:r/>
            <w:r>
              <w:rPr>
                <w:b w:val="0"/>
                <w:sz w:val="17"/>
              </w:rPr>
              <w:t>9,2</w:t>
            </w:r>
          </w:p>
        </w:tc>
        <w:tc>
          <w:tcPr>
            <w:tcW w:type="dxa" w:w="1020"/>
            <w:shd w:val="clear" w:color="auto" w:fill="F1F4F9"/>
          </w:tcPr>
          <w:p>
            <w:pPr>
              <w:spacing w:after="20" w:before="20"/>
              <w:jc w:val="right"/>
            </w:pPr>
            <w:r/>
            <w:r>
              <w:rPr>
                <w:b w:val="0"/>
                <w:sz w:val="17"/>
              </w:rPr>
              <w:t>3</w:t>
            </w:r>
          </w:p>
        </w:tc>
        <w:tc>
          <w:tcPr>
            <w:tcW w:type="dxa" w:w="964"/>
            <w:shd w:val="clear" w:color="auto" w:fill="F1F4F9"/>
          </w:tcPr>
          <w:p>
            <w:pPr>
              <w:spacing w:after="20" w:before="20"/>
              <w:jc w:val="right"/>
            </w:pPr>
            <w:r/>
            <w:r>
              <w:rPr>
                <w:b w:val="0"/>
                <w:sz w:val="17"/>
              </w:rPr>
              <w:t>2 887</w:t>
            </w:r>
          </w:p>
        </w:tc>
        <w:tc>
          <w:tcPr>
            <w:tcW w:type="dxa" w:w="850"/>
            <w:shd w:val="clear" w:color="auto" w:fill="F1F4F9"/>
          </w:tcPr>
          <w:p>
            <w:pPr>
              <w:spacing w:after="20" w:before="20"/>
              <w:jc w:val="right"/>
            </w:pPr>
            <w:r/>
            <w:r>
              <w:rPr>
                <w:b w:val="0"/>
                <w:sz w:val="17"/>
              </w:rPr>
              <w:t>74,5</w:t>
            </w:r>
          </w:p>
        </w:tc>
        <w:tc>
          <w:tcPr>
            <w:tcW w:type="dxa" w:w="794"/>
            <w:shd w:val="clear" w:color="auto" w:fill="F1F4F9"/>
          </w:tcPr>
          <w:p>
            <w:pPr>
              <w:spacing w:after="20" w:before="20"/>
              <w:jc w:val="right"/>
            </w:pPr>
            <w:r/>
            <w:r>
              <w:rPr>
                <w:b w:val="0"/>
                <w:sz w:val="17"/>
              </w:rPr>
              <w:t>23,4</w:t>
            </w:r>
          </w:p>
        </w:tc>
        <w:tc>
          <w:tcPr>
            <w:tcW w:type="dxa" w:w="794"/>
            <w:shd w:val="clear" w:color="auto" w:fill="F1F4F9"/>
          </w:tcPr>
          <w:p>
            <w:pPr>
              <w:spacing w:after="20" w:before="20"/>
              <w:jc w:val="right"/>
            </w:pPr>
            <w:r/>
            <w:r>
              <w:rPr>
                <w:b w:val="0"/>
                <w:sz w:val="17"/>
              </w:rPr>
              <w:t>16,5</w:t>
            </w:r>
          </w:p>
        </w:tc>
      </w:tr>
    </w:tbl>
    <w:p>
      <w:pPr>
        <w:spacing w:after="40"/>
      </w:pPr>
    </w:p>
    <w:p>
      <w:pPr>
        <w:pStyle w:val="Heading1"/>
      </w:pPr>
      <w:r>
        <w:t>4. Recommandations RH</w:t>
      </w:r>
    </w:p>
    <w:p>
      <w:pPr>
        <w:pStyle w:val="ListNumber"/>
        <w:spacing w:after="80"/>
      </w:pPr>
      <w:r>
        <w:rPr>
          <w:b/>
        </w:rPr>
        <w:t>Relancer immédiatement le cycle d'évaluation.</w:t>
      </w:r>
      <w:r>
        <w:rPr>
          <w:b w:val="0"/>
        </w:rPr>
        <w:t xml:space="preserve"> Plus de deux ans sans feedback enregistré pour 100 % des actifs. Prioriser les 228 employés à profil faible (plans d'accompagnement) et les 345 à profil élevé (reconnaissance, parcours). Le fichier outputs/Q13a.csv liste les employés actifs et leur manager.</w:t>
      </w:r>
    </w:p>
    <w:p>
      <w:pPr>
        <w:pStyle w:val="ListNumber"/>
        <w:spacing w:after="80"/>
      </w:pPr>
      <w:r>
        <w:rPr>
          <w:b/>
        </w:rPr>
        <w:t>Fiabiliser les données RH avant de décider.</w:t>
      </w:r>
      <w:r>
        <w:rPr>
          <w:b w:val="0"/>
        </w:rPr>
        <w:t xml:space="preserve"> Définir une source unique pour les dates de départ, empêcher les évaluations hors période d'emploi, rattacher les objectifs aux scores et corriger la table des postes. Sans cela, les indicateurs RH ne sont pas défendables auprès de la direction.</w:t>
      </w:r>
    </w:p>
    <w:p>
      <w:pPr>
        <w:pStyle w:val="ListNumber"/>
        <w:spacing w:after="80"/>
      </w:pPr>
      <w:r>
        <w:rPr>
          <w:b/>
        </w:rPr>
        <w:t>Réexaminer la politique de rémunération.</w:t>
      </w:r>
      <w:r>
        <w:rPr>
          <w:b w:val="0"/>
        </w:rPr>
        <w:t xml:space="preserve"> Salaire indépendant de la performance, de l'ancienneté et presque du poste : introduire une grille de salaires par poste et une part variable liée aux évaluations. Vérifier en priorité les profils élevés, payés en moyenne moins que les profils faibles.</w:t>
      </w:r>
    </w:p>
    <w:p>
      <w:pPr>
        <w:pStyle w:val="ListNumber"/>
        <w:spacing w:after="80"/>
      </w:pPr>
      <w:r>
        <w:rPr>
          <w:b/>
        </w:rPr>
        <w:t>Comprendre les départs involontaires (50 %).</w:t>
      </w:r>
      <w:r>
        <w:rPr>
          <w:b w:val="0"/>
        </w:rPr>
        <w:t xml:space="preserve"> C'est un coût de recrutement et d'intégration perdu. Analyser les motifs (la table turnover n'en contient pas : à ajouter), la qualité du recrutement et l'intégration, puisque ces départs interviennent en moyenne vers 2,7 ans.</w:t>
      </w:r>
    </w:p>
    <w:p>
      <w:pPr>
        <w:pStyle w:val="ListNumber"/>
        <w:spacing w:after="80"/>
      </w:pPr>
      <w:r>
        <w:rPr>
          <w:b/>
        </w:rPr>
        <w:t>Ne pas lancer de plan par département sur le seul turnover cumulé.</w:t>
      </w:r>
      <w:r>
        <w:rPr>
          <w:b w:val="0"/>
        </w:rPr>
        <w:t xml:space="preserve"> Les écarts ne sont pas distinguables du hasard (p = 0,89). Surveiller plutôt les départs sur 12 mois glissants (Ventes : 5, Informatique : 4) et mener des entretiens de départ, en commençant par Opérations et Direction Générale, qui restent en tête du classement cumulé.</w:t>
      </w:r>
    </w:p>
    <w:p>
      <w:pPr>
        <w:pStyle w:val="ListNumber"/>
        <w:spacing w:after="80"/>
      </w:pPr>
      <w:r>
        <w:rPr>
          <w:b/>
        </w:rPr>
        <w:t>Préparer les 29 départs planifiés</w:t>
      </w:r>
      <w:r>
        <w:rPr>
          <w:b w:val="0"/>
        </w:rPr>
        <w:t xml:space="preserve"> (jusqu'en 2029) : identifier les postes concernés, leur criticité et les successeurs possibles.</w:t>
      </w:r>
    </w:p>
    <w:p>
      <w:pPr>
        <w:pStyle w:val="ListNumber"/>
        <w:spacing w:after="80"/>
      </w:pPr>
      <w:r>
        <w:rPr>
          <w:b/>
        </w:rPr>
        <w:t>Décider d'une politique de recrutement.</w:t>
      </w:r>
      <w:r>
        <w:rPr>
          <w:b w:val="0"/>
        </w:rPr>
        <w:t xml:space="preserve"> Le jeu de données ne contient aucune embauche depuis décembre 2023 alors que 171 personnes sont parties : l'effectif actif diminue (1 329 pour 1 500 embauchés) et vieillit. Si cette pause n'est pas voulue, planifier les recrutements par département en fonction des départs attendus.</w:t>
      </w:r>
    </w:p>
    <w:p>
      <w:pPr>
        <w:pStyle w:val="Heading1"/>
      </w:pPr>
      <w:r>
        <w:t>5. Pour aller plus loin</w:t>
      </w:r>
    </w:p>
    <w:p>
      <w:r>
        <w:rPr>
          <w:b w:val="0"/>
        </w:rPr>
        <w:t>Les prochaines analyses les plus utiles : (1) des motifs de départ détaillés, (2) une vraie table de feedback datée, (3) un historique mensuel des effectifs pour mesurer un turnover annualisé, (4) un suivi individuel de la performance dans le temps. Les scripts SQL (dossier sql/), le dataset enrichi et le README permettent de reproduire tous les chiffres de ce document avec la commande python run_analysis.py.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C4F9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C4F9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