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5B6670"/>
          <w:spacing w:val="40"/>
          <w:sz w:val="18"/>
          <w:szCs w:val="18"/>
        </w:rPr>
        <w:t xml:space="preserve">AFRIMARKET · RÉSUMÉ EXÉCUTIF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Où AfriMarket perd du profit, et comment le récupérer</w:t>
      </w:r>
    </w:p>
    <w:p>
      <w:pPr>
        <w:spacing w:after="120" w:before="0" w:line="252"/>
      </w:pPr>
      <w:r>
        <w:rPr>
          <w:rFonts w:ascii="Calibri" w:cs="Calibri" w:eastAsia="Calibri" w:hAnsi="Calibri"/>
          <w:color w:val="5B6670"/>
          <w:sz w:val="17"/>
          <w:szCs w:val="17"/>
        </w:rPr>
        <w:t xml:space="preserve">Analyse de l'activité juillet – décembre 2025 · À l'attention de la Direction générale · Préparé par le Data Analyst · Base : 9 400 commandes analysées (après nettoyage), 8 villes, 4 catégories, 4 canaux marketing. Montants en UM (unité monétaire du jeu de données).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1F4E8C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70" w:line="256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AfriMarket est rentable et stable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: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2 183 205 UM de CA net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460 831 UM de profit net (21,1 % du CA)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sur six mois, avec une clientèle fidèle (73 % de clients récurrents).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Mais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quatre fuites précises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— retours Électronique, annulations à Douala, budget marketing mal réparti, rétention — coûtent environ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60 k UM de profit sur six mois (13 % du profit actuel, ≈ 119 k UM par an)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. Toutes sont corrigeables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sans augmenter le budget total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cantSplit/>
        </w:trPr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B6670"/>
                <w:sz w:val="16"/>
                <w:szCs w:val="16"/>
              </w:rPr>
              <w:t xml:space="preserve">CA net (livré)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30"/>
                <w:szCs w:val="30"/>
              </w:rPr>
              <w:t xml:space="preserve">2,18 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670"/>
                <w:sz w:val="15"/>
                <w:szCs w:val="15"/>
              </w:rPr>
              <w:t xml:space="preserve">UM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B6670"/>
                <w:sz w:val="16"/>
                <w:szCs w:val="16"/>
              </w:rPr>
              <w:t xml:space="preserve">Profit net estimé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30"/>
                <w:szCs w:val="30"/>
              </w:rPr>
              <w:t xml:space="preserve">461 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670"/>
                <w:sz w:val="15"/>
                <w:szCs w:val="15"/>
              </w:rPr>
              <w:t xml:space="preserve">21,1 % du CA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B6670"/>
                <w:sz w:val="16"/>
                <w:szCs w:val="16"/>
              </w:rPr>
              <w:t xml:space="preserve">Panier moyen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30"/>
                <w:szCs w:val="30"/>
              </w:rPr>
              <w:t xml:space="preserve">258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670"/>
                <w:sz w:val="15"/>
                <w:szCs w:val="15"/>
              </w:rPr>
              <w:t xml:space="preserve">UM / commande livrée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B6670"/>
                <w:sz w:val="16"/>
                <w:szCs w:val="16"/>
              </w:rPr>
              <w:t xml:space="preserve">Taux de retour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30"/>
                <w:szCs w:val="30"/>
              </w:rPr>
              <w:t xml:space="preserve">8,3 %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670"/>
                <w:sz w:val="15"/>
                <w:szCs w:val="15"/>
              </w:rPr>
              <w:t xml:space="preserve">des commandes expédiées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B6670"/>
                <w:sz w:val="16"/>
                <w:szCs w:val="16"/>
              </w:rPr>
              <w:t xml:space="preserve">Taux d'annulation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30"/>
                <w:szCs w:val="30"/>
              </w:rPr>
              <w:t xml:space="preserve">1,9 %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670"/>
                <w:sz w:val="15"/>
                <w:szCs w:val="15"/>
              </w:rPr>
              <w:t xml:space="preserve">dont 96 % à Douala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B6670"/>
                <w:sz w:val="16"/>
                <w:szCs w:val="16"/>
              </w:rPr>
              <w:t xml:space="preserve">Clients acheteurs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30"/>
                <w:szCs w:val="30"/>
              </w:rPr>
              <w:t xml:space="preserve">1 734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670"/>
                <w:sz w:val="15"/>
                <w:szCs w:val="15"/>
              </w:rPr>
              <w:t xml:space="preserve">73 % récurrents</w:t>
            </w:r>
          </w:p>
        </w:tc>
      </w:tr>
    </w:tbl>
    <w:p>
      <w:pPr>
        <w:keepNext/>
        <w:pBdr>
          <w:bottom w:val="single" w:color="C9D3D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1. Ce que révèlent les données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Retours : l'Électronique.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Elle pèse 71 % du CA mais affiche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15,6 % de retours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(Maison 5,0 %, Mode 7,5 %, Beauté 2,9 %) : 282 k UM remboursées, soit 88 % de tous les retours. Le problème est structurel : il touche les 50 produits et toutes les villes.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Villes : Douala.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12,9 % des commandes y sont annulées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, contre 0,1 % dans les sept autres villes (176 annulations, 47 k UM de CA perdu). La cause est locale : elle ne dépend ni du canal, ni de la catégorie, ni du paiement.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Marketing : Instagram.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Il reçoit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54 % du budget pour 25 % du profit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(ROI sur profit 3,1, contre 11,1 pour Google Ads et 54 pour l'Email).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Clients.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174 clients VIP (10 % de la base) font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41 % du CA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; 465 clients n'ont acheté qu'une fois et 130 clients récurrents décrochent (inactifs depuis plus de 90 jours).</w:t>
      </w:r>
    </w:p>
    <w:p>
      <w:pPr>
        <w:pBdr>
          <w:left w:val="single" w:color="1F4E8C" w:sz="18" w:space="6"/>
        </w:pBdr>
        <w:shd w:fill="EAF2FB" w:color="auto" w:val="clear"/>
        <w:spacing w:after="100" w:before="40" w:line="252"/>
      </w:pPr>
      <w:r>
        <w:rPr>
          <w:rFonts w:ascii="Calibri" w:cs="Calibri" w:eastAsia="Calibri" w:hAnsi="Calibri"/>
          <w:b/>
          <w:bCs/>
          <w:color w:val="1F4E8C"/>
          <w:sz w:val="20"/>
          <w:szCs w:val="20"/>
        </w:rPr>
        <w:t xml:space="preserve">Décisions demandées :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(1) mandater un audit opérationnel de Douala (30 jours) ; (2) lancer un plan qualité sur l'Électronique ; (3) autoriser un premier palier de réallocation marketing (−10 % d'Instagram vers Google Ads) et un programme de rétention ciblé.</w:t>
      </w:r>
    </w:p>
    <w:p>
      <w:pPr>
        <w:keepNext/>
        <w:pBdr>
          <w:bottom w:val="single" w:color="C9D3D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2. Fiabilité des données : ce qui a été corrigé</w:t>
      </w:r>
    </w:p>
    <w:p>
      <w:pPr>
        <w:spacing w:after="80" w:before="0" w:line="252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18 % des lignes du fichier portaient au moins une anomalie. Le point le plus lourd de conséquences :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436 des 600 lignes étiquetées « electronique » étaient en réalité des produits Beauté, Mode ou Maison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(le nom du produit et son prix le prouvent). Se contenter de corriger la casse aurait gonflé l'Électronique et faussé tous ses taux ; la catégorie a donc été reclassée d'après le produit.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900"/>
        <w:gridCol w:w="4506"/>
      </w:tblGrid>
      <w:tr>
        <w:trPr>
          <w:cantSplit/>
          <w:tblHeader/>
        </w:trPr>
        <w:tc>
          <w:tcPr>
            <w:tcW w:type="dxa" w:w="4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Anomalie détectée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Lignes</w:t>
            </w:r>
          </w:p>
        </w:tc>
        <w:tc>
          <w:tcPr>
            <w:tcW w:type="dxa" w:w="45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Doublons exacts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100</w:t>
            </w:r>
          </w:p>
        </w:tc>
        <w:tc>
          <w:tcPr>
            <w:tcW w:type="dxa" w:w="45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Supprimés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Catégorie « electronique » contredite par le produit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436</w:t>
            </w:r>
          </w:p>
        </w:tc>
        <w:tc>
          <w:tcPr>
            <w:tcW w:type="dxa" w:w="45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Reclassées d'après le nom du produit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Prix négatifs (−50 et 22 autres)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622</w:t>
            </w:r>
          </w:p>
        </w:tc>
        <w:tc>
          <w:tcPr>
            <w:tcW w:type="dxa" w:w="45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Remplacés par la médiane du produit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Quantités égales à 0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600</w:t>
            </w:r>
          </w:p>
        </w:tc>
        <w:tc>
          <w:tcPr>
            <w:tcW w:type="dxa" w:w="45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Supprimées (vente impossible)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Remises négatives (−10 %)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600</w:t>
            </w:r>
          </w:p>
        </w:tc>
        <w:tc>
          <w:tcPr>
            <w:tcW w:type="dxa" w:w="45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Remplacées par la médiane de la catégorie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« Kinshassa », « retournée » (orthographe, casse)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600 / 816</w:t>
            </w:r>
          </w:p>
        </w:tc>
        <w:tc>
          <w:tcPr>
            <w:tcW w:type="dxa" w:w="45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Normalisés</w:t>
            </w:r>
          </w:p>
        </w:tc>
      </w:tr>
    </w:tbl>
    <w:p>
      <w:pPr>
        <w:spacing w:after="40" w:before="60" w:line="252"/>
      </w:pPr>
      <w:r>
        <w:rPr>
          <w:rFonts w:ascii="Calibri" w:cs="Calibri" w:eastAsia="Calibri" w:hAnsi="Calibri"/>
          <w:color w:val="5B6670"/>
          <w:sz w:val="18"/>
          <w:szCs w:val="18"/>
        </w:rPr>
        <w:t xml:space="preserve">Résultat : 9 400 commandes propres, 11 contrôles de qualité automatiques réussis. Les classements et conclusions restent identiques si le coût d'achat varie de ±10 points ou si les quantités nulles sont imputées au lieu d'être supprimées.</w:t>
      </w:r>
    </w:p>
    <w:p>
      <w:pPr>
        <w:spacing w:after="40" w:before="0" w:line="252"/>
      </w:pPr>
      <w:r>
        <w:rPr>
          <w:rFonts w:ascii="Calibri" w:cs="Calibri" w:eastAsia="Calibri" w:hAnsi="Calibri"/>
          <w:color w:val="5B6670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5B6670"/>
          <w:sz w:val="17"/>
          <w:szCs w:val="17"/>
        </w:rPr>
        <w:t xml:space="preserve">Définitions.</w:t>
      </w:r>
      <w:r>
        <w:rPr>
          <w:rFonts w:ascii="Calibri" w:cs="Calibri" w:eastAsia="Calibri" w:hAnsi="Calibri"/>
          <w:color w:val="5B6670"/>
          <w:sz w:val="17"/>
          <w:szCs w:val="17"/>
        </w:rPr>
        <w:t xml:space="preserve"> CA = commandes livrées (annulations et retours remboursés). Profit net = marge brute − livraison (×2 si retour) − marketing ; le coût d'achat n'est pas dans les données : hypothèse de 72 % (Électronique), 55 % (Maison), 45 % (Mode), 35 % (Beauté) du prix. ROI = (Revenus − Coût marketing) / Coût marketing.</w:t>
      </w:r>
    </w:p>
    <w:p>
      <w:pPr>
        <w:keepNext/>
        <w:pBdr>
          <w:bottom w:val="single" w:color="C9D3D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3. Performance globale</w:t>
      </w:r>
    </w:p>
    <w:p>
      <w:pPr>
        <w:keepNext w:val="false"/>
        <w:spacing w:after="20" w:before="40"/>
        <w:jc w:val="center"/>
      </w:pPr>
      <w:r>
        <w:drawing>
          <wp:inline distT="0" distB="0" distL="0" distR="0">
            <wp:extent cx="6096000" cy="2181225"/>
            <wp:effectExtent t="0" r="0" b="0" l="0"/>
            <wp:docPr id="1" name="resume_mensuel.png" descr="resume_mensuel.png" title="resume_mensu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52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Sur 2 552 k UM facturées,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319 k UM sont remboursées (retours)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et 50 k UM annulées, bien avant le coût d'achat. Le marketing représente 3,2 % du CA (69 505 UM). L'activité est stable de juillet à octobre, creuse en novembre puis atteint son maximum en décembre (+23 % sur novembre), porté par un basculement de mix vers la catégorie Maison.</w:t>
      </w:r>
    </w:p>
    <w:p>
      <w:pPr>
        <w:keepNext/>
        <w:pBdr>
          <w:bottom w:val="single" w:color="C9D3D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4. Catégories : laquelle prioriser ou optimiser ?</w:t>
      </w:r>
    </w:p>
    <w:p>
      <w:pPr>
        <w:keepNext w:val="false"/>
        <w:spacing w:after="20" w:before="40"/>
        <w:jc w:val="center"/>
      </w:pPr>
      <w:r>
        <w:drawing>
          <wp:inline distT="0" distB="0" distL="0" distR="0">
            <wp:extent cx="6096000" cy="2076450"/>
            <wp:effectExtent t="0" r="0" b="0" l="0"/>
            <wp:docPr id="2" name="resume_categories.png" descr="resume_categories.png" title="resume_categor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Électronique, pilier à optimiser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71 % du CA et 60 % du profit, mais profit/CA de seulement 17,9 % et 15,6 % de retours.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Maison, relais de croissance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profit/CA de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32,0 %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(le plus élevé des quatre catégories), retours à 5,0 %, CA du T4 en hausse de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+68 %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sur le T3 (la demande double dès novembre, sans hausse de remises).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Mode à redresser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−17 % au T4 malgré un profit/CA de 22,4 %.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Beauté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4 % du CA, marge brute la plus haute mais panier trop faible : produit d'appoint.</w:t>
      </w:r>
    </w:p>
    <w:p>
      <w:pPr>
        <w:pBdr>
          <w:left w:val="single" w:color="1F4E8C" w:sz="18" w:space="6"/>
        </w:pBdr>
        <w:shd w:fill="EAF2FB" w:color="auto" w:val="clear"/>
        <w:spacing w:after="100" w:before="40" w:line="252"/>
      </w:pPr>
      <w:r>
        <w:rPr>
          <w:rFonts w:ascii="Calibri" w:cs="Calibri" w:eastAsia="Calibri" w:hAnsi="Calibri"/>
          <w:b/>
          <w:bCs/>
          <w:color w:val="1F4E8C"/>
          <w:sz w:val="20"/>
          <w:szCs w:val="20"/>
        </w:rPr>
        <w:t xml:space="preserve">Réponse :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optimiser l'Électronique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(réduire les retours = premier levier de profit),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prioriser Maison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, redresser Mode.</w:t>
      </w:r>
    </w:p>
    <w:p>
      <w:pPr>
        <w:keepNext/>
        <w:pBdr>
          <w:bottom w:val="single" w:color="C9D3D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5. Villes : où investir davantage ?</w:t>
      </w:r>
    </w:p>
    <w:p>
      <w:pPr>
        <w:keepNext w:val="false"/>
        <w:spacing w:after="20" w:before="40"/>
        <w:jc w:val="center"/>
      </w:pPr>
      <w:r>
        <w:drawing>
          <wp:inline distT="0" distB="0" distL="0" distR="0">
            <wp:extent cx="6096000" cy="2238375"/>
            <wp:effectExtent t="0" r="0" b="0" l="0"/>
            <wp:docPr id="3" name="resume_villes.png" descr="resume_villes.png" title="resume_vil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Kinshasa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est le socle (30 % du CA, +5 % au T4) ;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Abidjan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(20 %) stagne (−1 %) et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Dakar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recule (−7 %). La rentabilité est homogène (21 %–22 % du CA partout) : ce sont le volume et la dynamique qui font la différence.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Douala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croît de +21 % mais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annule 12,9 % de ses commandes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chaque UM de marketing y est partiellement gaspillée.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Cotonou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est la ville la plus dynamique (+34 %) sur une petite base (7 % du CA).</w:t>
      </w:r>
    </w:p>
    <w:p>
      <w:pPr>
        <w:pBdr>
          <w:left w:val="single" w:color="1F4E8C" w:sz="18" w:space="6"/>
        </w:pBdr>
        <w:shd w:fill="EAF2FB" w:color="auto" w:val="clear"/>
        <w:spacing w:after="100" w:before="40" w:line="252"/>
      </w:pPr>
      <w:r>
        <w:rPr>
          <w:rFonts w:ascii="Calibri" w:cs="Calibri" w:eastAsia="Calibri" w:hAnsi="Calibri"/>
          <w:b/>
          <w:bCs/>
          <w:color w:val="1F4E8C"/>
          <w:sz w:val="20"/>
          <w:szCs w:val="20"/>
        </w:rPr>
        <w:t xml:space="preserve">Réponse :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réparer Douala d'abord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, puis y accélérer l'acquisition ;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accélérer sur Cotonou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; défendre Kinshasa ; diagnostiquer Dakar et Abidjan avant d'y ajouter du budget.</w:t>
      </w:r>
    </w:p>
    <w:p>
      <w:pPr>
        <w:keepNext/>
        <w:pBdr>
          <w:bottom w:val="single" w:color="C9D3D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6. Marketing : quel canal financer, optimiser, réduire ?</w:t>
      </w:r>
    </w:p>
    <w:p>
      <w:pPr>
        <w:keepNext w:val="false"/>
        <w:spacing w:after="20" w:before="40"/>
        <w:jc w:val="center"/>
      </w:pPr>
      <w:r>
        <w:drawing>
          <wp:inline distT="0" distB="0" distL="0" distR="0">
            <wp:extent cx="6096000" cy="2162175"/>
            <wp:effectExtent t="0" r="0" b="0" l="0"/>
            <wp:docPr id="4" name="resume_marketing.png" descr="resume_marketing.png" title="resume_marke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800"/>
        <w:gridCol w:w="1906"/>
      </w:tblGrid>
      <w:tr>
        <w:trPr>
          <w:cantSplit/>
          <w:tblHeader/>
        </w:trPr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Coût / commande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ROI (sur CA)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ROI sur profit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 budget → profit</w:t>
            </w:r>
          </w:p>
        </w:tc>
        <w:tc>
          <w:tcPr>
            <w:tcW w:type="dxa" w:w="1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Rétention clients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1,24 UM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197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54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3 % → 28 %</w:t>
            </w:r>
          </w:p>
        </w:tc>
        <w:tc>
          <w:tcPr>
            <w:tcW w:type="dxa" w:w="1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73,3 %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Google Ads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5,50 UM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43,2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11,1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19 % → 32 %</w:t>
            </w:r>
          </w:p>
        </w:tc>
        <w:tc>
          <w:tcPr>
            <w:tcW w:type="dxa" w:w="1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75,2 %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Influenceur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12,14 UM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18,1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4,3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24 % → 15 %</w:t>
            </w:r>
          </w:p>
        </w:tc>
        <w:tc>
          <w:tcPr>
            <w:tcW w:type="dxa" w:w="1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74,3 %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Instagram Ads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10,00 UM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20,9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3,1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54 % → 25 %</w:t>
            </w:r>
          </w:p>
        </w:tc>
        <w:tc>
          <w:tcPr>
            <w:tcW w:type="dxa" w:w="1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71,4 %</w:t>
            </w:r>
          </w:p>
        </w:tc>
      </w:tr>
    </w:tbl>
    <w:p>
      <w:pPr>
        <w:spacing w:after="70" w:before="70" w:line="252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Les canaux amènent le même panier et le même mix produit : ils diffèrent par leur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coût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, pas par la qualité de la demande. Attention : l'Email touche surtout une base déjà acquise (levier de rétention, pas d'acquisition) et les ROI sont des moyennes, non des gains incrémentaux.</w:t>
      </w:r>
    </w:p>
    <w:p>
      <w:pPr>
        <w:pBdr>
          <w:left w:val="single" w:color="1F4E8C" w:sz="18" w:space="6"/>
        </w:pBdr>
        <w:shd w:fill="EAF2FB" w:color="auto" w:val="clear"/>
        <w:spacing w:after="100" w:before="40" w:line="252"/>
      </w:pPr>
      <w:r>
        <w:rPr>
          <w:rFonts w:ascii="Calibri" w:cs="Calibri" w:eastAsia="Calibri" w:hAnsi="Calibri"/>
          <w:b/>
          <w:bCs/>
          <w:color w:val="1F4E8C"/>
          <w:sz w:val="20"/>
          <w:szCs w:val="20"/>
        </w:rPr>
        <w:t xml:space="preserve">Réponse :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plus de budget : Google Ads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(et un programme Email/CRM) ;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optimiser : Influenceur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(paiement à la performance) ;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réduire : Instagram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, d'environ 25 %, par paliers de 10 % mesurés. Le transfert n'est rentable que si Google conserve au moins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37 %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de son efficacité moyenne.</w:t>
      </w:r>
    </w:p>
    <w:p>
      <w:pPr>
        <w:keepNext/>
        <w:pBdr>
          <w:bottom w:val="single" w:color="C9D3D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7. Clients : comment améliorer la rétention ?</w:t>
      </w:r>
    </w:p>
    <w:p>
      <w:pPr>
        <w:keepNext w:val="false"/>
        <w:spacing w:after="20" w:before="40"/>
        <w:jc w:val="center"/>
      </w:pPr>
      <w:r>
        <w:drawing>
          <wp:inline distT="0" distB="0" distL="0" distR="0">
            <wp:extent cx="6096000" cy="2085975"/>
            <wp:effectExtent t="0" r="0" b="0" l="0"/>
            <wp:docPr id="5" name="resume_clients.png" descr="resume_clients.png" title="resume_cli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Concentration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31 % des clients font 80 % du CA ; les 174 VIP font 41 % du CA et 41 % du profit. Aucune dépendance à un client isolé (le top 10 pèse 3,9 % du CA).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Trois poches de rétention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465 clients à un seul achat (27 %) ; 130 clients récurrents inactifs depuis plus de 90 jours (63 k UM de CA historique) ; les acheteurs d'Électronique, qui ont la meilleure rétention et la meilleure valeur vie client : raison de plus de corriger leurs retours.</w:t>
      </w:r>
    </w:p>
    <w:p>
      <w:pPr>
        <w:pBdr>
          <w:left w:val="single" w:color="1F4E8C" w:sz="18" w:space="6"/>
        </w:pBdr>
        <w:shd w:fill="EAF2FB" w:color="auto" w:val="clear"/>
        <w:spacing w:after="100" w:before="40" w:line="252"/>
      </w:pPr>
      <w:r>
        <w:rPr>
          <w:rFonts w:ascii="Calibri" w:cs="Calibri" w:eastAsia="Calibri" w:hAnsi="Calibri"/>
          <w:b/>
          <w:bCs/>
          <w:color w:val="1F4E8C"/>
          <w:sz w:val="20"/>
          <w:szCs w:val="20"/>
        </w:rPr>
        <w:t xml:space="preserve">Réponse :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offre de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2ᵉ achat sous 25 jours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(délai médian naturel entre deux commandes),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réactivation à J+60/J+90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programme VIP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, ventes croisées Maison.</w:t>
      </w:r>
    </w:p>
    <w:p>
      <w:pPr>
        <w:keepNext/>
        <w:pBdr>
          <w:bottom w:val="single" w:color="C9D3D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8. Cinq recommandations stratégiques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056"/>
        <w:gridCol w:w="2670"/>
        <w:gridCol w:w="2800"/>
      </w:tblGrid>
      <w:tr>
        <w:trPr>
          <w:cantSplit/>
          <w:tblHeader/>
        </w:trPr>
        <w:tc>
          <w:tcPr>
            <w:tcW w:type="dxa" w:w="3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 et action</w:t>
            </w:r>
          </w:p>
        </w:tc>
        <w:tc>
          <w:tcPr>
            <w:tcW w:type="dxa" w:w="2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cible</w:t>
            </w:r>
          </w:p>
        </w:tc>
        <w:tc>
          <w:tcPr>
            <w:tcW w:type="dxa" w:w="2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profit (UM / 6 mois)</w:t>
            </w:r>
          </w:p>
        </w:tc>
      </w:tr>
      <w:tr>
        <w:trPr>
          <w:cantSplit/>
          <w:tblHeader w:val="off"/>
        </w:trPr>
        <w:tc>
          <w:tcPr>
            <w:tcW w:type="dxa" w:w="3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40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Corriger les annulations à Douala.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Audit opérationnel sous 30 jours (stock, délai de livraison, confirmation de commande, paiement), puis suivi hebdomadaire.</w:t>
            </w:r>
          </w:p>
        </w:tc>
        <w:tc>
          <w:tcPr>
            <w:tcW w:type="dxa" w:w="2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Annulation Douala &lt; 3 % à 90 jours</w:t>
            </w:r>
          </w:p>
        </w:tc>
        <w:tc>
          <w:tcPr>
            <w:tcW w:type="dxa" w:w="2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+7 268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40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Réduire les retours Électronique.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Revue qualité des produits les plus retournés, fiches produit (compatibilité, photos, garantie), contrôle avant expédition, motif de retour obligatoire.</w:t>
            </w:r>
          </w:p>
        </w:tc>
        <w:tc>
          <w:tcPr>
            <w:tcW w:type="dxa" w:w="2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Retours ≤ 10 % à 6 mois</w:t>
            </w:r>
          </w:p>
        </w:tc>
        <w:tc>
          <w:tcPr>
            <w:tcW w:type="dxa" w:w="2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+21 685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40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Réallouer le marketing.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25 % d'Instagram+Influenceur (13 499 UM) vers Google Ads par paliers testés ; Influenceur payé à la performance ; programme Email/CRM.</w:t>
            </w:r>
          </w:p>
        </w:tc>
        <w:tc>
          <w:tcPr>
            <w:tcW w:type="dxa" w:w="2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Arrêt si rendement marginal Google &lt; 37 % de sa moyenne</w:t>
            </w:r>
          </w:p>
        </w:tc>
        <w:tc>
          <w:tcPr>
            <w:tcW w:type="dxa" w:w="2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+21 642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40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Prioriser Maison, redresser Mode.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Stock et campagnes Maison pour le pic nov.–déc., ventes croisées aux acheteurs Électronique, diagnostic offre/prix Mode.</w:t>
            </w:r>
          </w:p>
        </w:tc>
        <w:tc>
          <w:tcPr>
            <w:tcW w:type="dxa" w:w="2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Mode revient au niveau du T3</w:t>
            </w:r>
          </w:p>
        </w:tc>
        <w:tc>
          <w:tcPr>
            <w:tcW w:type="dxa" w:w="2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+3 770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5</w:t>
            </w:r>
          </w:p>
        </w:tc>
        <w:tc>
          <w:tcPr>
            <w:tcW w:type="dxa" w:w="40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Programme de rétention.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Offre 2ᵉ achat sous 25 jours, réactivation des clients à risque, programme VIP.</w:t>
            </w:r>
          </w:p>
        </w:tc>
        <w:tc>
          <w:tcPr>
            <w:tcW w:type="dxa" w:w="2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Récurrence 73 % → 78 %</w:t>
            </w:r>
          </w:p>
        </w:tc>
        <w:tc>
          <w:tcPr>
            <w:tcW w:type="dxa" w:w="2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+5 230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E0A10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Impact cumulé estimé : +59 594 UM de profit sur six mois (+13 %), soit ≈ 119 k UM par an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, à budget marketing total constant. Ce sont des ordres de grandeur prudents (hypothèses de chiffrage détaillées dans le notebook, §7).</w:t>
            </w:r>
          </w:p>
        </w:tc>
      </w:tr>
    </w:tbl>
    <w:p>
      <w:pPr>
        <w:spacing w:after="7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200"/>
        <w:gridCol w:w="2406"/>
      </w:tblGrid>
      <w:tr>
        <w:trPr>
          <w:cantSplit/>
          <w:tblHeader/>
        </w:trPr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6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24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4E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Pilotes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30 jours</w:t>
            </w:r>
          </w:p>
        </w:tc>
        <w:tc>
          <w:tcPr>
            <w:tcW w:type="dxa" w:w="6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Audit Douala ; revue qualité des produits Électronique les plus retournés ; tableau de bord hebdomadaire (annulations, retours, ROI par canal)</w:t>
            </w:r>
          </w:p>
        </w:tc>
        <w:tc>
          <w:tcPr>
            <w:tcW w:type="dxa" w:w="24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Opérations, Qualité, Data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60 jours</w:t>
            </w:r>
          </w:p>
        </w:tc>
        <w:tc>
          <w:tcPr>
            <w:tcW w:type="dxa" w:w="6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Premier palier de réallocation (−10 % Instagram → Google Ads) et mesure ; relances 2ᵉ achat et réactivation</w:t>
            </w:r>
          </w:p>
        </w:tc>
        <w:tc>
          <w:tcPr>
            <w:tcW w:type="dxa" w:w="24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Marketing, CRM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90 jours</w:t>
            </w:r>
          </w:p>
        </w:tc>
        <w:tc>
          <w:tcPr>
            <w:tcW w:type="dxa" w:w="6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Programme VIP ; ventes croisées Maison ; plan de stock Maison pour le prochain pic ; décision sur le palier suivant</w:t>
            </w:r>
          </w:p>
        </w:tc>
        <w:tc>
          <w:tcPr>
            <w:tcW w:type="dxa" w:w="24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Direction commerciale</w:t>
            </w:r>
          </w:p>
        </w:tc>
      </w:tr>
    </w:tbl>
    <w:p>
      <w:pPr>
        <w:keepNext/>
        <w:pBdr>
          <w:bottom w:val="single" w:color="C9D3D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9. Conclusion</w:t>
      </w:r>
    </w:p>
    <w:p>
      <w:pPr>
        <w:spacing w:after="80" w:before="0" w:line="252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AfriMarket n'a pas un problème de demande mais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quatre problèmes d'exécution, tous localisés et mesurables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la qualité de l'Électronique, la logistique de Douala, l'allocation du budget marketing et le suivi des clients à risque. Les corriger rapporte environ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60 k UM de profit supplémentaires par semestre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sans investissement additionnel. La priorité des 30 prochains jours est claire :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Douala et les retours Électronique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, qui représentent à eux deux près de la moitié du gain attendu.</w:t>
      </w:r>
    </w:p>
    <w:p>
      <w:pPr>
        <w:spacing w:after="80" w:before="0" w:line="252"/>
      </w:pPr>
      <w:r>
        <w:rPr>
          <w:rFonts w:ascii="Calibri" w:cs="Calibri" w:eastAsia="Calibri" w:hAnsi="Calibri"/>
          <w:color w:val="5B6670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5B6670"/>
          <w:sz w:val="18"/>
          <w:szCs w:val="18"/>
        </w:rPr>
        <w:t xml:space="preserve">Limites.</w:t>
      </w:r>
      <w:r>
        <w:rPr>
          <w:rFonts w:ascii="Calibri" w:cs="Calibri" w:eastAsia="Calibri" w:hAnsi="Calibri"/>
          <w:color w:val="5B6670"/>
          <w:sz w:val="18"/>
          <w:szCs w:val="18"/>
        </w:rPr>
        <w:t xml:space="preserve"> Le coût d'achat est une hypothèse (les classements sont robustes, les montants de profit sont des ordres de grandeur) ; six mois d'historique ne permettent pas de confirmer la saisonnalité de Maison ; l'attribution marketing est « un canal par commande ». </w:t>
      </w:r>
      <w:r>
        <w:rPr>
          <w:rFonts w:ascii="Calibri" w:cs="Calibri" w:eastAsia="Calibri" w:hAnsi="Calibri"/>
          <w:b/>
          <w:bCs/>
          <w:color w:val="5B6670"/>
          <w:sz w:val="18"/>
          <w:szCs w:val="18"/>
        </w:rPr>
        <w:t xml:space="preserve">Prochaine étape :</w:t>
      </w:r>
      <w:r>
        <w:rPr>
          <w:rFonts w:ascii="Calibri" w:cs="Calibri" w:eastAsia="Calibri" w:hAnsi="Calibri"/>
          <w:color w:val="5B6670"/>
          <w:sz w:val="18"/>
          <w:szCs w:val="18"/>
        </w:rPr>
        <w:t xml:space="preserve"> collecter le coût d'achat réel et le motif des retours et annulations.</w:t>
      </w:r>
    </w:p>
    <w:sectPr>
      <w:footerReference w:type="default" r:id="rId6"/>
      <w:pgSz w:w="11906" w:h="16838" w:orient="portrait"/>
      <w:pgMar w:top="900" w:right="1000" w:bottom="900" w:left="1000" w:header="708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0"/>
        <w:sz w:val="16"/>
        <w:szCs w:val="16"/>
      </w:rPr>
      <w:t xml:space="preserve">AfriMarket · Résumé exécutif · Page </w:t>
    </w:r>
    <w:r>
      <w:rPr>
        <w:rFonts w:ascii="Calibri" w:cs="Calibri" w:eastAsia="Calibri" w:hAnsi="Calibri"/>
        <w:color w:val="5B66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670"/>
        <w:sz w:val="16"/>
        <w:szCs w:val="16"/>
      </w:rPr>
      <w:t xml:space="preserve"> / </w:t>
    </w:r>
    <w:r>
      <w:rPr>
        <w:rFonts w:ascii="Calibri" w:cs="Calibri" w:eastAsia="Calibri" w:hAnsi="Calibri"/>
        <w:color w:val="5B66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8c1c7d37205f0652ee0b6cc66c1a08c31dc897c.png"/><Relationship Id="rId9" Type="http://schemas.openxmlformats.org/officeDocument/2006/relationships/image" Target="media/e96e8d1bf4ddb0feb196b3e6e8aa54d5cef09830.png"/><Relationship Id="rId10" Type="http://schemas.openxmlformats.org/officeDocument/2006/relationships/image" Target="media/daa7de6c6d7ba73284df7f954db4be8f0261d3b2.png"/><Relationship Id="rId11" Type="http://schemas.openxmlformats.org/officeDocument/2006/relationships/image" Target="media/51c701262dd117ef4d183e9c155fc68ef266b1f9.png"/><Relationship Id="rId12" Type="http://schemas.openxmlformats.org/officeDocument/2006/relationships/image" Target="media/eb6e871ad4d1adc94cfc32a0a5d91343e00a9f5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AfriMarket - Résumé exécutif</dc:title>
  <dc:creator>Data Analyst</dc:creator>
  <dc:description>Analyse stratégique juillet-décembre 2025</dc:description>
  <cp:lastModifiedBy>Un-named</cp:lastModifiedBy>
  <cp:revision>1</cp:revision>
  <dcterms:created xsi:type="dcterms:W3CDTF">2026-10-10T01:26:18.491Z</dcterms:created>
  <dcterms:modified xsi:type="dcterms:W3CDTF">2026-10-10T01:26:18.492Z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