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Survey-weighted baseline characteristics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Survey-weighted baseline characteristics of NHANES 2017–2018 adults**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2025"/>
      </w:tblGrid>
      <w:tr>
        <w:trPr>
          <w:trHeight w:val="60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63,874,281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(35, 61)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 (49%)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 (51%)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Mexican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 (9.3%)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(6.0%)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494 (64%)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 (10%)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(5.5%)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(5.1%)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 income-to-poverty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 (1.52, 5.00)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 (11%)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 (31%)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(25, 34)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 (56%)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 (44%)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Serum cotinine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(0, 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creatinine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(57, 155)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cadmium, μg/L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(0.09, 0.33)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pressure, mmHg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(113, 135)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pressure, mmHg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(66, 81)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(unweighted)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2026-05-08T12:00:56Z</dcterms:modified>
  <cp:category/>
</cp:coreProperties>
</file>