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2. Survey-weighted association between urinary cadmium and SBP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Survey-weighted association between urinary cadmium and systolic blood pressure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29"/>
        <w:gridCol w:w="2587"/>
        <w:gridCol w:w="912"/>
        <w:gridCol w:w="1463"/>
        <w:gridCol w:w="1132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1: 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Log2 urinary cadmium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-0.09, 2.73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2: Demographic-adjusted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Log2 urinary cadmium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-1.79, 1.29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 3: Fully adjusted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Log2 urinary cadmium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-1.95, 0.77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2026-05-08T12:00:57Z</dcterms:modified>
  <cp:category/>
</cp:coreProperties>
</file>