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3. Sensitivity analyses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Sensitivity analyses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8"/>
        <w:gridCol w:w="3125"/>
        <w:gridCol w:w="912"/>
        <w:gridCol w:w="1463"/>
        <w:gridCol w:w="1132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 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DBP outcome, weighted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Log2 urinary cadmium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-0.35, 1.08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Cadmium quartiles,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Cadmium quartile Q2 vs 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-4.19, 3.59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Cadmium quartiles,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Cadmium quartile Q3 vs 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-4.85, 2.45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Cadmium quartiles,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Cadmium quartile Q4 vs 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-7.48, 2.46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SBP outcome, unweighted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Log2 urinary cadmium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-1.72, 0.07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2026-05-08T12:00:57Z</dcterms:modified>
  <cp:category/>
</cp:coreProperties>
</file>