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Peng, Zonglin </w:t>
      </w:r>
    </w:p>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Baumgarten, Samuel</w:t>
      </w:r>
    </w:p>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Group 36</w:t>
      </w:r>
    </w:p>
    <w:p w:rsidR="00000000" w:rsidDel="00000000" w:rsidP="00000000" w:rsidRDefault="00000000" w:rsidRPr="00000000" w14:paraId="0000000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 1</w:t>
      </w:r>
    </w:p>
    <w:p w:rsidR="00000000" w:rsidDel="00000000" w:rsidP="00000000" w:rsidRDefault="00000000" w:rsidRPr="00000000" w14:paraId="00000008">
      <w:pPr>
        <w:rPr/>
      </w:pPr>
      <w:r w:rsidDel="00000000" w:rsidR="00000000" w:rsidRPr="00000000">
        <w:rPr>
          <w:rtl w:val="0"/>
        </w:rPr>
        <w:t xml:space="preserve">Views are created to select the desired element from tables, and the three selections are performed to get desired columns.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2</w:t>
      </w:r>
    </w:p>
    <w:p w:rsidR="00000000" w:rsidDel="00000000" w:rsidP="00000000" w:rsidRDefault="00000000" w:rsidRPr="00000000" w14:paraId="0000000C">
      <w:pPr>
        <w:rPr/>
      </w:pPr>
      <w:r w:rsidDel="00000000" w:rsidR="00000000" w:rsidRPr="00000000">
        <w:rPr>
          <w:rtl w:val="0"/>
        </w:rPr>
        <w:t xml:space="preserve">Q1. Before a row is inserted or updated on the examination table, which indicates a visit to patient, and when the comment text is null in the new row, we perform a selection to check if the ICU is involved; if yes, then an error is invoked.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Q2. Before a row is inserted or updated on the admission table, we want to define the value of the insurance coverage in the new row and the value is calculated from the given total payment.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Q3. Before a row is inserted or updated on the RegularEmployees table, we want to check if the division manager foreign key is null; if yes, then an error is invoked. In our table schema, the foreign key in constraint to division manager table, so it guarantees that if the foreign key stored in the regular employee table indicates the one and only division manager. Therefore, we assume no other conditional checks are necessary.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Q4. Before a row is inserted or updated on the DivisionManagers table, we want to check if the foreign key to the general manager is null; if yes, then an error is invoked. In our table schema, the foreign key in constraint to general manager table, so it guarantees that if the foreign key stored in the division manager table indicates the one and only general manager. Therefore, we assume no other conditional checks are necessary. As for the general managers table, no supervisor attribute is defines, so there cannot be any supervisors of general managers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Q5. After a row is inserted on the Stays table, we create a flag called has_er. If the given room number is a emergency room in the room table, then the flag is set to 1; else set to 0. If the flag is 1, then update the future visit date to 2 month afterwards. Note that because this date can be set manually, the trigger is not invoked after updates.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Q6. Before a row is inserted on the </w:t>
      </w:r>
      <w:r w:rsidDel="00000000" w:rsidR="00000000" w:rsidRPr="00000000">
        <w:rPr>
          <w:rtl w:val="0"/>
        </w:rPr>
        <w:t xml:space="preserve">EquipmentUnits </w:t>
      </w:r>
      <w:r w:rsidDel="00000000" w:rsidR="00000000" w:rsidRPr="00000000">
        <w:rPr>
          <w:rtl w:val="0"/>
        </w:rPr>
        <w:t xml:space="preserve">table, we first check if this unit is of type CT scanner or ultrasound in the </w:t>
      </w:r>
      <w:r w:rsidDel="00000000" w:rsidR="00000000" w:rsidRPr="00000000">
        <w:rPr>
          <w:rtl w:val="0"/>
        </w:rPr>
        <w:t xml:space="preserve">EquipmentTypes table, and load the count of matches to a temporary variable. Then if there are matches and purchase year is incorrect, an error is invoked.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Q7. After a row is updated on the Admissions table, first find and print out the first name, last name, and address of the patient by SSN. Then if a doctor row is affected but the cursor C1, then print the doctor and comment from the cursor.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Part 3</w:t>
      </w:r>
    </w:p>
    <w:p w:rsidR="00000000" w:rsidDel="00000000" w:rsidP="00000000" w:rsidRDefault="00000000" w:rsidRPr="00000000" w14:paraId="0000001C">
      <w:pPr>
        <w:rPr/>
      </w:pPr>
      <w:r w:rsidDel="00000000" w:rsidR="00000000" w:rsidRPr="00000000">
        <w:rPr>
          <w:rtl w:val="0"/>
        </w:rPr>
        <w:t xml:space="preserve">All our models, DAOs, and commands are combined in the main.java.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