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作品 Demo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95959"/>
          <w:sz w:val="21"/>
        </w:rPr>
        <w:t>WUI 在线体验地址与评审操作说明    核验日期 2026 年 9 月 4 日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000000"/>
          <w:sz w:val="22"/>
        </w:rPr>
        <w:t>WUI 是面向 React 与人工智能应用开发的源码型组件库。评审人员可直接访问在线文档站体验组件，也可通过 CLI 或 MCP 获取组件源码、属性定义和示例。在线首页已公开展示 122 个组件，页面中的按钮、表单、看板、图表和 AI 交互示例可直接操作。</w:t>
      </w:r>
    </w:p>
    <w:p>
      <w:pPr>
        <w:pStyle w:val="Heading1"/>
        <w:pageBreakBefore w:val="0"/>
      </w:pPr>
      <w:r>
        <w:t>一 体验地址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439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地址</w:t>
            </w:r>
          </w:p>
        </w:tc>
        <w:tc>
          <w:tcPr>
            <w:tcW w:type="dxa" w:w="3931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在线 Demo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https://ui.wzx.wang</w:t>
            </w:r>
          </w:p>
        </w:tc>
        <w:tc>
          <w:tcPr>
            <w:tcW w:type="dxa" w:w="39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浏览组件目录并直接操作真实渲染示例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组件文档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https://ui.wzx.wang/docs/components/button</w:t>
            </w:r>
          </w:p>
        </w:tc>
        <w:tc>
          <w:tcPr>
            <w:tcW w:type="dxa" w:w="39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查看单个组件的示例 属性与源码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Registry 示例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https://ui.wzx.wang/r/button.json</w:t>
            </w:r>
          </w:p>
        </w:tc>
        <w:tc>
          <w:tcPr>
            <w:tcW w:type="dxa" w:w="39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 CLI 可消费的标准组件描述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MCP 服务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https://ui.wzx.wang/api/mcp</w:t>
            </w:r>
          </w:p>
        </w:tc>
        <w:tc>
          <w:tcPr>
            <w:tcW w:type="dxa" w:w="39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供支持 MCP 的编码工具读取组件能力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公开代码仓库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https://github.com/zongxi1115/wui</w:t>
            </w:r>
          </w:p>
        </w:tc>
        <w:tc>
          <w:tcPr>
            <w:tcW w:type="dxa" w:w="39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查看提交历史 许可协议与源码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二 推荐体验流程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1. 打开在线 Demo，先在首页操作 Button、Switch、Slider、Kanban、AI Todo 等组件，确认交互与响应式布局。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2. 进入“浏览全部组件”，按分类选择组件，查看实时预览、安装命令、源代码、属性和事件说明。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3. 打开 Registry 示例地址，确认组件能够以 shadcn registry 兼容格式分发。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4. 在本地 React 项目中执行 pnpm dlx @wui-design/cli@latest init，再执行 pnpm dlx @wui-design/cli@latest add button，观察组件源码和依赖被写入项目。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5. 在支持 MCP 的编码工具中接入 https://ui.wzx.wang/api/mcp，依次体验组件搜索、属性查询、示例获取和源码获取。</w:t>
      </w:r>
    </w:p>
    <w:p>
      <w:pPr>
        <w:pStyle w:val="Heading1"/>
        <w:pageBreakBefore w:val="0"/>
      </w:pPr>
      <w:r>
        <w:t>三 关键能力与评审观察点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7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评审操作</w:t>
            </w:r>
          </w:p>
        </w:tc>
        <w:tc>
          <w:tcPr>
            <w:tcW w:type="dxa" w:w="424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源码可控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 CLI 添加任一组件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组件进入使用者仓库，可继续修改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按需分发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添加存在依赖关系的组件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递归解析并去重 registry 依赖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文档与源码一致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对照预览 属性表和源码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三者来自同一 registry 来源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工具接入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 MCP 查询组件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返回真实属性 用法约束 示例和源码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主题能力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应用内置主题或修改 token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浅色和深色变量统一更新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可访问性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使用键盘操作交互组件</w:t>
            </w:r>
          </w:p>
        </w:tc>
        <w:tc>
          <w:tcPr>
            <w:tcW w:type="dxa" w:w="42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焦点顺序和常用键盘交互可用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四 环境与使用说明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推荐浏览器：最新版 Chrome、Edge、Firefox 或 Safari。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本地复现环境：Node.js 20 或更高版本、pnpm 10.15.0。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在线站点无需登录；CLI 和 MCP 的网络体验需要能够访问 ui.wzx.wang。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MCP 地址是协议端点，直接在浏览器中打开时可能不显示普通网页，应在 MCP 客户端中配置。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人工智能生成或辅助生成的演示结果应显示“AI 生成内容”标识，并由使用者核验后再采用。</w:t>
      </w:r>
    </w:p>
    <w:sectPr w:rsidR="00FC693F" w:rsidRPr="0006063C" w:rsidSect="00034616">
      <w:footerReference w:type="default" r:id="rId9"/>
      <w:pgSz w:w="12240" w:h="15840"/>
      <w:pgMar w:top="979" w:right="1181" w:bottom="792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