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icrosoft YaHei" w:hAnsi="Microsoft YaHei" w:eastAsia="Microsoft YaHei"/>
          <w:b/>
          <w:color w:val="000000"/>
          <w:sz w:val="48"/>
        </w:rPr>
        <w:t>材料索引与知识产权说明</w:t>
      </w:r>
    </w:p>
    <w:p>
      <w:pPr>
        <w:spacing w:after="320"/>
      </w:pPr>
      <w:r>
        <w:rPr>
          <w:rFonts w:ascii="Microsoft YaHei" w:hAnsi="Microsoft YaHei" w:eastAsia="Microsoft YaHei"/>
          <w:b w:val="0"/>
          <w:color w:val="595959"/>
          <w:sz w:val="21"/>
        </w:rPr>
        <w:t>作品名称 WUI    其他辅助评审材料</w:t>
      </w:r>
    </w:p>
    <w:p>
      <w:pPr>
        <w:keepLines w:val="0"/>
      </w:pPr>
      <w:r>
        <w:rPr>
          <w:rFonts w:ascii="Microsoft YaHei" w:hAnsi="Microsoft YaHei" w:eastAsia="Microsoft YaHei"/>
          <w:b w:val="0"/>
          <w:color w:val="000000"/>
          <w:sz w:val="22"/>
        </w:rPr>
        <w:t>本材料帮助评审人员定位 WUI 的工程规范、组件来源、分发协议和开源许可信息。作品源代码以 MIT License 发布；第三方软件仍分别受其原始许可证约束，最终提交前应由团队核对权利归属和使用范围。</w:t>
      </w:r>
    </w:p>
    <w:p>
      <w:pPr>
        <w:pStyle w:val="Heading1"/>
        <w:pageBreakBefore w:val="0"/>
      </w:pPr>
      <w:r>
        <w:t>一 辅助评审材料索引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088"/>
            <w:shd w:fill="17365D"/>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7"/>
              </w:rPr>
              <w:t>材料</w:t>
            </w:r>
          </w:p>
        </w:tc>
        <w:tc>
          <w:tcPr>
            <w:tcW w:type="dxa" w:w="3240"/>
            <w:shd w:fill="17365D"/>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7"/>
              </w:rPr>
              <w:t>源码位置</w:t>
            </w:r>
          </w:p>
        </w:tc>
        <w:tc>
          <w:tcPr>
            <w:tcW w:type="dxa" w:w="4680"/>
            <w:shd w:fill="17365D"/>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7"/>
              </w:rPr>
              <w:t>评审用途</w:t>
            </w:r>
          </w:p>
        </w:tc>
      </w:tr>
      <w:tr>
        <w:tc>
          <w:tcPr>
            <w:tcW w:type="dxa" w:w="2088"/>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项目总览</w:t>
            </w:r>
          </w:p>
        </w:tc>
        <w:tc>
          <w:tcPr>
            <w:tcW w:type="dxa" w:w="324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README.md</w:t>
            </w:r>
          </w:p>
        </w:tc>
        <w:tc>
          <w:tcPr>
            <w:tcW w:type="dxa" w:w="468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了解定位 架构 安装与使用入口</w:t>
            </w:r>
          </w:p>
        </w:tc>
      </w:tr>
      <w:tr>
        <w:tc>
          <w:tcPr>
            <w:tcW w:type="dxa" w:w="2088"/>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组件新增规范</w:t>
            </w:r>
          </w:p>
        </w:tc>
        <w:tc>
          <w:tcPr>
            <w:tcW w:type="dxa" w:w="3240"/>
            <w:tcMar>
              <w:top w:w="110" w:type="dxa"/>
              <w:start w:w="130" w:type="dxa"/>
              <w:bottom w:w="110" w:type="dxa"/>
              <w:end w:w="130" w:type="dxa"/>
            </w:tcMar>
            <w:vAlign w:val="center"/>
            <w:shd w:fill="F5F7F9"/>
          </w:tcPr>
          <w:p>
            <w:pPr>
              <w:spacing w:after="0"/>
              <w:jc w:val="left"/>
            </w:pPr>
            <w:r>
              <w:rPr>
                <w:rFonts w:ascii="Microsoft YaHei" w:hAnsi="Microsoft YaHei" w:eastAsia="Microsoft YaHei"/>
                <w:b w:val="0"/>
                <w:color w:val="000000"/>
                <w:sz w:val="17"/>
              </w:rPr>
              <w:t>docs/COMPONENT-SPEC.md</w:t>
            </w:r>
          </w:p>
        </w:tc>
        <w:tc>
          <w:tcPr>
            <w:tcW w:type="dxa" w:w="4680"/>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检查组件开发 文档与质量要求</w:t>
            </w:r>
          </w:p>
        </w:tc>
      </w:tr>
      <w:tr>
        <w:tc>
          <w:tcPr>
            <w:tcW w:type="dxa" w:w="2088"/>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Design Token 规范</w:t>
            </w:r>
          </w:p>
        </w:tc>
        <w:tc>
          <w:tcPr>
            <w:tcW w:type="dxa" w:w="3240"/>
            <w:tcMar>
              <w:top w:w="110" w:type="dxa"/>
              <w:start w:w="130" w:type="dxa"/>
              <w:bottom w:w="110" w:type="dxa"/>
              <w:end w:w="130" w:type="dxa"/>
            </w:tcMar>
            <w:vAlign w:val="center"/>
          </w:tcPr>
          <w:p>
            <w:pPr>
              <w:spacing w:after="0"/>
              <w:jc w:val="left"/>
            </w:pPr>
            <w:r>
              <w:rPr>
                <w:rFonts w:ascii="Microsoft YaHei" w:hAnsi="Microsoft YaHei" w:eastAsia="Microsoft YaHei"/>
                <w:b w:val="0"/>
                <w:color w:val="000000"/>
                <w:sz w:val="17"/>
              </w:rPr>
              <w:t>docs/DESIGN-TOKENS.md</w:t>
            </w:r>
          </w:p>
        </w:tc>
        <w:tc>
          <w:tcPr>
            <w:tcW w:type="dxa" w:w="468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检查主题变量与样式治理</w:t>
            </w:r>
          </w:p>
        </w:tc>
      </w:tr>
      <w:tr>
        <w:tc>
          <w:tcPr>
            <w:tcW w:type="dxa" w:w="2088"/>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MCP 接入说明</w:t>
            </w:r>
          </w:p>
        </w:tc>
        <w:tc>
          <w:tcPr>
            <w:tcW w:type="dxa" w:w="3240"/>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docs/MCP.md</w:t>
            </w:r>
          </w:p>
        </w:tc>
        <w:tc>
          <w:tcPr>
            <w:tcW w:type="dxa" w:w="4680"/>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检查 AI 编码工具接入方式</w:t>
            </w:r>
          </w:p>
        </w:tc>
      </w:tr>
      <w:tr>
        <w:tc>
          <w:tcPr>
            <w:tcW w:type="dxa" w:w="2088"/>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Registry 清单</w:t>
            </w:r>
          </w:p>
        </w:tc>
        <w:tc>
          <w:tcPr>
            <w:tcW w:type="dxa" w:w="3240"/>
            <w:tcMar>
              <w:top w:w="110" w:type="dxa"/>
              <w:start w:w="130" w:type="dxa"/>
              <w:bottom w:w="110" w:type="dxa"/>
              <w:end w:w="130" w:type="dxa"/>
            </w:tcMar>
            <w:vAlign w:val="center"/>
          </w:tcPr>
          <w:p>
            <w:pPr>
              <w:spacing w:after="0"/>
              <w:jc w:val="left"/>
            </w:pPr>
            <w:r>
              <w:rPr>
                <w:rFonts w:ascii="Microsoft YaHei" w:hAnsi="Microsoft YaHei" w:eastAsia="Microsoft YaHei"/>
                <w:b w:val="0"/>
                <w:color w:val="000000"/>
                <w:sz w:val="17"/>
              </w:rPr>
              <w:t>apps/docs/registry.json</w:t>
            </w:r>
          </w:p>
        </w:tc>
        <w:tc>
          <w:tcPr>
            <w:tcW w:type="dxa" w:w="468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检查组件元数据和依赖关系</w:t>
            </w:r>
          </w:p>
        </w:tc>
      </w:tr>
      <w:tr>
        <w:tc>
          <w:tcPr>
            <w:tcW w:type="dxa" w:w="2088"/>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组件源码</w:t>
            </w:r>
          </w:p>
        </w:tc>
        <w:tc>
          <w:tcPr>
            <w:tcW w:type="dxa" w:w="3240"/>
            <w:tcMar>
              <w:top w:w="110" w:type="dxa"/>
              <w:start w:w="130" w:type="dxa"/>
              <w:bottom w:w="110" w:type="dxa"/>
              <w:end w:w="130" w:type="dxa"/>
            </w:tcMar>
            <w:vAlign w:val="center"/>
            <w:shd w:fill="F5F7F9"/>
          </w:tcPr>
          <w:p>
            <w:pPr>
              <w:spacing w:after="0"/>
              <w:jc w:val="left"/>
            </w:pPr>
            <w:r>
              <w:rPr>
                <w:rFonts w:ascii="Microsoft YaHei" w:hAnsi="Microsoft YaHei" w:eastAsia="Microsoft YaHei"/>
                <w:b w:val="0"/>
                <w:color w:val="000000"/>
                <w:sz w:val="17"/>
              </w:rPr>
              <w:t>apps/docs/registry</w:t>
            </w:r>
          </w:p>
        </w:tc>
        <w:tc>
          <w:tcPr>
            <w:tcW w:type="dxa" w:w="4680"/>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检查实现 示例 Hooks 与资源</w:t>
            </w:r>
          </w:p>
        </w:tc>
      </w:tr>
      <w:tr>
        <w:tc>
          <w:tcPr>
            <w:tcW w:type="dxa" w:w="2088"/>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CLI 源码</w:t>
            </w:r>
          </w:p>
        </w:tc>
        <w:tc>
          <w:tcPr>
            <w:tcW w:type="dxa" w:w="324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packages/cli</w:t>
            </w:r>
          </w:p>
        </w:tc>
        <w:tc>
          <w:tcPr>
            <w:tcW w:type="dxa" w:w="468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检查源码分发和依赖解析</w:t>
            </w:r>
          </w:p>
        </w:tc>
      </w:tr>
      <w:tr>
        <w:tc>
          <w:tcPr>
            <w:tcW w:type="dxa" w:w="2088"/>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MCP 源码</w:t>
            </w:r>
          </w:p>
        </w:tc>
        <w:tc>
          <w:tcPr>
            <w:tcW w:type="dxa" w:w="3240"/>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packages/mcp</w:t>
            </w:r>
          </w:p>
        </w:tc>
        <w:tc>
          <w:tcPr>
            <w:tcW w:type="dxa" w:w="4680"/>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检查工具定义和读取逻辑</w:t>
            </w:r>
          </w:p>
        </w:tc>
      </w:tr>
      <w:tr>
        <w:tc>
          <w:tcPr>
            <w:tcW w:type="dxa" w:w="2088"/>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设计检查记录</w:t>
            </w:r>
          </w:p>
        </w:tc>
        <w:tc>
          <w:tcPr>
            <w:tcW w:type="dxa" w:w="324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design-qa.md</w:t>
            </w:r>
          </w:p>
        </w:tc>
        <w:tc>
          <w:tcPr>
            <w:tcW w:type="dxa" w:w="468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了解既有界面检查条目</w:t>
            </w:r>
          </w:p>
        </w:tc>
      </w:tr>
    </w:tbl>
    <w:p>
      <w:pPr>
        <w:spacing w:after="0"/>
      </w:pPr>
    </w:p>
    <w:p>
      <w:pPr>
        <w:pStyle w:val="Heading1"/>
        <w:pageBreakBefore w:val="0"/>
      </w:pPr>
      <w:r>
        <w:t>二 直接依赖类别</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17365D"/>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7"/>
              </w:rPr>
              <w:t>模块</w:t>
            </w:r>
          </w:p>
        </w:tc>
        <w:tc>
          <w:tcPr>
            <w:tcW w:type="dxa" w:w="4680"/>
            <w:shd w:fill="17365D"/>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7"/>
              </w:rPr>
              <w:t>主要直接依赖</w:t>
            </w:r>
          </w:p>
        </w:tc>
        <w:tc>
          <w:tcPr>
            <w:tcW w:type="dxa" w:w="3528"/>
            <w:shd w:fill="17365D"/>
            <w:tcMar>
              <w:top w:w="110" w:type="dxa"/>
              <w:start w:w="130" w:type="dxa"/>
              <w:bottom w:w="110" w:type="dxa"/>
              <w:end w:w="130" w:type="dxa"/>
            </w:tcMar>
            <w:vAlign w:val="center"/>
          </w:tcPr>
          <w:p>
            <w:pPr>
              <w:spacing w:after="0"/>
              <w:jc w:val="center"/>
            </w:pPr>
            <w:r>
              <w:rPr>
                <w:rFonts w:ascii="Microsoft YaHei" w:hAnsi="Microsoft YaHei" w:eastAsia="Microsoft YaHei"/>
                <w:b/>
                <w:color w:val="FFFFFF"/>
                <w:sz w:val="17"/>
              </w:rPr>
              <w:t>用途</w:t>
            </w:r>
          </w:p>
        </w:tc>
      </w:tr>
      <w:tr>
        <w:tc>
          <w:tcPr>
            <w:tcW w:type="dxa" w:w="180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文档与 Demo</w:t>
            </w:r>
          </w:p>
        </w:tc>
        <w:tc>
          <w:tcPr>
            <w:tcW w:type="dxa" w:w="4680"/>
            <w:tcMar>
              <w:top w:w="110" w:type="dxa"/>
              <w:start w:w="130" w:type="dxa"/>
              <w:bottom w:w="110" w:type="dxa"/>
              <w:end w:w="130" w:type="dxa"/>
            </w:tcMar>
            <w:vAlign w:val="center"/>
          </w:tcPr>
          <w:p>
            <w:pPr>
              <w:spacing w:after="0"/>
              <w:jc w:val="left"/>
            </w:pPr>
            <w:r>
              <w:rPr>
                <w:rFonts w:ascii="Microsoft YaHei" w:hAnsi="Microsoft YaHei" w:eastAsia="Microsoft YaHei"/>
                <w:b w:val="0"/>
                <w:color w:val="000000"/>
                <w:sz w:val="17"/>
              </w:rPr>
              <w:t>React Next.js Fumadocs Tailwind CSS Radix UI Motion</w:t>
            </w:r>
          </w:p>
        </w:tc>
        <w:tc>
          <w:tcPr>
            <w:tcW w:type="dxa" w:w="3528"/>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页面渲染 文档 样式和交互</w:t>
            </w:r>
          </w:p>
        </w:tc>
      </w:tr>
      <w:tr>
        <w:tc>
          <w:tcPr>
            <w:tcW w:type="dxa" w:w="1800"/>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CLI</w:t>
            </w:r>
          </w:p>
        </w:tc>
        <w:tc>
          <w:tcPr>
            <w:tcW w:type="dxa" w:w="4680"/>
            <w:tcMar>
              <w:top w:w="110" w:type="dxa"/>
              <w:start w:w="130" w:type="dxa"/>
              <w:bottom w:w="110" w:type="dxa"/>
              <w:end w:w="130" w:type="dxa"/>
            </w:tcMar>
            <w:vAlign w:val="center"/>
            <w:shd w:fill="F5F7F9"/>
          </w:tcPr>
          <w:p>
            <w:pPr>
              <w:spacing w:after="0"/>
              <w:jc w:val="left"/>
            </w:pPr>
            <w:r>
              <w:rPr>
                <w:rFonts w:ascii="Microsoft YaHei" w:hAnsi="Microsoft YaHei" w:eastAsia="Microsoft YaHei"/>
                <w:b w:val="0"/>
                <w:color w:val="000000"/>
                <w:sz w:val="17"/>
              </w:rPr>
              <w:t>Commander Prompts Zod Picocolors</w:t>
            </w:r>
          </w:p>
        </w:tc>
        <w:tc>
          <w:tcPr>
            <w:tcW w:type="dxa" w:w="3528"/>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命令解析 交互 校验和终端输出</w:t>
            </w:r>
          </w:p>
        </w:tc>
      </w:tr>
      <w:tr>
        <w:tc>
          <w:tcPr>
            <w:tcW w:type="dxa" w:w="1800"/>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MCP</w:t>
            </w:r>
          </w:p>
        </w:tc>
        <w:tc>
          <w:tcPr>
            <w:tcW w:type="dxa" w:w="4680"/>
            <w:tcMar>
              <w:top w:w="110" w:type="dxa"/>
              <w:start w:w="130" w:type="dxa"/>
              <w:bottom w:w="110" w:type="dxa"/>
              <w:end w:w="130" w:type="dxa"/>
            </w:tcMar>
            <w:vAlign w:val="center"/>
          </w:tcPr>
          <w:p>
            <w:pPr>
              <w:spacing w:after="0"/>
              <w:jc w:val="left"/>
            </w:pPr>
            <w:r>
              <w:rPr>
                <w:rFonts w:ascii="Microsoft YaHei" w:hAnsi="Microsoft YaHei" w:eastAsia="Microsoft YaHei"/>
                <w:b w:val="0"/>
                <w:color w:val="000000"/>
                <w:sz w:val="17"/>
              </w:rPr>
              <w:t>Model Context Protocol SDK</w:t>
            </w:r>
          </w:p>
        </w:tc>
        <w:tc>
          <w:tcPr>
            <w:tcW w:type="dxa" w:w="3528"/>
            <w:tcMar>
              <w:top w:w="110" w:type="dxa"/>
              <w:start w:w="130" w:type="dxa"/>
              <w:bottom w:w="110" w:type="dxa"/>
              <w:end w:w="130" w:type="dxa"/>
            </w:tcMar>
            <w:vAlign w:val="center"/>
          </w:tcPr>
          <w:p>
            <w:pPr>
              <w:spacing w:after="0"/>
              <w:jc w:val="center"/>
            </w:pPr>
            <w:r>
              <w:rPr>
                <w:rFonts w:ascii="Microsoft YaHei" w:hAnsi="Microsoft YaHei" w:eastAsia="Microsoft YaHei"/>
                <w:b w:val="0"/>
                <w:color w:val="000000"/>
                <w:sz w:val="17"/>
              </w:rPr>
              <w:t>协议服务与工具调用</w:t>
            </w:r>
          </w:p>
        </w:tc>
      </w:tr>
      <w:tr>
        <w:tc>
          <w:tcPr>
            <w:tcW w:type="dxa" w:w="1800"/>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工程工具</w:t>
            </w:r>
          </w:p>
        </w:tc>
        <w:tc>
          <w:tcPr>
            <w:tcW w:type="dxa" w:w="4680"/>
            <w:tcMar>
              <w:top w:w="110" w:type="dxa"/>
              <w:start w:w="130" w:type="dxa"/>
              <w:bottom w:w="110" w:type="dxa"/>
              <w:end w:w="130" w:type="dxa"/>
            </w:tcMar>
            <w:vAlign w:val="center"/>
            <w:shd w:fill="F5F7F9"/>
          </w:tcPr>
          <w:p>
            <w:pPr>
              <w:spacing w:after="0"/>
              <w:jc w:val="left"/>
            </w:pPr>
            <w:r>
              <w:rPr>
                <w:rFonts w:ascii="Microsoft YaHei" w:hAnsi="Microsoft YaHei" w:eastAsia="Microsoft YaHei"/>
                <w:b w:val="0"/>
                <w:color w:val="000000"/>
                <w:sz w:val="17"/>
              </w:rPr>
              <w:t>TypeScript pnpm Turborepo tsx tsup</w:t>
            </w:r>
          </w:p>
        </w:tc>
        <w:tc>
          <w:tcPr>
            <w:tcW w:type="dxa" w:w="3528"/>
            <w:tcMar>
              <w:top w:w="110" w:type="dxa"/>
              <w:start w:w="130" w:type="dxa"/>
              <w:bottom w:w="110" w:type="dxa"/>
              <w:end w:w="130" w:type="dxa"/>
            </w:tcMar>
            <w:vAlign w:val="center"/>
            <w:shd w:fill="F5F7F9"/>
          </w:tcPr>
          <w:p>
            <w:pPr>
              <w:spacing w:after="0"/>
              <w:jc w:val="center"/>
            </w:pPr>
            <w:r>
              <w:rPr>
                <w:rFonts w:ascii="Microsoft YaHei" w:hAnsi="Microsoft YaHei" w:eastAsia="Microsoft YaHei"/>
                <w:b w:val="0"/>
                <w:color w:val="000000"/>
                <w:sz w:val="17"/>
              </w:rPr>
              <w:t>类型检查 工作区任务和包构建</w:t>
            </w:r>
          </w:p>
        </w:tc>
      </w:tr>
    </w:tbl>
    <w:p>
      <w:pPr>
        <w:spacing w:after="0"/>
      </w:pPr>
    </w:p>
    <w:p>
      <w:pPr>
        <w:pStyle w:val="Heading1"/>
        <w:pageBreakBefore w:val="0"/>
      </w:pPr>
      <w:r>
        <w:t>三 知识产权与许可说明</w:t>
      </w:r>
    </w:p>
    <w:p>
      <w:pPr>
        <w:spacing w:after="80"/>
        <w:ind w:left="403" w:hanging="259"/>
      </w:pPr>
      <w:r>
        <w:rPr>
          <w:rFonts w:ascii="Microsoft YaHei" w:hAnsi="Microsoft YaHei" w:eastAsia="Microsoft YaHei"/>
          <w:b w:val="0"/>
          <w:color w:val="000000"/>
          <w:sz w:val="22"/>
        </w:rPr>
        <w:t>1. 仓库根目录 LICENSE 为 MIT License，版权标识为 Copyright 2026 wangzongxi。</w:t>
      </w:r>
    </w:p>
    <w:p>
      <w:pPr>
        <w:spacing w:after="80"/>
        <w:ind w:left="403" w:hanging="259"/>
      </w:pPr>
      <w:r>
        <w:rPr>
          <w:rFonts w:ascii="Microsoft YaHei" w:hAnsi="Microsoft YaHei" w:eastAsia="Microsoft YaHei"/>
          <w:b w:val="0"/>
          <w:color w:val="000000"/>
          <w:sz w:val="22"/>
        </w:rPr>
        <w:t>2. 团队应确认所有原创代码、文档、图形和演示素材的作者与授权关系，并保证参赛提交不侵犯第三方权利。</w:t>
      </w:r>
    </w:p>
    <w:p>
      <w:pPr>
        <w:spacing w:after="80"/>
        <w:ind w:left="403" w:hanging="259"/>
      </w:pPr>
      <w:r>
        <w:rPr>
          <w:rFonts w:ascii="Microsoft YaHei" w:hAnsi="Microsoft YaHei" w:eastAsia="Microsoft YaHei"/>
          <w:b w:val="0"/>
          <w:color w:val="000000"/>
          <w:sz w:val="22"/>
        </w:rPr>
        <w:t>3. 第三方依赖名称与版本记录在各 package.json 和 pnpm-lock.yaml 中；使用、再分发和署名要求以对应项目许可证为准。</w:t>
      </w:r>
    </w:p>
    <w:p>
      <w:pPr>
        <w:spacing w:after="80"/>
        <w:ind w:left="403" w:hanging="259"/>
      </w:pPr>
      <w:r>
        <w:rPr>
          <w:rFonts w:ascii="Microsoft YaHei" w:hAnsi="Microsoft YaHei" w:eastAsia="Microsoft YaHei"/>
          <w:b w:val="0"/>
          <w:color w:val="000000"/>
          <w:sz w:val="22"/>
        </w:rPr>
        <w:t>4. 组件采用源码复制模式时，第三方依赖和复制后的代码仍需由集成方按适用许可证及业务场景进行合规管理。</w:t>
      </w:r>
    </w:p>
    <w:p>
      <w:pPr>
        <w:spacing w:after="80"/>
        <w:ind w:left="403" w:hanging="259"/>
      </w:pPr>
      <w:r>
        <w:rPr>
          <w:rFonts w:ascii="Microsoft YaHei" w:hAnsi="Microsoft YaHei" w:eastAsia="Microsoft YaHei"/>
          <w:b w:val="0"/>
          <w:color w:val="000000"/>
          <w:sz w:val="22"/>
        </w:rPr>
        <w:t>5. 不得把第三方商标、人物肖像、受限数据或未获授权内容作为团队原创成果提交。</w:t>
      </w:r>
    </w:p>
    <w:p>
      <w:pPr>
        <w:pStyle w:val="Heading1"/>
        <w:pageBreakBefore w:val="0"/>
      </w:pPr>
      <w:r>
        <w:t>四 数据与模型文件说明</w:t>
      </w:r>
    </w:p>
    <w:p>
      <w:pPr>
        <w:pStyle w:val="ListBullet"/>
        <w:spacing w:after="80"/>
        <w:ind w:left="360" w:hanging="230"/>
      </w:pPr>
      <w:r>
        <w:rPr>
          <w:rFonts w:ascii="Microsoft YaHei" w:hAnsi="Microsoft YaHei" w:eastAsia="Microsoft YaHei"/>
          <w:b w:val="0"/>
          <w:color w:val="000000"/>
          <w:sz w:val="22"/>
        </w:rPr>
        <w:t>WUI 不随源码提交训练数据、个人数据、模型权重或私有知识库。</w:t>
      </w:r>
    </w:p>
    <w:p>
      <w:pPr>
        <w:pStyle w:val="ListBullet"/>
        <w:spacing w:after="80"/>
        <w:ind w:left="360" w:hanging="230"/>
      </w:pPr>
      <w:r>
        <w:rPr>
          <w:rFonts w:ascii="Microsoft YaHei" w:hAnsi="Microsoft YaHei" w:eastAsia="Microsoft YaHei"/>
          <w:b w:val="0"/>
          <w:color w:val="000000"/>
          <w:sz w:val="22"/>
        </w:rPr>
        <w:t>MCP 模块提供组件资料读取能力，不在仓库中固化第三方模型密钥。</w:t>
      </w:r>
    </w:p>
    <w:p>
      <w:pPr>
        <w:pStyle w:val="ListBullet"/>
        <w:spacing w:after="80"/>
        <w:ind w:left="360" w:hanging="230"/>
      </w:pPr>
      <w:r>
        <w:rPr>
          <w:rFonts w:ascii="Microsoft YaHei" w:hAnsi="Microsoft YaHei" w:eastAsia="Microsoft YaHei"/>
          <w:b w:val="0"/>
          <w:color w:val="000000"/>
          <w:sz w:val="22"/>
        </w:rPr>
        <w:t>演示示例应使用虚构或已授权内容，并在人工智能生成结果旁设置明显标识。</w:t>
      </w:r>
    </w:p>
    <w:sectPr w:rsidR="00FC693F" w:rsidRPr="0006063C" w:rsidSect="00034616">
      <w:footerReference w:type="default" r:id="rId9"/>
      <w:pgSz w:w="12240" w:h="15840"/>
      <w:pgMar w:top="979" w:right="1181" w:bottom="79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1" w:lineRule="auto" w:after="12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