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E311C" w:rsidRPr="005E311C" w:rsidRDefault="005E311C" w:rsidP="005E311C">
      <w:pPr>
        <w:widowControl/>
        <w:spacing w:before="100" w:beforeAutospacing="1" w:after="100" w:afterAutospacing="1"/>
        <w:outlineLvl w:val="0"/>
        <w:rPr>
          <w:rFonts w:ascii="新細明體" w:eastAsia="新細明體" w:hAnsi="新細明體" w:cs="新細明體"/>
          <w:b/>
          <w:bCs/>
          <w:kern w:val="36"/>
          <w:sz w:val="48"/>
          <w:szCs w:val="48"/>
        </w:rPr>
      </w:pPr>
      <w:r w:rsidRPr="005E311C">
        <w:rPr>
          <w:rFonts w:ascii="新細明體" w:eastAsia="新細明體" w:hAnsi="新細明體" w:cs="新細明體"/>
          <w:b/>
          <w:bCs/>
          <w:kern w:val="36"/>
          <w:sz w:val="48"/>
          <w:szCs w:val="48"/>
        </w:rPr>
        <w:t>Software Architecture Specification: Stock Management &amp; Optimization Assistant</w:t>
      </w:r>
    </w:p>
    <w:p w:rsidR="005E311C" w:rsidRPr="005E311C" w:rsidRDefault="005E311C" w:rsidP="005E311C">
      <w:pPr>
        <w:widowControl/>
        <w:spacing w:before="100" w:beforeAutospacing="1" w:after="100" w:afterAutospacing="1"/>
        <w:outlineLvl w:val="1"/>
        <w:rPr>
          <w:rFonts w:ascii="新細明體" w:eastAsia="新細明體" w:hAnsi="新細明體" w:cs="新細明體"/>
          <w:b/>
          <w:bCs/>
          <w:kern w:val="0"/>
          <w:sz w:val="36"/>
          <w:szCs w:val="36"/>
        </w:rPr>
      </w:pPr>
      <w:r w:rsidRPr="005E311C">
        <w:rPr>
          <w:rFonts w:ascii="新細明體" w:eastAsia="新細明體" w:hAnsi="新細明體" w:cs="新細明體"/>
          <w:b/>
          <w:bCs/>
          <w:kern w:val="0"/>
          <w:sz w:val="36"/>
          <w:szCs w:val="36"/>
        </w:rPr>
        <w:t>1. Architectural Vision and Design Principles</w:t>
      </w:r>
    </w:p>
    <w:p w:rsidR="005E311C" w:rsidRPr="005E311C" w:rsidRDefault="005E311C" w:rsidP="005E311C">
      <w:pPr>
        <w:widowControl/>
        <w:spacing w:before="100" w:beforeAutospacing="1" w:after="100" w:afterAutospacing="1"/>
        <w:rPr>
          <w:rFonts w:ascii="新細明體" w:eastAsia="新細明體" w:hAnsi="新細明體" w:cs="新細明體"/>
          <w:kern w:val="0"/>
          <w:szCs w:val="24"/>
        </w:rPr>
      </w:pPr>
      <w:r w:rsidRPr="005E311C">
        <w:rPr>
          <w:rFonts w:ascii="新細明體" w:eastAsia="新細明體" w:hAnsi="新細明體" w:cs="新細明體"/>
          <w:kern w:val="0"/>
          <w:szCs w:val="24"/>
        </w:rPr>
        <w:t>In the high-stakes domain of fintech, the strategic importance of a well-defined architecture cannot be overstated. For personal investment applications, a structured foundation is the primary defense against technical debt, ensuring that as market conditions and user requirements evolve, the system remains agile. This specification provides a robust framework that decouples data procurement from business logic, allowing for a professional-grade tool that balances immediate utility with long-term extensibility.</w:t>
      </w:r>
    </w:p>
    <w:p w:rsidR="005E311C" w:rsidRPr="005E311C" w:rsidRDefault="005E311C" w:rsidP="005E311C">
      <w:pPr>
        <w:widowControl/>
        <w:spacing w:before="100" w:beforeAutospacing="1" w:after="100" w:afterAutospacing="1"/>
        <w:rPr>
          <w:rFonts w:ascii="新細明體" w:eastAsia="新細明體" w:hAnsi="新細明體" w:cs="新細明體"/>
          <w:kern w:val="0"/>
          <w:szCs w:val="24"/>
        </w:rPr>
      </w:pPr>
      <w:r w:rsidRPr="005E311C">
        <w:rPr>
          <w:rFonts w:ascii="新細明體" w:eastAsia="新細明體" w:hAnsi="新細明體" w:cs="新細明體"/>
          <w:kern w:val="0"/>
          <w:szCs w:val="24"/>
        </w:rPr>
        <w:t>The system is governed by three core design principles, serving as the blueprint for the "Antigravity 2.0" implementation:</w:t>
      </w:r>
    </w:p>
    <w:p w:rsidR="005E311C" w:rsidRPr="005E311C" w:rsidRDefault="005E311C" w:rsidP="005E311C">
      <w:pPr>
        <w:widowControl/>
        <w:numPr>
          <w:ilvl w:val="0"/>
          <w:numId w:val="1"/>
        </w:numPr>
        <w:spacing w:before="100" w:beforeAutospacing="1" w:after="100" w:afterAutospacing="1"/>
        <w:rPr>
          <w:rFonts w:ascii="新細明體" w:eastAsia="新細明體" w:hAnsi="新細明體" w:cs="新細明體"/>
          <w:kern w:val="0"/>
          <w:szCs w:val="24"/>
        </w:rPr>
      </w:pPr>
      <w:r w:rsidRPr="005E311C">
        <w:rPr>
          <w:rFonts w:ascii="新細明體" w:eastAsia="新細明體" w:hAnsi="新細明體" w:cs="新細明體"/>
          <w:b/>
          <w:bCs/>
          <w:kern w:val="0"/>
          <w:szCs w:val="24"/>
        </w:rPr>
        <w:t>Modularity:</w:t>
      </w:r>
      <w:r w:rsidRPr="005E311C">
        <w:rPr>
          <w:rFonts w:ascii="新細明體" w:eastAsia="新細明體" w:hAnsi="新細明體" w:cs="新細明體"/>
          <w:kern w:val="0"/>
          <w:szCs w:val="24"/>
        </w:rPr>
        <w:t xml:space="preserve"> Functional isolation ensures that the core calculation engine is decoupled from the UI and data layers. This allows for the independent upgrading of the "Optimizer" without impacting the persistent storage or the user interface.</w:t>
      </w:r>
    </w:p>
    <w:p w:rsidR="005E311C" w:rsidRPr="005E311C" w:rsidRDefault="005E311C" w:rsidP="005E311C">
      <w:pPr>
        <w:widowControl/>
        <w:numPr>
          <w:ilvl w:val="0"/>
          <w:numId w:val="1"/>
        </w:numPr>
        <w:spacing w:before="100" w:beforeAutospacing="1" w:after="100" w:afterAutospacing="1"/>
        <w:rPr>
          <w:rFonts w:ascii="新細明體" w:eastAsia="新細明體" w:hAnsi="新細明體" w:cs="新細明體"/>
          <w:kern w:val="0"/>
          <w:szCs w:val="24"/>
        </w:rPr>
      </w:pPr>
      <w:r w:rsidRPr="005E311C">
        <w:rPr>
          <w:rFonts w:ascii="新細明體" w:eastAsia="新細明體" w:hAnsi="新細明體" w:cs="新細明體"/>
          <w:b/>
          <w:bCs/>
          <w:kern w:val="0"/>
          <w:szCs w:val="24"/>
        </w:rPr>
        <w:t>Scalability:</w:t>
      </w:r>
      <w:r w:rsidRPr="005E311C">
        <w:rPr>
          <w:rFonts w:ascii="新細明體" w:eastAsia="新細明體" w:hAnsi="新細明體" w:cs="新細明體"/>
          <w:kern w:val="0"/>
          <w:szCs w:val="24"/>
        </w:rPr>
        <w:t xml:space="preserve"> The architecture is designed to accommodate an increasing volume of trade history and more complex data streams (e.g., multi-broker integrations) without requiring a fundamental redesign.</w:t>
      </w:r>
    </w:p>
    <w:p w:rsidR="005E311C" w:rsidRPr="005E311C" w:rsidRDefault="005E311C" w:rsidP="005E311C">
      <w:pPr>
        <w:widowControl/>
        <w:numPr>
          <w:ilvl w:val="0"/>
          <w:numId w:val="1"/>
        </w:numPr>
        <w:spacing w:before="100" w:beforeAutospacing="1" w:after="100" w:afterAutospacing="1"/>
        <w:rPr>
          <w:rFonts w:ascii="新細明體" w:eastAsia="新細明體" w:hAnsi="新細明體" w:cs="新細明體"/>
          <w:kern w:val="0"/>
          <w:szCs w:val="24"/>
        </w:rPr>
      </w:pPr>
      <w:r w:rsidRPr="005E311C">
        <w:rPr>
          <w:rFonts w:ascii="新細明體" w:eastAsia="新細明體" w:hAnsi="新細明體" w:cs="新細明體"/>
          <w:b/>
          <w:bCs/>
          <w:kern w:val="0"/>
          <w:szCs w:val="24"/>
        </w:rPr>
        <w:t>Security:</w:t>
      </w:r>
      <w:r w:rsidRPr="005E311C">
        <w:rPr>
          <w:rFonts w:ascii="新細明體" w:eastAsia="新細明體" w:hAnsi="新細明體" w:cs="新細明體"/>
          <w:kern w:val="0"/>
          <w:szCs w:val="24"/>
        </w:rPr>
        <w:t xml:space="preserve"> By implementing "security by design," we protect sensitive financial identifiers and API credentials through strict encryption and isolation protocols, ensuring that personal investment data remains confidential.</w:t>
      </w:r>
    </w:p>
    <w:p w:rsidR="005E311C" w:rsidRPr="005E311C" w:rsidRDefault="005E311C" w:rsidP="005E311C">
      <w:pPr>
        <w:widowControl/>
        <w:spacing w:before="100" w:beforeAutospacing="1" w:after="100" w:afterAutospacing="1"/>
        <w:rPr>
          <w:rFonts w:ascii="新細明體" w:eastAsia="新細明體" w:hAnsi="新細明體" w:cs="新細明體"/>
          <w:kern w:val="0"/>
          <w:szCs w:val="24"/>
        </w:rPr>
      </w:pPr>
      <w:r w:rsidRPr="005E311C">
        <w:rPr>
          <w:rFonts w:ascii="新細明體" w:eastAsia="新細明體" w:hAnsi="新細明體" w:cs="新細明體"/>
          <w:kern w:val="0"/>
          <w:szCs w:val="24"/>
        </w:rPr>
        <w:t>These principles bridge the gap between high-level strategic goals and the specific technical components required to build a reliable financial assistant.</w:t>
      </w:r>
    </w:p>
    <w:p w:rsidR="005E311C" w:rsidRPr="005E311C" w:rsidRDefault="005E311C" w:rsidP="005E311C">
      <w:pPr>
        <w:widowControl/>
        <w:spacing w:before="100" w:beforeAutospacing="1" w:after="100" w:afterAutospacing="1"/>
        <w:outlineLvl w:val="1"/>
        <w:rPr>
          <w:rFonts w:ascii="新細明體" w:eastAsia="新細明體" w:hAnsi="新細明體" w:cs="新細明體"/>
          <w:b/>
          <w:bCs/>
          <w:kern w:val="0"/>
          <w:sz w:val="36"/>
          <w:szCs w:val="36"/>
        </w:rPr>
      </w:pPr>
      <w:r w:rsidRPr="005E311C">
        <w:rPr>
          <w:rFonts w:ascii="新細明體" w:eastAsia="新細明體" w:hAnsi="新細明體" w:cs="新細明體"/>
          <w:b/>
          <w:bCs/>
          <w:kern w:val="0"/>
          <w:sz w:val="36"/>
          <w:szCs w:val="36"/>
        </w:rPr>
        <w:t>2. System Component Hierarchy &amp; Modular Decomposition</w:t>
      </w:r>
    </w:p>
    <w:p w:rsidR="005E311C" w:rsidRPr="005E311C" w:rsidRDefault="005E311C" w:rsidP="005E311C">
      <w:pPr>
        <w:widowControl/>
        <w:spacing w:before="100" w:beforeAutospacing="1" w:after="100" w:afterAutospacing="1"/>
        <w:rPr>
          <w:rFonts w:ascii="新細明體" w:eastAsia="新細明體" w:hAnsi="新細明體" w:cs="新細明體"/>
          <w:kern w:val="0"/>
          <w:szCs w:val="24"/>
        </w:rPr>
      </w:pPr>
      <w:r w:rsidRPr="005E311C">
        <w:rPr>
          <w:rFonts w:ascii="新細明體" w:eastAsia="新細明體" w:hAnsi="新細明體" w:cs="新細明體"/>
          <w:kern w:val="0"/>
          <w:szCs w:val="24"/>
        </w:rPr>
        <w:t>A decoupled architecture is non-negotiable for an application handling real-time stock data and complex user logic. This separation ensures that API latency does not degrade the user experience and that the core logic can be audited for accuracy independently of the presentation layer.</w:t>
      </w:r>
    </w:p>
    <w:p w:rsidR="005E311C" w:rsidRPr="005E311C" w:rsidRDefault="005E311C" w:rsidP="005E311C">
      <w:pPr>
        <w:widowControl/>
        <w:spacing w:before="100" w:beforeAutospacing="1" w:after="100" w:afterAutospacing="1"/>
        <w:rPr>
          <w:rFonts w:ascii="新細明體" w:eastAsia="新細明體" w:hAnsi="新細明體" w:cs="新細明體"/>
          <w:kern w:val="0"/>
          <w:szCs w:val="24"/>
        </w:rPr>
      </w:pPr>
      <w:r w:rsidRPr="005E311C">
        <w:rPr>
          <w:rFonts w:ascii="新細明體" w:eastAsia="新細明體" w:hAnsi="新細明體" w:cs="新細明體"/>
          <w:kern w:val="0"/>
          <w:szCs w:val="24"/>
        </w:rPr>
        <w:t>The system is decomposed into three primary modules:</w:t>
      </w:r>
    </w:p>
    <w:p w:rsidR="005E311C" w:rsidRPr="005E311C" w:rsidRDefault="005E311C" w:rsidP="005E311C">
      <w:pPr>
        <w:widowControl/>
        <w:numPr>
          <w:ilvl w:val="0"/>
          <w:numId w:val="2"/>
        </w:numPr>
        <w:spacing w:before="100" w:beforeAutospacing="1" w:after="100" w:afterAutospacing="1"/>
        <w:rPr>
          <w:rFonts w:ascii="新細明體" w:eastAsia="新細明體" w:hAnsi="新細明體" w:cs="新細明體"/>
          <w:kern w:val="0"/>
          <w:szCs w:val="24"/>
        </w:rPr>
      </w:pPr>
      <w:r w:rsidRPr="005E311C">
        <w:rPr>
          <w:rFonts w:ascii="新細明體" w:eastAsia="新細明體" w:hAnsi="新細明體" w:cs="新細明體"/>
          <w:b/>
          <w:bCs/>
          <w:kern w:val="0"/>
          <w:szCs w:val="24"/>
        </w:rPr>
        <w:lastRenderedPageBreak/>
        <w:t>Client Interface (Mobile Front-end):</w:t>
      </w:r>
      <w:r w:rsidRPr="005E311C">
        <w:rPr>
          <w:rFonts w:ascii="新細明體" w:eastAsia="新細明體" w:hAnsi="新細明體" w:cs="新細明體"/>
          <w:kern w:val="0"/>
          <w:szCs w:val="24"/>
        </w:rPr>
        <w:t xml:space="preserve"> A high-performance interface optimized for rapid data entry and clear visualization of optimization suggestions.</w:t>
      </w:r>
    </w:p>
    <w:p w:rsidR="005E311C" w:rsidRPr="005E311C" w:rsidRDefault="005E311C" w:rsidP="005E311C">
      <w:pPr>
        <w:widowControl/>
        <w:numPr>
          <w:ilvl w:val="0"/>
          <w:numId w:val="2"/>
        </w:numPr>
        <w:spacing w:before="100" w:beforeAutospacing="1" w:after="100" w:afterAutospacing="1"/>
        <w:rPr>
          <w:rFonts w:ascii="新細明體" w:eastAsia="新細明體" w:hAnsi="新細明體" w:cs="新細明體"/>
          <w:kern w:val="0"/>
          <w:szCs w:val="24"/>
        </w:rPr>
      </w:pPr>
      <w:r w:rsidRPr="005E311C">
        <w:rPr>
          <w:rFonts w:ascii="新細明體" w:eastAsia="新細明體" w:hAnsi="新細明體" w:cs="新細明體"/>
          <w:b/>
          <w:bCs/>
          <w:kern w:val="0"/>
          <w:szCs w:val="24"/>
        </w:rPr>
        <w:t>Logic Engine (The Optimizer):</w:t>
      </w:r>
      <w:r w:rsidRPr="005E311C">
        <w:rPr>
          <w:rFonts w:ascii="新細明體" w:eastAsia="新細明體" w:hAnsi="新細明體" w:cs="新細明體"/>
          <w:kern w:val="0"/>
          <w:szCs w:val="24"/>
        </w:rPr>
        <w:t xml:space="preserve"> The core differentiator. This module handles the "Rounding" and "Combination" logic. Unlike generic calculators, this engine is specifically tuned for Asian market "Board Lot" constraints (e.g., 1,000 or 100 share increments) and US-style whole-share balancing, ensuring users never deal with "odd lots" or decimals unless intended.</w:t>
      </w:r>
    </w:p>
    <w:p w:rsidR="005E311C" w:rsidRPr="005E311C" w:rsidRDefault="005E311C" w:rsidP="005E311C">
      <w:pPr>
        <w:widowControl/>
        <w:numPr>
          <w:ilvl w:val="0"/>
          <w:numId w:val="2"/>
        </w:numPr>
        <w:spacing w:before="100" w:beforeAutospacing="1" w:after="100" w:afterAutospacing="1"/>
        <w:rPr>
          <w:rFonts w:ascii="新細明體" w:eastAsia="新細明體" w:hAnsi="新細明體" w:cs="新細明體"/>
          <w:kern w:val="0"/>
          <w:szCs w:val="24"/>
        </w:rPr>
      </w:pPr>
      <w:r w:rsidRPr="005E311C">
        <w:rPr>
          <w:rFonts w:ascii="新細明體" w:eastAsia="新細明體" w:hAnsi="新細明體" w:cs="新細明體"/>
          <w:b/>
          <w:bCs/>
          <w:kern w:val="0"/>
          <w:szCs w:val="24"/>
        </w:rPr>
        <w:t>Data Management Layer:</w:t>
      </w:r>
      <w:r w:rsidRPr="005E311C">
        <w:rPr>
          <w:rFonts w:ascii="新細明體" w:eastAsia="新細明體" w:hAnsi="新細明體" w:cs="新細明體"/>
          <w:kern w:val="0"/>
          <w:szCs w:val="24"/>
        </w:rPr>
        <w:t xml:space="preserve"> The persistence engine that manages the </w:t>
      </w:r>
      <w:r w:rsidRPr="005E311C">
        <w:rPr>
          <w:rFonts w:ascii="細明體" w:eastAsia="細明體" w:hAnsi="細明體" w:cs="細明體"/>
          <w:kern w:val="0"/>
          <w:szCs w:val="24"/>
        </w:rPr>
        <w:t>Encrypted Key Store</w:t>
      </w:r>
      <w:r w:rsidRPr="005E311C">
        <w:rPr>
          <w:rFonts w:ascii="新細明體" w:eastAsia="新細明體" w:hAnsi="新細明體" w:cs="新細明體"/>
          <w:kern w:val="0"/>
          <w:szCs w:val="24"/>
        </w:rPr>
        <w:t xml:space="preserve">, </w:t>
      </w:r>
      <w:r w:rsidRPr="005E311C">
        <w:rPr>
          <w:rFonts w:ascii="細明體" w:eastAsia="細明體" w:hAnsi="細明體" w:cs="細明體"/>
          <w:kern w:val="0"/>
          <w:szCs w:val="24"/>
        </w:rPr>
        <w:t>Trade History</w:t>
      </w:r>
      <w:r w:rsidRPr="005E311C">
        <w:rPr>
          <w:rFonts w:ascii="新細明體" w:eastAsia="新細明體" w:hAnsi="新細明體" w:cs="新細明體"/>
          <w:kern w:val="0"/>
          <w:szCs w:val="24"/>
        </w:rPr>
        <w:t xml:space="preserve">, and </w:t>
      </w:r>
      <w:r w:rsidRPr="005E311C">
        <w:rPr>
          <w:rFonts w:ascii="細明體" w:eastAsia="細明體" w:hAnsi="細明體" w:cs="細明體"/>
          <w:kern w:val="0"/>
          <w:szCs w:val="24"/>
        </w:rPr>
        <w:t>Watchlist</w:t>
      </w:r>
      <w:r w:rsidRPr="005E311C">
        <w:rPr>
          <w:rFonts w:ascii="新細明體" w:eastAsia="新細明體" w:hAnsi="新細明體" w:cs="新細明體"/>
          <w:kern w:val="0"/>
          <w:szCs w:val="24"/>
        </w:rPr>
        <w:t>. It acts as the gateway between the Logic Engine and the physical database.</w:t>
      </w:r>
    </w:p>
    <w:p w:rsidR="005E311C" w:rsidRPr="005E311C" w:rsidRDefault="005E311C" w:rsidP="005E311C">
      <w:pPr>
        <w:widowControl/>
        <w:spacing w:before="100" w:beforeAutospacing="1" w:after="100" w:afterAutospacing="1"/>
        <w:rPr>
          <w:rFonts w:ascii="新細明體" w:eastAsia="新細明體" w:hAnsi="新細明體" w:cs="新細明體"/>
          <w:kern w:val="0"/>
          <w:szCs w:val="24"/>
        </w:rPr>
      </w:pPr>
      <w:r w:rsidRPr="005E311C">
        <w:rPr>
          <w:rFonts w:ascii="新細明體" w:eastAsia="新細明體" w:hAnsi="新細明體" w:cs="新細明體"/>
          <w:kern w:val="0"/>
          <w:szCs w:val="24"/>
        </w:rPr>
        <w:t>This modular separation facilitates the "Antigravity 2.0" implementation by providing clean boundaries for unit testing and deployment. It ensures that the transition from abstract calculation to concrete external data integration is handled through a standardized interface.</w:t>
      </w:r>
    </w:p>
    <w:p w:rsidR="005E311C" w:rsidRPr="005E311C" w:rsidRDefault="005E311C" w:rsidP="005E311C">
      <w:pPr>
        <w:widowControl/>
        <w:spacing w:before="100" w:beforeAutospacing="1" w:after="100" w:afterAutospacing="1"/>
        <w:outlineLvl w:val="1"/>
        <w:rPr>
          <w:rFonts w:ascii="新細明體" w:eastAsia="新細明體" w:hAnsi="新細明體" w:cs="新細明體"/>
          <w:b/>
          <w:bCs/>
          <w:kern w:val="0"/>
          <w:sz w:val="36"/>
          <w:szCs w:val="36"/>
        </w:rPr>
      </w:pPr>
      <w:r w:rsidRPr="005E311C">
        <w:rPr>
          <w:rFonts w:ascii="新細明體" w:eastAsia="新細明體" w:hAnsi="新細明體" w:cs="新細明體"/>
          <w:b/>
          <w:bCs/>
          <w:kern w:val="0"/>
          <w:sz w:val="36"/>
          <w:szCs w:val="36"/>
        </w:rPr>
        <w:t>3. External Data Integration and API Strategy</w:t>
      </w:r>
    </w:p>
    <w:p w:rsidR="005E311C" w:rsidRPr="005E311C" w:rsidRDefault="005E311C" w:rsidP="005E311C">
      <w:pPr>
        <w:widowControl/>
        <w:spacing w:before="100" w:beforeAutospacing="1" w:after="100" w:afterAutospacing="1"/>
        <w:rPr>
          <w:rFonts w:ascii="新細明體" w:eastAsia="新細明體" w:hAnsi="新細明體" w:cs="新細明體"/>
          <w:kern w:val="0"/>
          <w:szCs w:val="24"/>
        </w:rPr>
      </w:pPr>
      <w:r w:rsidRPr="005E311C">
        <w:rPr>
          <w:rFonts w:ascii="新細明體" w:eastAsia="新細明體" w:hAnsi="新細明體" w:cs="新細明體"/>
          <w:kern w:val="0"/>
          <w:szCs w:val="24"/>
        </w:rPr>
        <w:t>Real-time data is the lifeblood of stock analysis. The strategic challenge lies in balancing data cost against the "no manual input" requirement. For a professional assistant, the API strategy must provide high-fidelity data with minimal latency.</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43"/>
        <w:gridCol w:w="3269"/>
        <w:gridCol w:w="3724"/>
      </w:tblGrid>
      <w:tr w:rsidR="005E311C" w:rsidRPr="005E311C" w:rsidTr="005E311C">
        <w:tc>
          <w:tcPr>
            <w:tcW w:w="0" w:type="auto"/>
            <w:tcBorders>
              <w:top w:val="outset" w:sz="6" w:space="0" w:color="auto"/>
              <w:left w:val="outset" w:sz="6" w:space="0" w:color="auto"/>
              <w:bottom w:val="outset" w:sz="6" w:space="0" w:color="auto"/>
              <w:right w:val="outset" w:sz="6" w:space="0" w:color="auto"/>
            </w:tcBorders>
            <w:vAlign w:val="center"/>
            <w:hideMark/>
          </w:tcPr>
          <w:p w:rsidR="005E311C" w:rsidRPr="005E311C" w:rsidRDefault="005E311C" w:rsidP="005E311C">
            <w:pPr>
              <w:widowControl/>
              <w:spacing w:before="100" w:beforeAutospacing="1" w:after="100" w:afterAutospacing="1"/>
              <w:rPr>
                <w:rFonts w:ascii="新細明體" w:eastAsia="新細明體" w:hAnsi="新細明體" w:cs="新細明體"/>
                <w:kern w:val="0"/>
                <w:szCs w:val="24"/>
              </w:rPr>
            </w:pPr>
            <w:r w:rsidRPr="005E311C">
              <w:rPr>
                <w:rFonts w:ascii="新細明體" w:eastAsia="新細明體" w:hAnsi="新細明體" w:cs="新細明體"/>
                <w:kern w:val="0"/>
                <w:szCs w:val="24"/>
              </w:rPr>
              <w:t>Factor</w:t>
            </w:r>
          </w:p>
        </w:tc>
        <w:tc>
          <w:tcPr>
            <w:tcW w:w="0" w:type="auto"/>
            <w:tcBorders>
              <w:top w:val="outset" w:sz="6" w:space="0" w:color="auto"/>
              <w:left w:val="outset" w:sz="6" w:space="0" w:color="auto"/>
              <w:bottom w:val="outset" w:sz="6" w:space="0" w:color="auto"/>
              <w:right w:val="outset" w:sz="6" w:space="0" w:color="auto"/>
            </w:tcBorders>
            <w:vAlign w:val="center"/>
            <w:hideMark/>
          </w:tcPr>
          <w:p w:rsidR="005E311C" w:rsidRPr="005E311C" w:rsidRDefault="005E311C" w:rsidP="005E311C">
            <w:pPr>
              <w:widowControl/>
              <w:spacing w:before="100" w:beforeAutospacing="1" w:after="100" w:afterAutospacing="1"/>
              <w:rPr>
                <w:rFonts w:ascii="新細明體" w:eastAsia="新細明體" w:hAnsi="新細明體" w:cs="新細明體"/>
                <w:kern w:val="0"/>
                <w:szCs w:val="24"/>
              </w:rPr>
            </w:pPr>
            <w:r w:rsidRPr="005E311C">
              <w:rPr>
                <w:rFonts w:ascii="新細明體" w:eastAsia="新細明體" w:hAnsi="新細明體" w:cs="新細明體"/>
                <w:kern w:val="0"/>
                <w:szCs w:val="24"/>
              </w:rPr>
              <w:t>Free Stock APIs (e.g., Alpha Vantage/Yahoo)</w:t>
            </w:r>
          </w:p>
        </w:tc>
        <w:tc>
          <w:tcPr>
            <w:tcW w:w="0" w:type="auto"/>
            <w:tcBorders>
              <w:top w:val="outset" w:sz="6" w:space="0" w:color="auto"/>
              <w:left w:val="outset" w:sz="6" w:space="0" w:color="auto"/>
              <w:bottom w:val="outset" w:sz="6" w:space="0" w:color="auto"/>
              <w:right w:val="outset" w:sz="6" w:space="0" w:color="auto"/>
            </w:tcBorders>
            <w:vAlign w:val="center"/>
            <w:hideMark/>
          </w:tcPr>
          <w:p w:rsidR="005E311C" w:rsidRPr="005E311C" w:rsidRDefault="005E311C" w:rsidP="005E311C">
            <w:pPr>
              <w:widowControl/>
              <w:spacing w:before="100" w:beforeAutospacing="1" w:after="100" w:afterAutospacing="1"/>
              <w:rPr>
                <w:rFonts w:ascii="新細明體" w:eastAsia="新細明體" w:hAnsi="新細明體" w:cs="新細明體"/>
                <w:kern w:val="0"/>
                <w:szCs w:val="24"/>
              </w:rPr>
            </w:pPr>
            <w:r w:rsidRPr="005E311C">
              <w:rPr>
                <w:rFonts w:ascii="新細明體" w:eastAsia="新細明體" w:hAnsi="新細明體" w:cs="新細明體"/>
                <w:kern w:val="0"/>
                <w:szCs w:val="24"/>
              </w:rPr>
              <w:t>Premium API Key Integration (e.g., Finnub/Polygon)</w:t>
            </w:r>
          </w:p>
        </w:tc>
      </w:tr>
      <w:tr w:rsidR="005E311C" w:rsidRPr="005E311C" w:rsidTr="005E311C">
        <w:tc>
          <w:tcPr>
            <w:tcW w:w="0" w:type="auto"/>
            <w:tcBorders>
              <w:top w:val="outset" w:sz="6" w:space="0" w:color="auto"/>
              <w:left w:val="outset" w:sz="6" w:space="0" w:color="auto"/>
              <w:bottom w:val="outset" w:sz="6" w:space="0" w:color="auto"/>
              <w:right w:val="outset" w:sz="6" w:space="0" w:color="auto"/>
            </w:tcBorders>
            <w:vAlign w:val="center"/>
            <w:hideMark/>
          </w:tcPr>
          <w:p w:rsidR="005E311C" w:rsidRPr="005E311C" w:rsidRDefault="005E311C" w:rsidP="005E311C">
            <w:pPr>
              <w:widowControl/>
              <w:spacing w:before="100" w:beforeAutospacing="1" w:after="100" w:afterAutospacing="1"/>
              <w:rPr>
                <w:rFonts w:ascii="新細明體" w:eastAsia="新細明體" w:hAnsi="新細明體" w:cs="新細明體"/>
                <w:kern w:val="0"/>
                <w:szCs w:val="24"/>
              </w:rPr>
            </w:pPr>
            <w:r w:rsidRPr="005E311C">
              <w:rPr>
                <w:rFonts w:ascii="新細明體" w:eastAsia="新細明體" w:hAnsi="新細明體" w:cs="新細明體"/>
                <w:b/>
                <w:bCs/>
                <w:kern w:val="0"/>
                <w:szCs w:val="24"/>
              </w:rPr>
              <w:t>Cost</w:t>
            </w:r>
          </w:p>
        </w:tc>
        <w:tc>
          <w:tcPr>
            <w:tcW w:w="0" w:type="auto"/>
            <w:tcBorders>
              <w:top w:val="outset" w:sz="6" w:space="0" w:color="auto"/>
              <w:left w:val="outset" w:sz="6" w:space="0" w:color="auto"/>
              <w:bottom w:val="outset" w:sz="6" w:space="0" w:color="auto"/>
              <w:right w:val="outset" w:sz="6" w:space="0" w:color="auto"/>
            </w:tcBorders>
            <w:vAlign w:val="center"/>
            <w:hideMark/>
          </w:tcPr>
          <w:p w:rsidR="005E311C" w:rsidRPr="005E311C" w:rsidRDefault="005E311C" w:rsidP="005E311C">
            <w:pPr>
              <w:widowControl/>
              <w:spacing w:before="100" w:beforeAutospacing="1" w:after="100" w:afterAutospacing="1"/>
              <w:rPr>
                <w:rFonts w:ascii="新細明體" w:eastAsia="新細明體" w:hAnsi="新細明體" w:cs="新細明體"/>
                <w:kern w:val="0"/>
                <w:szCs w:val="24"/>
              </w:rPr>
            </w:pPr>
            <w:r w:rsidRPr="005E311C">
              <w:rPr>
                <w:rFonts w:ascii="新細明體" w:eastAsia="新細明體" w:hAnsi="新細明體" w:cs="新細明體"/>
                <w:kern w:val="0"/>
                <w:szCs w:val="24"/>
              </w:rPr>
              <w:t>Zero (Limited Tier)</w:t>
            </w:r>
          </w:p>
        </w:tc>
        <w:tc>
          <w:tcPr>
            <w:tcW w:w="0" w:type="auto"/>
            <w:tcBorders>
              <w:top w:val="outset" w:sz="6" w:space="0" w:color="auto"/>
              <w:left w:val="outset" w:sz="6" w:space="0" w:color="auto"/>
              <w:bottom w:val="outset" w:sz="6" w:space="0" w:color="auto"/>
              <w:right w:val="outset" w:sz="6" w:space="0" w:color="auto"/>
            </w:tcBorders>
            <w:vAlign w:val="center"/>
            <w:hideMark/>
          </w:tcPr>
          <w:p w:rsidR="005E311C" w:rsidRPr="005E311C" w:rsidRDefault="005E311C" w:rsidP="005E311C">
            <w:pPr>
              <w:widowControl/>
              <w:spacing w:before="100" w:beforeAutospacing="1" w:after="100" w:afterAutospacing="1"/>
              <w:rPr>
                <w:rFonts w:ascii="新細明體" w:eastAsia="新細明體" w:hAnsi="新細明體" w:cs="新細明體"/>
                <w:kern w:val="0"/>
                <w:szCs w:val="24"/>
              </w:rPr>
            </w:pPr>
            <w:r w:rsidRPr="005E311C">
              <w:rPr>
                <w:rFonts w:ascii="新細明體" w:eastAsia="新細明體" w:hAnsi="新細明體" w:cs="新細明體"/>
                <w:kern w:val="0"/>
                <w:szCs w:val="24"/>
              </w:rPr>
              <w:t>30–100+/mo</w:t>
            </w:r>
          </w:p>
        </w:tc>
      </w:tr>
      <w:tr w:rsidR="005E311C" w:rsidRPr="005E311C" w:rsidTr="005E311C">
        <w:tc>
          <w:tcPr>
            <w:tcW w:w="0" w:type="auto"/>
            <w:tcBorders>
              <w:top w:val="outset" w:sz="6" w:space="0" w:color="auto"/>
              <w:left w:val="outset" w:sz="6" w:space="0" w:color="auto"/>
              <w:bottom w:val="outset" w:sz="6" w:space="0" w:color="auto"/>
              <w:right w:val="outset" w:sz="6" w:space="0" w:color="auto"/>
            </w:tcBorders>
            <w:vAlign w:val="center"/>
            <w:hideMark/>
          </w:tcPr>
          <w:p w:rsidR="005E311C" w:rsidRPr="005E311C" w:rsidRDefault="005E311C" w:rsidP="005E311C">
            <w:pPr>
              <w:widowControl/>
              <w:spacing w:before="100" w:beforeAutospacing="1" w:after="100" w:afterAutospacing="1"/>
              <w:rPr>
                <w:rFonts w:ascii="新細明體" w:eastAsia="新細明體" w:hAnsi="新細明體" w:cs="新細明體"/>
                <w:kern w:val="0"/>
                <w:szCs w:val="24"/>
              </w:rPr>
            </w:pPr>
            <w:r w:rsidRPr="005E311C">
              <w:rPr>
                <w:rFonts w:ascii="新細明體" w:eastAsia="新細明體" w:hAnsi="新細明體" w:cs="新細明體"/>
                <w:b/>
                <w:bCs/>
                <w:kern w:val="0"/>
                <w:szCs w:val="24"/>
              </w:rPr>
              <w:t>Data Reliability</w:t>
            </w:r>
          </w:p>
        </w:tc>
        <w:tc>
          <w:tcPr>
            <w:tcW w:w="0" w:type="auto"/>
            <w:tcBorders>
              <w:top w:val="outset" w:sz="6" w:space="0" w:color="auto"/>
              <w:left w:val="outset" w:sz="6" w:space="0" w:color="auto"/>
              <w:bottom w:val="outset" w:sz="6" w:space="0" w:color="auto"/>
              <w:right w:val="outset" w:sz="6" w:space="0" w:color="auto"/>
            </w:tcBorders>
            <w:vAlign w:val="center"/>
            <w:hideMark/>
          </w:tcPr>
          <w:p w:rsidR="005E311C" w:rsidRPr="005E311C" w:rsidRDefault="005E311C" w:rsidP="005E311C">
            <w:pPr>
              <w:widowControl/>
              <w:spacing w:before="100" w:beforeAutospacing="1" w:after="100" w:afterAutospacing="1"/>
              <w:rPr>
                <w:rFonts w:ascii="新細明體" w:eastAsia="新細明體" w:hAnsi="新細明體" w:cs="新細明體"/>
                <w:kern w:val="0"/>
                <w:szCs w:val="24"/>
              </w:rPr>
            </w:pPr>
            <w:r w:rsidRPr="005E311C">
              <w:rPr>
                <w:rFonts w:ascii="新細明體" w:eastAsia="新細明體" w:hAnsi="新細明體" w:cs="新細明體"/>
                <w:kern w:val="0"/>
                <w:szCs w:val="24"/>
              </w:rPr>
              <w:t>High Latency (15-min delay)</w:t>
            </w:r>
          </w:p>
        </w:tc>
        <w:tc>
          <w:tcPr>
            <w:tcW w:w="0" w:type="auto"/>
            <w:tcBorders>
              <w:top w:val="outset" w:sz="6" w:space="0" w:color="auto"/>
              <w:left w:val="outset" w:sz="6" w:space="0" w:color="auto"/>
              <w:bottom w:val="outset" w:sz="6" w:space="0" w:color="auto"/>
              <w:right w:val="outset" w:sz="6" w:space="0" w:color="auto"/>
            </w:tcBorders>
            <w:vAlign w:val="center"/>
            <w:hideMark/>
          </w:tcPr>
          <w:p w:rsidR="005E311C" w:rsidRPr="005E311C" w:rsidRDefault="005E311C" w:rsidP="005E311C">
            <w:pPr>
              <w:widowControl/>
              <w:spacing w:before="100" w:beforeAutospacing="1" w:after="100" w:afterAutospacing="1"/>
              <w:rPr>
                <w:rFonts w:ascii="新細明體" w:eastAsia="新細明體" w:hAnsi="新細明體" w:cs="新細明體"/>
                <w:kern w:val="0"/>
                <w:szCs w:val="24"/>
              </w:rPr>
            </w:pPr>
            <w:r w:rsidRPr="005E311C">
              <w:rPr>
                <w:rFonts w:ascii="新細明體" w:eastAsia="新細明體" w:hAnsi="新細明體" w:cs="新細明體"/>
                <w:kern w:val="0"/>
                <w:szCs w:val="24"/>
              </w:rPr>
              <w:t>Real-time, low-latency</w:t>
            </w:r>
          </w:p>
        </w:tc>
      </w:tr>
      <w:tr w:rsidR="005E311C" w:rsidRPr="005E311C" w:rsidTr="005E311C">
        <w:tc>
          <w:tcPr>
            <w:tcW w:w="0" w:type="auto"/>
            <w:tcBorders>
              <w:top w:val="outset" w:sz="6" w:space="0" w:color="auto"/>
              <w:left w:val="outset" w:sz="6" w:space="0" w:color="auto"/>
              <w:bottom w:val="outset" w:sz="6" w:space="0" w:color="auto"/>
              <w:right w:val="outset" w:sz="6" w:space="0" w:color="auto"/>
            </w:tcBorders>
            <w:vAlign w:val="center"/>
            <w:hideMark/>
          </w:tcPr>
          <w:p w:rsidR="005E311C" w:rsidRPr="005E311C" w:rsidRDefault="005E311C" w:rsidP="005E311C">
            <w:pPr>
              <w:widowControl/>
              <w:spacing w:before="100" w:beforeAutospacing="1" w:after="100" w:afterAutospacing="1"/>
              <w:rPr>
                <w:rFonts w:ascii="新細明體" w:eastAsia="新細明體" w:hAnsi="新細明體" w:cs="新細明體"/>
                <w:kern w:val="0"/>
                <w:szCs w:val="24"/>
              </w:rPr>
            </w:pPr>
            <w:r w:rsidRPr="005E311C">
              <w:rPr>
                <w:rFonts w:ascii="新細明體" w:eastAsia="新細明體" w:hAnsi="新細明體" w:cs="新細明體"/>
                <w:b/>
                <w:bCs/>
                <w:kern w:val="0"/>
                <w:szCs w:val="24"/>
              </w:rPr>
              <w:t>User Effort</w:t>
            </w:r>
          </w:p>
        </w:tc>
        <w:tc>
          <w:tcPr>
            <w:tcW w:w="0" w:type="auto"/>
            <w:tcBorders>
              <w:top w:val="outset" w:sz="6" w:space="0" w:color="auto"/>
              <w:left w:val="outset" w:sz="6" w:space="0" w:color="auto"/>
              <w:bottom w:val="outset" w:sz="6" w:space="0" w:color="auto"/>
              <w:right w:val="outset" w:sz="6" w:space="0" w:color="auto"/>
            </w:tcBorders>
            <w:vAlign w:val="center"/>
            <w:hideMark/>
          </w:tcPr>
          <w:p w:rsidR="005E311C" w:rsidRPr="005E311C" w:rsidRDefault="005E311C" w:rsidP="005E311C">
            <w:pPr>
              <w:widowControl/>
              <w:spacing w:before="100" w:beforeAutospacing="1" w:after="100" w:afterAutospacing="1"/>
              <w:rPr>
                <w:rFonts w:ascii="新細明體" w:eastAsia="新細明體" w:hAnsi="新細明體" w:cs="新細明體"/>
                <w:kern w:val="0"/>
                <w:szCs w:val="24"/>
              </w:rPr>
            </w:pPr>
            <w:r w:rsidRPr="005E311C">
              <w:rPr>
                <w:rFonts w:ascii="新細明體" w:eastAsia="新細明體" w:hAnsi="新細明體" w:cs="新細明體"/>
                <w:kern w:val="0"/>
                <w:szCs w:val="24"/>
              </w:rPr>
              <w:t>Moderate (Requires some manual curation)</w:t>
            </w:r>
          </w:p>
        </w:tc>
        <w:tc>
          <w:tcPr>
            <w:tcW w:w="0" w:type="auto"/>
            <w:tcBorders>
              <w:top w:val="outset" w:sz="6" w:space="0" w:color="auto"/>
              <w:left w:val="outset" w:sz="6" w:space="0" w:color="auto"/>
              <w:bottom w:val="outset" w:sz="6" w:space="0" w:color="auto"/>
              <w:right w:val="outset" w:sz="6" w:space="0" w:color="auto"/>
            </w:tcBorders>
            <w:vAlign w:val="center"/>
            <w:hideMark/>
          </w:tcPr>
          <w:p w:rsidR="005E311C" w:rsidRPr="005E311C" w:rsidRDefault="005E311C" w:rsidP="005E311C">
            <w:pPr>
              <w:widowControl/>
              <w:spacing w:before="100" w:beforeAutospacing="1" w:after="100" w:afterAutospacing="1"/>
              <w:rPr>
                <w:rFonts w:ascii="新細明體" w:eastAsia="新細明體" w:hAnsi="新細明體" w:cs="新細明體"/>
                <w:kern w:val="0"/>
                <w:szCs w:val="24"/>
              </w:rPr>
            </w:pPr>
            <w:r w:rsidRPr="005E311C">
              <w:rPr>
                <w:rFonts w:ascii="新細明體" w:eastAsia="新細明體" w:hAnsi="新細明體" w:cs="新細明體"/>
                <w:kern w:val="0"/>
                <w:szCs w:val="24"/>
              </w:rPr>
              <w:t>Zero (Full automation)</w:t>
            </w:r>
          </w:p>
        </w:tc>
      </w:tr>
      <w:tr w:rsidR="005E311C" w:rsidRPr="005E311C" w:rsidTr="005E311C">
        <w:tc>
          <w:tcPr>
            <w:tcW w:w="0" w:type="auto"/>
            <w:tcBorders>
              <w:top w:val="outset" w:sz="6" w:space="0" w:color="auto"/>
              <w:left w:val="outset" w:sz="6" w:space="0" w:color="auto"/>
              <w:bottom w:val="outset" w:sz="6" w:space="0" w:color="auto"/>
              <w:right w:val="outset" w:sz="6" w:space="0" w:color="auto"/>
            </w:tcBorders>
            <w:vAlign w:val="center"/>
            <w:hideMark/>
          </w:tcPr>
          <w:p w:rsidR="005E311C" w:rsidRPr="005E311C" w:rsidRDefault="005E311C" w:rsidP="005E311C">
            <w:pPr>
              <w:widowControl/>
              <w:spacing w:before="100" w:beforeAutospacing="1" w:after="100" w:afterAutospacing="1"/>
              <w:rPr>
                <w:rFonts w:ascii="新細明體" w:eastAsia="新細明體" w:hAnsi="新細明體" w:cs="新細明體"/>
                <w:kern w:val="0"/>
                <w:szCs w:val="24"/>
              </w:rPr>
            </w:pPr>
            <w:r w:rsidRPr="005E311C">
              <w:rPr>
                <w:rFonts w:ascii="新細明體" w:eastAsia="新細明體" w:hAnsi="新細明體" w:cs="新細明體"/>
                <w:b/>
                <w:bCs/>
                <w:kern w:val="0"/>
                <w:szCs w:val="24"/>
              </w:rPr>
              <w:t>Portfolio Sync</w:t>
            </w:r>
          </w:p>
        </w:tc>
        <w:tc>
          <w:tcPr>
            <w:tcW w:w="0" w:type="auto"/>
            <w:tcBorders>
              <w:top w:val="outset" w:sz="6" w:space="0" w:color="auto"/>
              <w:left w:val="outset" w:sz="6" w:space="0" w:color="auto"/>
              <w:bottom w:val="outset" w:sz="6" w:space="0" w:color="auto"/>
              <w:right w:val="outset" w:sz="6" w:space="0" w:color="auto"/>
            </w:tcBorders>
            <w:vAlign w:val="center"/>
            <w:hideMark/>
          </w:tcPr>
          <w:p w:rsidR="005E311C" w:rsidRPr="005E311C" w:rsidRDefault="005E311C" w:rsidP="005E311C">
            <w:pPr>
              <w:widowControl/>
              <w:spacing w:before="100" w:beforeAutospacing="1" w:after="100" w:afterAutospacing="1"/>
              <w:rPr>
                <w:rFonts w:ascii="新細明體" w:eastAsia="新細明體" w:hAnsi="新細明體" w:cs="新細明體"/>
                <w:kern w:val="0"/>
                <w:szCs w:val="24"/>
              </w:rPr>
            </w:pPr>
            <w:r w:rsidRPr="005E311C">
              <w:rPr>
                <w:rFonts w:ascii="新細明體" w:eastAsia="新細明體" w:hAnsi="新細明體" w:cs="新細明體"/>
                <w:kern w:val="0"/>
                <w:szCs w:val="24"/>
              </w:rPr>
              <w:t>Manual Entry (No Broker Link)</w:t>
            </w:r>
          </w:p>
        </w:tc>
        <w:tc>
          <w:tcPr>
            <w:tcW w:w="0" w:type="auto"/>
            <w:tcBorders>
              <w:top w:val="outset" w:sz="6" w:space="0" w:color="auto"/>
              <w:left w:val="outset" w:sz="6" w:space="0" w:color="auto"/>
              <w:bottom w:val="outset" w:sz="6" w:space="0" w:color="auto"/>
              <w:right w:val="outset" w:sz="6" w:space="0" w:color="auto"/>
            </w:tcBorders>
            <w:vAlign w:val="center"/>
            <w:hideMark/>
          </w:tcPr>
          <w:p w:rsidR="005E311C" w:rsidRPr="005E311C" w:rsidRDefault="005E311C" w:rsidP="005E311C">
            <w:pPr>
              <w:widowControl/>
              <w:spacing w:before="100" w:beforeAutospacing="1" w:after="100" w:afterAutospacing="1"/>
              <w:rPr>
                <w:rFonts w:ascii="新細明體" w:eastAsia="新細明體" w:hAnsi="新細明體" w:cs="新細明體"/>
                <w:kern w:val="0"/>
                <w:szCs w:val="24"/>
              </w:rPr>
            </w:pPr>
            <w:r w:rsidRPr="005E311C">
              <w:rPr>
                <w:rFonts w:ascii="新細明體" w:eastAsia="新細明體" w:hAnsi="新細明體" w:cs="新細明體"/>
                <w:kern w:val="0"/>
                <w:szCs w:val="24"/>
              </w:rPr>
              <w:t>Potential Brokerage Sync (Auto-balance)</w:t>
            </w:r>
          </w:p>
        </w:tc>
      </w:tr>
      <w:tr w:rsidR="005E311C" w:rsidRPr="005E311C" w:rsidTr="005E311C">
        <w:tc>
          <w:tcPr>
            <w:tcW w:w="0" w:type="auto"/>
            <w:tcBorders>
              <w:top w:val="outset" w:sz="6" w:space="0" w:color="auto"/>
              <w:left w:val="outset" w:sz="6" w:space="0" w:color="auto"/>
              <w:bottom w:val="outset" w:sz="6" w:space="0" w:color="auto"/>
              <w:right w:val="outset" w:sz="6" w:space="0" w:color="auto"/>
            </w:tcBorders>
            <w:vAlign w:val="center"/>
            <w:hideMark/>
          </w:tcPr>
          <w:p w:rsidR="005E311C" w:rsidRPr="005E311C" w:rsidRDefault="005E311C" w:rsidP="005E311C">
            <w:pPr>
              <w:widowControl/>
              <w:spacing w:before="100" w:beforeAutospacing="1" w:after="100" w:afterAutospacing="1"/>
              <w:rPr>
                <w:rFonts w:ascii="新細明體" w:eastAsia="新細明體" w:hAnsi="新細明體" w:cs="新細明體"/>
                <w:kern w:val="0"/>
                <w:szCs w:val="24"/>
              </w:rPr>
            </w:pPr>
            <w:r w:rsidRPr="005E311C">
              <w:rPr>
                <w:rFonts w:ascii="新細明體" w:eastAsia="新細明體" w:hAnsi="新細明體" w:cs="新細明體"/>
                <w:b/>
                <w:bCs/>
                <w:kern w:val="0"/>
                <w:szCs w:val="24"/>
              </w:rPr>
              <w:t>Complexity</w:t>
            </w:r>
          </w:p>
        </w:tc>
        <w:tc>
          <w:tcPr>
            <w:tcW w:w="0" w:type="auto"/>
            <w:tcBorders>
              <w:top w:val="outset" w:sz="6" w:space="0" w:color="auto"/>
              <w:left w:val="outset" w:sz="6" w:space="0" w:color="auto"/>
              <w:bottom w:val="outset" w:sz="6" w:space="0" w:color="auto"/>
              <w:right w:val="outset" w:sz="6" w:space="0" w:color="auto"/>
            </w:tcBorders>
            <w:vAlign w:val="center"/>
            <w:hideMark/>
          </w:tcPr>
          <w:p w:rsidR="005E311C" w:rsidRPr="005E311C" w:rsidRDefault="005E311C" w:rsidP="005E311C">
            <w:pPr>
              <w:widowControl/>
              <w:spacing w:before="100" w:beforeAutospacing="1" w:after="100" w:afterAutospacing="1"/>
              <w:rPr>
                <w:rFonts w:ascii="新細明體" w:eastAsia="新細明體" w:hAnsi="新細明體" w:cs="新細明體"/>
                <w:kern w:val="0"/>
                <w:szCs w:val="24"/>
              </w:rPr>
            </w:pPr>
            <w:r w:rsidRPr="005E311C">
              <w:rPr>
                <w:rFonts w:ascii="新細明體" w:eastAsia="新細明體" w:hAnsi="新細明體" w:cs="新細明體"/>
                <w:kern w:val="0"/>
                <w:szCs w:val="24"/>
              </w:rPr>
              <w:t>Low (Public Endpoints)</w:t>
            </w:r>
          </w:p>
        </w:tc>
        <w:tc>
          <w:tcPr>
            <w:tcW w:w="0" w:type="auto"/>
            <w:tcBorders>
              <w:top w:val="outset" w:sz="6" w:space="0" w:color="auto"/>
              <w:left w:val="outset" w:sz="6" w:space="0" w:color="auto"/>
              <w:bottom w:val="outset" w:sz="6" w:space="0" w:color="auto"/>
              <w:right w:val="outset" w:sz="6" w:space="0" w:color="auto"/>
            </w:tcBorders>
            <w:vAlign w:val="center"/>
            <w:hideMark/>
          </w:tcPr>
          <w:p w:rsidR="005E311C" w:rsidRPr="005E311C" w:rsidRDefault="005E311C" w:rsidP="005E311C">
            <w:pPr>
              <w:widowControl/>
              <w:spacing w:before="100" w:beforeAutospacing="1" w:after="100" w:afterAutospacing="1"/>
              <w:rPr>
                <w:rFonts w:ascii="新細明體" w:eastAsia="新細明體" w:hAnsi="新細明體" w:cs="新細明體"/>
                <w:kern w:val="0"/>
                <w:szCs w:val="24"/>
              </w:rPr>
            </w:pPr>
            <w:r w:rsidRPr="005E311C">
              <w:rPr>
                <w:rFonts w:ascii="新細明體" w:eastAsia="新細明體" w:hAnsi="新細明體" w:cs="新細明體"/>
                <w:kern w:val="0"/>
                <w:szCs w:val="24"/>
              </w:rPr>
              <w:t>High (Requires OAuth/Secure Handshakes)</w:t>
            </w:r>
          </w:p>
        </w:tc>
      </w:tr>
    </w:tbl>
    <w:p w:rsidR="005E311C" w:rsidRPr="005E311C" w:rsidRDefault="005E311C" w:rsidP="005E311C">
      <w:pPr>
        <w:widowControl/>
        <w:spacing w:before="100" w:beforeAutospacing="1" w:after="100" w:afterAutospacing="1"/>
        <w:outlineLvl w:val="2"/>
        <w:rPr>
          <w:rFonts w:ascii="新細明體" w:eastAsia="新細明體" w:hAnsi="新細明體" w:cs="新細明體"/>
          <w:b/>
          <w:bCs/>
          <w:kern w:val="0"/>
          <w:sz w:val="27"/>
          <w:szCs w:val="27"/>
        </w:rPr>
      </w:pPr>
      <w:r w:rsidRPr="005E311C">
        <w:rPr>
          <w:rFonts w:ascii="新細明體" w:eastAsia="新細明體" w:hAnsi="新細明體" w:cs="新細明體"/>
          <w:b/>
          <w:bCs/>
          <w:kern w:val="0"/>
          <w:sz w:val="27"/>
          <w:szCs w:val="27"/>
        </w:rPr>
        <w:t>API Key Management Protocol</w:t>
      </w:r>
    </w:p>
    <w:p w:rsidR="005E311C" w:rsidRPr="005E311C" w:rsidRDefault="005E311C" w:rsidP="005E311C">
      <w:pPr>
        <w:widowControl/>
        <w:spacing w:before="100" w:beforeAutospacing="1" w:after="100" w:afterAutospacing="1"/>
        <w:rPr>
          <w:rFonts w:ascii="新細明體" w:eastAsia="新細明體" w:hAnsi="新細明體" w:cs="新細明體"/>
          <w:kern w:val="0"/>
          <w:szCs w:val="24"/>
        </w:rPr>
      </w:pPr>
      <w:r w:rsidRPr="005E311C">
        <w:rPr>
          <w:rFonts w:ascii="新細明體" w:eastAsia="新細明體" w:hAnsi="新細明體" w:cs="新細明體"/>
          <w:kern w:val="0"/>
          <w:szCs w:val="24"/>
        </w:rPr>
        <w:t>To ensure API credentials are never exposed or lost, the architecture utilizes the following CLI-style directives for the implementation team:</w:t>
      </w:r>
    </w:p>
    <w:p w:rsidR="005E311C" w:rsidRPr="005E311C" w:rsidRDefault="005E311C" w:rsidP="005E311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5E311C">
        <w:rPr>
          <w:rFonts w:ascii="細明體" w:eastAsia="細明體" w:hAnsi="細明體" w:cs="細明體"/>
          <w:kern w:val="0"/>
          <w:szCs w:val="24"/>
        </w:rPr>
        <w:lastRenderedPageBreak/>
        <w:t># Initialize secure storage for API credentials</w:t>
      </w:r>
    </w:p>
    <w:p w:rsidR="005E311C" w:rsidRPr="005E311C" w:rsidRDefault="005E311C" w:rsidP="005E311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5E311C">
        <w:rPr>
          <w:rFonts w:ascii="細明體" w:eastAsia="細明體" w:hAnsi="細明體" w:cs="細明體"/>
          <w:kern w:val="0"/>
          <w:szCs w:val="24"/>
        </w:rPr>
        <w:t>VAULT_INIT --provider=STOCK_API_PROV --encryption=AES_256</w:t>
      </w:r>
    </w:p>
    <w:p w:rsidR="005E311C" w:rsidRPr="005E311C" w:rsidRDefault="005E311C" w:rsidP="005E311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5E311C">
        <w:rPr>
          <w:rFonts w:ascii="細明體" w:eastAsia="細明體" w:hAnsi="細明體" w:cs="細明體"/>
          <w:kern w:val="0"/>
          <w:szCs w:val="24"/>
        </w:rPr>
        <w:t># Store API Key in the device's secure enclave (iOS Keychain / Android Keystore)</w:t>
      </w:r>
    </w:p>
    <w:p w:rsidR="005E311C" w:rsidRPr="005E311C" w:rsidRDefault="005E311C" w:rsidP="005E311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5E311C">
        <w:rPr>
          <w:rFonts w:ascii="細明體" w:eastAsia="細明體" w:hAnsi="細明體" w:cs="細明體"/>
          <w:kern w:val="0"/>
          <w:szCs w:val="24"/>
        </w:rPr>
        <w:t>SET_PROVIDER_KEY --key_id="API_KEY_01" --secret="USER_INPUT_VALUE" --persistence=STRICT</w:t>
      </w:r>
    </w:p>
    <w:p w:rsidR="005E311C" w:rsidRPr="005E311C" w:rsidRDefault="005E311C" w:rsidP="005E311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5E311C">
        <w:rPr>
          <w:rFonts w:ascii="細明體" w:eastAsia="細明體" w:hAnsi="細明體" w:cs="細明體"/>
          <w:kern w:val="0"/>
          <w:szCs w:val="24"/>
        </w:rPr>
        <w:t># Retrieve key for authenticated proxy requests only</w:t>
      </w:r>
    </w:p>
    <w:p w:rsidR="005E311C" w:rsidRPr="005E311C" w:rsidRDefault="005E311C" w:rsidP="005E311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5E311C">
        <w:rPr>
          <w:rFonts w:ascii="細明體" w:eastAsia="細明體" w:hAnsi="細明體" w:cs="細明體"/>
          <w:kern w:val="0"/>
          <w:szCs w:val="24"/>
        </w:rPr>
        <w:t>GET_SESSION_TOKEN --key_id="API_KEY_01" --output=PROXY_INJECTION</w:t>
      </w:r>
    </w:p>
    <w:p w:rsidR="005E311C" w:rsidRPr="005E311C" w:rsidRDefault="005E311C" w:rsidP="005E311C">
      <w:pPr>
        <w:widowControl/>
        <w:spacing w:before="100" w:beforeAutospacing="1" w:after="100" w:afterAutospacing="1"/>
        <w:rPr>
          <w:rFonts w:ascii="新細明體" w:eastAsia="新細明體" w:hAnsi="新細明體" w:cs="新細明體"/>
          <w:kern w:val="0"/>
          <w:szCs w:val="24"/>
        </w:rPr>
      </w:pPr>
      <w:r w:rsidRPr="005E311C">
        <w:rPr>
          <w:rFonts w:ascii="新細明體" w:eastAsia="新細明體" w:hAnsi="新細明體" w:cs="新細明體"/>
          <w:kern w:val="0"/>
          <w:szCs w:val="24"/>
        </w:rPr>
        <w:t>This strategy ensures the Logic Engine is fed with high-quality data while maintaining a "Remember Me" logic that removes the friction of repeated credential entry.</w:t>
      </w:r>
    </w:p>
    <w:p w:rsidR="005E311C" w:rsidRPr="005E311C" w:rsidRDefault="005E311C" w:rsidP="005E311C">
      <w:pPr>
        <w:widowControl/>
        <w:spacing w:before="100" w:beforeAutospacing="1" w:after="100" w:afterAutospacing="1"/>
        <w:outlineLvl w:val="1"/>
        <w:rPr>
          <w:rFonts w:ascii="新細明體" w:eastAsia="新細明體" w:hAnsi="新細明體" w:cs="新細明體"/>
          <w:b/>
          <w:bCs/>
          <w:kern w:val="0"/>
          <w:sz w:val="36"/>
          <w:szCs w:val="36"/>
        </w:rPr>
      </w:pPr>
      <w:r w:rsidRPr="005E311C">
        <w:rPr>
          <w:rFonts w:ascii="新細明體" w:eastAsia="新細明體" w:hAnsi="新細明體" w:cs="新細明體"/>
          <w:b/>
          <w:bCs/>
          <w:kern w:val="0"/>
          <w:sz w:val="36"/>
          <w:szCs w:val="36"/>
        </w:rPr>
        <w:t>4. Core Logic: The Stock Balancing &amp; Rounding Algorithm</w:t>
      </w:r>
    </w:p>
    <w:p w:rsidR="005E311C" w:rsidRPr="005E311C" w:rsidRDefault="005E311C" w:rsidP="005E311C">
      <w:pPr>
        <w:widowControl/>
        <w:spacing w:before="100" w:beforeAutospacing="1" w:after="100" w:afterAutospacing="1"/>
        <w:rPr>
          <w:rFonts w:ascii="新細明體" w:eastAsia="新細明體" w:hAnsi="新細明體" w:cs="新細明體"/>
          <w:kern w:val="0"/>
          <w:szCs w:val="24"/>
        </w:rPr>
      </w:pPr>
      <w:r w:rsidRPr="005E311C">
        <w:rPr>
          <w:rFonts w:ascii="新細明體" w:eastAsia="新細明體" w:hAnsi="新細明體" w:cs="新細明體"/>
          <w:kern w:val="0"/>
          <w:szCs w:val="24"/>
        </w:rPr>
        <w:t>The primary value proposition is the elimination of mathematical "noise." In markets like Taiwan or Hong Kong, "Board Lots" (standardized quantities) make odd-lot trading inefficient or expensive. This algorithm solves that by ensuring all purchase suggestions result in whole integers and standardized lots.</w:t>
      </w:r>
    </w:p>
    <w:p w:rsidR="005E311C" w:rsidRPr="005E311C" w:rsidRDefault="005E311C" w:rsidP="005E311C">
      <w:pPr>
        <w:widowControl/>
        <w:spacing w:before="100" w:beforeAutospacing="1" w:after="100" w:afterAutospacing="1"/>
        <w:outlineLvl w:val="2"/>
        <w:rPr>
          <w:rFonts w:ascii="新細明體" w:eastAsia="新細明體" w:hAnsi="新細明體" w:cs="新細明體"/>
          <w:b/>
          <w:bCs/>
          <w:kern w:val="0"/>
          <w:sz w:val="27"/>
          <w:szCs w:val="27"/>
        </w:rPr>
      </w:pPr>
      <w:r w:rsidRPr="005E311C">
        <w:rPr>
          <w:rFonts w:ascii="新細明體" w:eastAsia="新細明體" w:hAnsi="新細明體" w:cs="新細明體"/>
          <w:b/>
          <w:bCs/>
          <w:kern w:val="0"/>
          <w:sz w:val="27"/>
          <w:szCs w:val="27"/>
        </w:rPr>
        <w:t>Algorithmic Requirements</w:t>
      </w:r>
    </w:p>
    <w:p w:rsidR="005E311C" w:rsidRPr="005E311C" w:rsidRDefault="005E311C" w:rsidP="005E311C">
      <w:pPr>
        <w:widowControl/>
        <w:numPr>
          <w:ilvl w:val="0"/>
          <w:numId w:val="3"/>
        </w:numPr>
        <w:spacing w:before="100" w:beforeAutospacing="1" w:after="100" w:afterAutospacing="1"/>
        <w:rPr>
          <w:rFonts w:ascii="新細明體" w:eastAsia="新細明體" w:hAnsi="新細明體" w:cs="新細明體"/>
          <w:kern w:val="0"/>
          <w:szCs w:val="24"/>
        </w:rPr>
      </w:pPr>
      <w:r w:rsidRPr="005E311C">
        <w:rPr>
          <w:rFonts w:ascii="新細明體" w:eastAsia="新細明體" w:hAnsi="新細明體" w:cs="新細明體"/>
          <w:b/>
          <w:bCs/>
          <w:kern w:val="0"/>
          <w:szCs w:val="24"/>
        </w:rPr>
        <w:t>Rounding Logic:</w:t>
      </w:r>
      <w:r w:rsidRPr="005E311C">
        <w:rPr>
          <w:rFonts w:ascii="新細明體" w:eastAsia="新細明體" w:hAnsi="新細明體" w:cs="新細明體"/>
          <w:kern w:val="0"/>
          <w:szCs w:val="24"/>
        </w:rPr>
        <w:t xml:space="preserve"> The engine will apply a </w:t>
      </w:r>
      <w:r w:rsidRPr="005E311C">
        <w:rPr>
          <w:rFonts w:ascii="細明體" w:eastAsia="細明體" w:hAnsi="細明體" w:cs="細明體"/>
          <w:kern w:val="0"/>
          <w:szCs w:val="24"/>
        </w:rPr>
        <w:t>Ceiling</w:t>
      </w:r>
      <w:r w:rsidRPr="005E311C">
        <w:rPr>
          <w:rFonts w:ascii="新細明體" w:eastAsia="新細明體" w:hAnsi="新細明體" w:cs="新細明體"/>
          <w:kern w:val="0"/>
          <w:szCs w:val="24"/>
        </w:rPr>
        <w:t xml:space="preserve"> or </w:t>
      </w:r>
      <w:r w:rsidRPr="005E311C">
        <w:rPr>
          <w:rFonts w:ascii="細明體" w:eastAsia="細明體" w:hAnsi="細明體" w:cs="細明體"/>
          <w:kern w:val="0"/>
          <w:szCs w:val="24"/>
        </w:rPr>
        <w:t>Nearest Lot</w:t>
      </w:r>
      <w:r w:rsidRPr="005E311C">
        <w:rPr>
          <w:rFonts w:ascii="新細明體" w:eastAsia="新細明體" w:hAnsi="新細明體" w:cs="新細明體"/>
          <w:kern w:val="0"/>
          <w:szCs w:val="24"/>
        </w:rPr>
        <w:t xml:space="preserve"> function based on user-defined liquidity. If a user seeks to balance a position, the engine iterates through potential purchase volumes V to satisfy: (Current\_Qty + V) \pmod{Lot\_Size} = 0</w:t>
      </w:r>
    </w:p>
    <w:p w:rsidR="005E311C" w:rsidRPr="005E311C" w:rsidRDefault="005E311C" w:rsidP="005E311C">
      <w:pPr>
        <w:widowControl/>
        <w:numPr>
          <w:ilvl w:val="0"/>
          <w:numId w:val="3"/>
        </w:numPr>
        <w:spacing w:before="100" w:beforeAutospacing="1" w:after="100" w:afterAutospacing="1"/>
        <w:rPr>
          <w:rFonts w:ascii="新細明體" w:eastAsia="新細明體" w:hAnsi="新細明體" w:cs="新細明體"/>
          <w:kern w:val="0"/>
          <w:szCs w:val="24"/>
        </w:rPr>
      </w:pPr>
      <w:r w:rsidRPr="005E311C">
        <w:rPr>
          <w:rFonts w:ascii="新細明體" w:eastAsia="新細明體" w:hAnsi="新細明體" w:cs="新細明體"/>
          <w:b/>
          <w:bCs/>
          <w:kern w:val="0"/>
          <w:szCs w:val="24"/>
        </w:rPr>
        <w:t>Combination Synthesis:</w:t>
      </w:r>
      <w:r w:rsidRPr="005E311C">
        <w:rPr>
          <w:rFonts w:ascii="新細明體" w:eastAsia="新細明體" w:hAnsi="新細明體" w:cs="新細明體"/>
          <w:kern w:val="0"/>
          <w:szCs w:val="24"/>
        </w:rPr>
        <w:t xml:space="preserve"> The engine uses a backtracking approach to suggest different paths. For a fixed budget B, it provides suggestions \{S_1, S_2...S_n\} where each S is a set of whole-integer quantities that maximize the use of B without exceeding it, while ensuring the final portfolio contains no "odd lots."</w:t>
      </w:r>
    </w:p>
    <w:p w:rsidR="005E311C" w:rsidRPr="005E311C" w:rsidRDefault="005E311C" w:rsidP="005E311C">
      <w:pPr>
        <w:widowControl/>
        <w:spacing w:before="100" w:beforeAutospacing="1" w:after="100" w:afterAutospacing="1"/>
        <w:rPr>
          <w:rFonts w:ascii="新細明體" w:eastAsia="新細明體" w:hAnsi="新細明體" w:cs="新細明體"/>
          <w:kern w:val="0"/>
          <w:szCs w:val="24"/>
        </w:rPr>
      </w:pPr>
      <w:r w:rsidRPr="005E311C">
        <w:rPr>
          <w:rFonts w:ascii="新細明體" w:eastAsia="新細明體" w:hAnsi="新細明體" w:cs="新細明體"/>
          <w:b/>
          <w:bCs/>
          <w:kern w:val="0"/>
          <w:szCs w:val="24"/>
        </w:rPr>
        <w:t>The "So What?" Factor:</w:t>
      </w:r>
      <w:r w:rsidRPr="005E311C">
        <w:rPr>
          <w:rFonts w:ascii="新細明體" w:eastAsia="新細明體" w:hAnsi="新細明體" w:cs="新細明體"/>
          <w:kern w:val="0"/>
          <w:szCs w:val="24"/>
        </w:rPr>
        <w:t xml:space="preserve"> This logic directly supports </w:t>
      </w:r>
      <w:r w:rsidRPr="005E311C">
        <w:rPr>
          <w:rFonts w:ascii="新細明體" w:eastAsia="新細明體" w:hAnsi="新細明體" w:cs="新細明體"/>
          <w:b/>
          <w:bCs/>
          <w:kern w:val="0"/>
          <w:szCs w:val="24"/>
        </w:rPr>
        <w:t>Liquidity Management</w:t>
      </w:r>
      <w:r w:rsidRPr="005E311C">
        <w:rPr>
          <w:rFonts w:ascii="新細明體" w:eastAsia="新細明體" w:hAnsi="新細明體" w:cs="新細明體"/>
          <w:kern w:val="0"/>
          <w:szCs w:val="24"/>
        </w:rPr>
        <w:t>. By calculating combinations that result in whole numbers, the algorithm prevents the "trapped capital" often found in fractional or odd-lot shares, improving investment discipline and portfolio cleanliness.</w:t>
      </w:r>
    </w:p>
    <w:p w:rsidR="005E311C" w:rsidRPr="005E311C" w:rsidRDefault="005E311C" w:rsidP="005E311C">
      <w:pPr>
        <w:widowControl/>
        <w:spacing w:before="100" w:beforeAutospacing="1" w:after="100" w:afterAutospacing="1"/>
        <w:outlineLvl w:val="1"/>
        <w:rPr>
          <w:rFonts w:ascii="新細明體" w:eastAsia="新細明體" w:hAnsi="新細明體" w:cs="新細明體"/>
          <w:b/>
          <w:bCs/>
          <w:kern w:val="0"/>
          <w:sz w:val="36"/>
          <w:szCs w:val="36"/>
        </w:rPr>
      </w:pPr>
      <w:r w:rsidRPr="005E311C">
        <w:rPr>
          <w:rFonts w:ascii="新細明體" w:eastAsia="新細明體" w:hAnsi="新細明體" w:cs="新細明體"/>
          <w:b/>
          <w:bCs/>
          <w:kern w:val="0"/>
          <w:sz w:val="36"/>
          <w:szCs w:val="36"/>
        </w:rPr>
        <w:t>5. Database Schema &amp; Data Persistence Model</w:t>
      </w:r>
    </w:p>
    <w:p w:rsidR="005E311C" w:rsidRPr="005E311C" w:rsidRDefault="005E311C" w:rsidP="005E311C">
      <w:pPr>
        <w:widowControl/>
        <w:spacing w:before="100" w:beforeAutospacing="1" w:after="100" w:afterAutospacing="1"/>
        <w:rPr>
          <w:rFonts w:ascii="新細明體" w:eastAsia="新細明體" w:hAnsi="新細明體" w:cs="新細明體"/>
          <w:kern w:val="0"/>
          <w:szCs w:val="24"/>
        </w:rPr>
      </w:pPr>
      <w:r w:rsidRPr="005E311C">
        <w:rPr>
          <w:rFonts w:ascii="新細明體" w:eastAsia="新細明體" w:hAnsi="新細明體" w:cs="新細明體"/>
          <w:kern w:val="0"/>
          <w:szCs w:val="24"/>
        </w:rPr>
        <w:lastRenderedPageBreak/>
        <w:t>Structured persistence is required to track historical performance and enable future analytics. The schema is designed for high ACID compliance to protect financial integrity.</w:t>
      </w:r>
    </w:p>
    <w:p w:rsidR="005E311C" w:rsidRPr="005E311C" w:rsidRDefault="005E311C" w:rsidP="005E311C">
      <w:pPr>
        <w:widowControl/>
        <w:spacing w:before="100" w:beforeAutospacing="1" w:after="100" w:afterAutospacing="1"/>
        <w:outlineLvl w:val="2"/>
        <w:rPr>
          <w:rFonts w:ascii="新細明體" w:eastAsia="新細明體" w:hAnsi="新細明體" w:cs="新細明體"/>
          <w:b/>
          <w:bCs/>
          <w:kern w:val="0"/>
          <w:sz w:val="27"/>
          <w:szCs w:val="27"/>
        </w:rPr>
      </w:pPr>
      <w:r w:rsidRPr="005E311C">
        <w:rPr>
          <w:rFonts w:ascii="新細明體" w:eastAsia="新細明體" w:hAnsi="新細明體" w:cs="新細明體"/>
          <w:b/>
          <w:bCs/>
          <w:kern w:val="0"/>
          <w:sz w:val="27"/>
          <w:szCs w:val="27"/>
        </w:rPr>
        <w:t>Data Entity Specification</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525"/>
        <w:gridCol w:w="1232"/>
        <w:gridCol w:w="3813"/>
        <w:gridCol w:w="1766"/>
      </w:tblGrid>
      <w:tr w:rsidR="005E311C" w:rsidRPr="005E311C" w:rsidTr="005E311C">
        <w:tc>
          <w:tcPr>
            <w:tcW w:w="0" w:type="auto"/>
            <w:tcBorders>
              <w:top w:val="outset" w:sz="6" w:space="0" w:color="auto"/>
              <w:left w:val="outset" w:sz="6" w:space="0" w:color="auto"/>
              <w:bottom w:val="outset" w:sz="6" w:space="0" w:color="auto"/>
              <w:right w:val="outset" w:sz="6" w:space="0" w:color="auto"/>
            </w:tcBorders>
            <w:vAlign w:val="center"/>
            <w:hideMark/>
          </w:tcPr>
          <w:p w:rsidR="005E311C" w:rsidRPr="005E311C" w:rsidRDefault="005E311C" w:rsidP="005E311C">
            <w:pPr>
              <w:widowControl/>
              <w:spacing w:before="100" w:beforeAutospacing="1" w:after="100" w:afterAutospacing="1"/>
              <w:rPr>
                <w:rFonts w:ascii="新細明體" w:eastAsia="新細明體" w:hAnsi="新細明體" w:cs="新細明體"/>
                <w:kern w:val="0"/>
                <w:szCs w:val="24"/>
              </w:rPr>
            </w:pPr>
            <w:r w:rsidRPr="005E311C">
              <w:rPr>
                <w:rFonts w:ascii="新細明體" w:eastAsia="新細明體" w:hAnsi="新細明體" w:cs="新細明體"/>
                <w:kern w:val="0"/>
                <w:szCs w:val="24"/>
              </w:rPr>
              <w:t>Table Name</w:t>
            </w:r>
          </w:p>
        </w:tc>
        <w:tc>
          <w:tcPr>
            <w:tcW w:w="0" w:type="auto"/>
            <w:tcBorders>
              <w:top w:val="outset" w:sz="6" w:space="0" w:color="auto"/>
              <w:left w:val="outset" w:sz="6" w:space="0" w:color="auto"/>
              <w:bottom w:val="outset" w:sz="6" w:space="0" w:color="auto"/>
              <w:right w:val="outset" w:sz="6" w:space="0" w:color="auto"/>
            </w:tcBorders>
            <w:vAlign w:val="center"/>
            <w:hideMark/>
          </w:tcPr>
          <w:p w:rsidR="005E311C" w:rsidRPr="005E311C" w:rsidRDefault="005E311C" w:rsidP="005E311C">
            <w:pPr>
              <w:widowControl/>
              <w:spacing w:before="100" w:beforeAutospacing="1" w:after="100" w:afterAutospacing="1"/>
              <w:rPr>
                <w:rFonts w:ascii="新細明體" w:eastAsia="新細明體" w:hAnsi="新細明體" w:cs="新細明體"/>
                <w:kern w:val="0"/>
                <w:szCs w:val="24"/>
              </w:rPr>
            </w:pPr>
            <w:r w:rsidRPr="005E311C">
              <w:rPr>
                <w:rFonts w:ascii="新細明體" w:eastAsia="新細明體" w:hAnsi="新細明體" w:cs="新細明體"/>
                <w:kern w:val="0"/>
                <w:szCs w:val="24"/>
              </w:rPr>
              <w:t>Primary Key</w:t>
            </w:r>
          </w:p>
        </w:tc>
        <w:tc>
          <w:tcPr>
            <w:tcW w:w="0" w:type="auto"/>
            <w:tcBorders>
              <w:top w:val="outset" w:sz="6" w:space="0" w:color="auto"/>
              <w:left w:val="outset" w:sz="6" w:space="0" w:color="auto"/>
              <w:bottom w:val="outset" w:sz="6" w:space="0" w:color="auto"/>
              <w:right w:val="outset" w:sz="6" w:space="0" w:color="auto"/>
            </w:tcBorders>
            <w:vAlign w:val="center"/>
            <w:hideMark/>
          </w:tcPr>
          <w:p w:rsidR="005E311C" w:rsidRPr="005E311C" w:rsidRDefault="005E311C" w:rsidP="005E311C">
            <w:pPr>
              <w:widowControl/>
              <w:spacing w:before="100" w:beforeAutospacing="1" w:after="100" w:afterAutospacing="1"/>
              <w:rPr>
                <w:rFonts w:ascii="新細明體" w:eastAsia="新細明體" w:hAnsi="新細明體" w:cs="新細明體"/>
                <w:kern w:val="0"/>
                <w:szCs w:val="24"/>
              </w:rPr>
            </w:pPr>
            <w:r w:rsidRPr="005E311C">
              <w:rPr>
                <w:rFonts w:ascii="新細明體" w:eastAsia="新細明體" w:hAnsi="新細明體" w:cs="新細明體"/>
                <w:kern w:val="0"/>
                <w:szCs w:val="24"/>
              </w:rPr>
              <w:t>Fields &amp; Data Types</w:t>
            </w:r>
          </w:p>
        </w:tc>
        <w:tc>
          <w:tcPr>
            <w:tcW w:w="0" w:type="auto"/>
            <w:tcBorders>
              <w:top w:val="outset" w:sz="6" w:space="0" w:color="auto"/>
              <w:left w:val="outset" w:sz="6" w:space="0" w:color="auto"/>
              <w:bottom w:val="outset" w:sz="6" w:space="0" w:color="auto"/>
              <w:right w:val="outset" w:sz="6" w:space="0" w:color="auto"/>
            </w:tcBorders>
            <w:vAlign w:val="center"/>
            <w:hideMark/>
          </w:tcPr>
          <w:p w:rsidR="005E311C" w:rsidRPr="005E311C" w:rsidRDefault="005E311C" w:rsidP="005E311C">
            <w:pPr>
              <w:widowControl/>
              <w:spacing w:before="100" w:beforeAutospacing="1" w:after="100" w:afterAutospacing="1"/>
              <w:rPr>
                <w:rFonts w:ascii="新細明體" w:eastAsia="新細明體" w:hAnsi="新細明體" w:cs="新細明體"/>
                <w:kern w:val="0"/>
                <w:szCs w:val="24"/>
              </w:rPr>
            </w:pPr>
            <w:r w:rsidRPr="005E311C">
              <w:rPr>
                <w:rFonts w:ascii="新細明體" w:eastAsia="新細明體" w:hAnsi="新細明體" w:cs="新細明體"/>
                <w:kern w:val="0"/>
                <w:szCs w:val="24"/>
              </w:rPr>
              <w:t>Relationships</w:t>
            </w:r>
          </w:p>
        </w:tc>
      </w:tr>
      <w:tr w:rsidR="005E311C" w:rsidRPr="005E311C" w:rsidTr="005E311C">
        <w:tc>
          <w:tcPr>
            <w:tcW w:w="0" w:type="auto"/>
            <w:tcBorders>
              <w:top w:val="outset" w:sz="6" w:space="0" w:color="auto"/>
              <w:left w:val="outset" w:sz="6" w:space="0" w:color="auto"/>
              <w:bottom w:val="outset" w:sz="6" w:space="0" w:color="auto"/>
              <w:right w:val="outset" w:sz="6" w:space="0" w:color="auto"/>
            </w:tcBorders>
            <w:vAlign w:val="center"/>
            <w:hideMark/>
          </w:tcPr>
          <w:p w:rsidR="005E311C" w:rsidRPr="005E311C" w:rsidRDefault="005E311C" w:rsidP="005E311C">
            <w:pPr>
              <w:widowControl/>
              <w:spacing w:before="100" w:beforeAutospacing="1" w:after="100" w:afterAutospacing="1"/>
              <w:rPr>
                <w:rFonts w:ascii="新細明體" w:eastAsia="新細明體" w:hAnsi="新細明體" w:cs="新細明體"/>
                <w:kern w:val="0"/>
                <w:szCs w:val="24"/>
              </w:rPr>
            </w:pPr>
            <w:r w:rsidRPr="005E311C">
              <w:rPr>
                <w:rFonts w:ascii="新細明體" w:eastAsia="新細明體" w:hAnsi="新細明體" w:cs="新細明體"/>
                <w:b/>
                <w:bCs/>
                <w:kern w:val="0"/>
                <w:szCs w:val="24"/>
              </w:rPr>
              <w:t>User_Profile</w:t>
            </w:r>
          </w:p>
        </w:tc>
        <w:tc>
          <w:tcPr>
            <w:tcW w:w="0" w:type="auto"/>
            <w:tcBorders>
              <w:top w:val="outset" w:sz="6" w:space="0" w:color="auto"/>
              <w:left w:val="outset" w:sz="6" w:space="0" w:color="auto"/>
              <w:bottom w:val="outset" w:sz="6" w:space="0" w:color="auto"/>
              <w:right w:val="outset" w:sz="6" w:space="0" w:color="auto"/>
            </w:tcBorders>
            <w:vAlign w:val="center"/>
            <w:hideMark/>
          </w:tcPr>
          <w:p w:rsidR="005E311C" w:rsidRPr="005E311C" w:rsidRDefault="005E311C" w:rsidP="005E311C">
            <w:pPr>
              <w:widowControl/>
              <w:spacing w:before="100" w:beforeAutospacing="1" w:after="100" w:afterAutospacing="1"/>
              <w:rPr>
                <w:rFonts w:ascii="新細明體" w:eastAsia="新細明體" w:hAnsi="新細明體" w:cs="新細明體"/>
                <w:kern w:val="0"/>
                <w:szCs w:val="24"/>
              </w:rPr>
            </w:pPr>
            <w:r w:rsidRPr="005E311C">
              <w:rPr>
                <w:rFonts w:ascii="細明體" w:eastAsia="細明體" w:hAnsi="細明體" w:cs="細明體"/>
                <w:kern w:val="0"/>
                <w:szCs w:val="24"/>
              </w:rPr>
              <w:t>user_id</w:t>
            </w:r>
            <w:r w:rsidRPr="005E311C">
              <w:rPr>
                <w:rFonts w:ascii="新細明體" w:eastAsia="新細明體" w:hAnsi="新細明體" w:cs="新細明體"/>
                <w:kern w:val="0"/>
                <w:szCs w:val="24"/>
              </w:rPr>
              <w:t xml:space="preserve"> (UUID)</w:t>
            </w:r>
          </w:p>
        </w:tc>
        <w:tc>
          <w:tcPr>
            <w:tcW w:w="0" w:type="auto"/>
            <w:tcBorders>
              <w:top w:val="outset" w:sz="6" w:space="0" w:color="auto"/>
              <w:left w:val="outset" w:sz="6" w:space="0" w:color="auto"/>
              <w:bottom w:val="outset" w:sz="6" w:space="0" w:color="auto"/>
              <w:right w:val="outset" w:sz="6" w:space="0" w:color="auto"/>
            </w:tcBorders>
            <w:vAlign w:val="center"/>
            <w:hideMark/>
          </w:tcPr>
          <w:p w:rsidR="005E311C" w:rsidRPr="005E311C" w:rsidRDefault="005E311C" w:rsidP="005E311C">
            <w:pPr>
              <w:widowControl/>
              <w:spacing w:before="100" w:beforeAutospacing="1" w:after="100" w:afterAutospacing="1"/>
              <w:rPr>
                <w:rFonts w:ascii="新細明體" w:eastAsia="新細明體" w:hAnsi="新細明體" w:cs="新細明體"/>
                <w:kern w:val="0"/>
                <w:szCs w:val="24"/>
              </w:rPr>
            </w:pPr>
            <w:r w:rsidRPr="005E311C">
              <w:rPr>
                <w:rFonts w:ascii="細明體" w:eastAsia="細明體" w:hAnsi="細明體" w:cs="細明體"/>
                <w:kern w:val="0"/>
                <w:szCs w:val="24"/>
              </w:rPr>
              <w:t>enc_api_key</w:t>
            </w:r>
            <w:r w:rsidRPr="005E311C">
              <w:rPr>
                <w:rFonts w:ascii="新細明體" w:eastAsia="新細明體" w:hAnsi="新細明體" w:cs="新細明體"/>
                <w:kern w:val="0"/>
                <w:szCs w:val="24"/>
              </w:rPr>
              <w:t xml:space="preserve"> (BLOB), </w:t>
            </w:r>
            <w:r w:rsidRPr="005E311C">
              <w:rPr>
                <w:rFonts w:ascii="細明體" w:eastAsia="細明體" w:hAnsi="細明體" w:cs="細明體"/>
                <w:kern w:val="0"/>
                <w:szCs w:val="24"/>
              </w:rPr>
              <w:t>currency</w:t>
            </w:r>
            <w:r w:rsidRPr="005E311C">
              <w:rPr>
                <w:rFonts w:ascii="新細明體" w:eastAsia="新細明體" w:hAnsi="新細明體" w:cs="新細明體"/>
                <w:kern w:val="0"/>
                <w:szCs w:val="24"/>
              </w:rPr>
              <w:t xml:space="preserve"> (VARCHAR 3), </w:t>
            </w:r>
            <w:r w:rsidRPr="005E311C">
              <w:rPr>
                <w:rFonts w:ascii="細明體" w:eastAsia="細明體" w:hAnsi="細明體" w:cs="細明體"/>
                <w:kern w:val="0"/>
                <w:szCs w:val="24"/>
              </w:rPr>
              <w:t>lot_preference</w:t>
            </w:r>
            <w:r w:rsidRPr="005E311C">
              <w:rPr>
                <w:rFonts w:ascii="新細明體" w:eastAsia="新細明體" w:hAnsi="新細明體" w:cs="新細明體"/>
                <w:kern w:val="0"/>
                <w:szCs w:val="24"/>
              </w:rPr>
              <w:t xml:space="preserve"> (INT)</w:t>
            </w:r>
          </w:p>
        </w:tc>
        <w:tc>
          <w:tcPr>
            <w:tcW w:w="0" w:type="auto"/>
            <w:tcBorders>
              <w:top w:val="outset" w:sz="6" w:space="0" w:color="auto"/>
              <w:left w:val="outset" w:sz="6" w:space="0" w:color="auto"/>
              <w:bottom w:val="outset" w:sz="6" w:space="0" w:color="auto"/>
              <w:right w:val="outset" w:sz="6" w:space="0" w:color="auto"/>
            </w:tcBorders>
            <w:vAlign w:val="center"/>
            <w:hideMark/>
          </w:tcPr>
          <w:p w:rsidR="005E311C" w:rsidRPr="005E311C" w:rsidRDefault="005E311C" w:rsidP="005E311C">
            <w:pPr>
              <w:widowControl/>
              <w:spacing w:before="100" w:beforeAutospacing="1" w:after="100" w:afterAutospacing="1"/>
              <w:rPr>
                <w:rFonts w:ascii="新細明體" w:eastAsia="新細明體" w:hAnsi="新細明體" w:cs="新細明體"/>
                <w:kern w:val="0"/>
                <w:szCs w:val="24"/>
              </w:rPr>
            </w:pPr>
            <w:r w:rsidRPr="005E311C">
              <w:rPr>
                <w:rFonts w:ascii="新細明體" w:eastAsia="新細明體" w:hAnsi="新細明體" w:cs="新細明體"/>
                <w:kern w:val="0"/>
                <w:szCs w:val="24"/>
              </w:rPr>
              <w:t>One-to-Many: Trade_History</w:t>
            </w:r>
          </w:p>
        </w:tc>
      </w:tr>
      <w:tr w:rsidR="005E311C" w:rsidRPr="005E311C" w:rsidTr="005E311C">
        <w:tc>
          <w:tcPr>
            <w:tcW w:w="0" w:type="auto"/>
            <w:tcBorders>
              <w:top w:val="outset" w:sz="6" w:space="0" w:color="auto"/>
              <w:left w:val="outset" w:sz="6" w:space="0" w:color="auto"/>
              <w:bottom w:val="outset" w:sz="6" w:space="0" w:color="auto"/>
              <w:right w:val="outset" w:sz="6" w:space="0" w:color="auto"/>
            </w:tcBorders>
            <w:vAlign w:val="center"/>
            <w:hideMark/>
          </w:tcPr>
          <w:p w:rsidR="005E311C" w:rsidRPr="005E311C" w:rsidRDefault="005E311C" w:rsidP="005E311C">
            <w:pPr>
              <w:widowControl/>
              <w:spacing w:before="100" w:beforeAutospacing="1" w:after="100" w:afterAutospacing="1"/>
              <w:rPr>
                <w:rFonts w:ascii="新細明體" w:eastAsia="新細明體" w:hAnsi="新細明體" w:cs="新細明體"/>
                <w:kern w:val="0"/>
                <w:szCs w:val="24"/>
              </w:rPr>
            </w:pPr>
            <w:r w:rsidRPr="005E311C">
              <w:rPr>
                <w:rFonts w:ascii="新細明體" w:eastAsia="新細明體" w:hAnsi="新細明體" w:cs="新細明體"/>
                <w:b/>
                <w:bCs/>
                <w:kern w:val="0"/>
                <w:szCs w:val="24"/>
              </w:rPr>
              <w:t>Trade_History</w:t>
            </w:r>
          </w:p>
        </w:tc>
        <w:tc>
          <w:tcPr>
            <w:tcW w:w="0" w:type="auto"/>
            <w:tcBorders>
              <w:top w:val="outset" w:sz="6" w:space="0" w:color="auto"/>
              <w:left w:val="outset" w:sz="6" w:space="0" w:color="auto"/>
              <w:bottom w:val="outset" w:sz="6" w:space="0" w:color="auto"/>
              <w:right w:val="outset" w:sz="6" w:space="0" w:color="auto"/>
            </w:tcBorders>
            <w:vAlign w:val="center"/>
            <w:hideMark/>
          </w:tcPr>
          <w:p w:rsidR="005E311C" w:rsidRPr="005E311C" w:rsidRDefault="005E311C" w:rsidP="005E311C">
            <w:pPr>
              <w:widowControl/>
              <w:spacing w:before="100" w:beforeAutospacing="1" w:after="100" w:afterAutospacing="1"/>
              <w:rPr>
                <w:rFonts w:ascii="新細明體" w:eastAsia="新細明體" w:hAnsi="新細明體" w:cs="新細明體"/>
                <w:kern w:val="0"/>
                <w:szCs w:val="24"/>
              </w:rPr>
            </w:pPr>
            <w:r w:rsidRPr="005E311C">
              <w:rPr>
                <w:rFonts w:ascii="細明體" w:eastAsia="細明體" w:hAnsi="細明體" w:cs="細明體"/>
                <w:kern w:val="0"/>
                <w:szCs w:val="24"/>
              </w:rPr>
              <w:t>trade_id</w:t>
            </w:r>
            <w:r w:rsidRPr="005E311C">
              <w:rPr>
                <w:rFonts w:ascii="新細明體" w:eastAsia="新細明體" w:hAnsi="新細明體" w:cs="新細明體"/>
                <w:kern w:val="0"/>
                <w:szCs w:val="24"/>
              </w:rPr>
              <w:t xml:space="preserve"> (UUID)</w:t>
            </w:r>
          </w:p>
        </w:tc>
        <w:tc>
          <w:tcPr>
            <w:tcW w:w="0" w:type="auto"/>
            <w:tcBorders>
              <w:top w:val="outset" w:sz="6" w:space="0" w:color="auto"/>
              <w:left w:val="outset" w:sz="6" w:space="0" w:color="auto"/>
              <w:bottom w:val="outset" w:sz="6" w:space="0" w:color="auto"/>
              <w:right w:val="outset" w:sz="6" w:space="0" w:color="auto"/>
            </w:tcBorders>
            <w:vAlign w:val="center"/>
            <w:hideMark/>
          </w:tcPr>
          <w:p w:rsidR="005E311C" w:rsidRPr="005E311C" w:rsidRDefault="005E311C" w:rsidP="005E311C">
            <w:pPr>
              <w:widowControl/>
              <w:spacing w:before="100" w:beforeAutospacing="1" w:after="100" w:afterAutospacing="1"/>
              <w:rPr>
                <w:rFonts w:ascii="新細明體" w:eastAsia="新細明體" w:hAnsi="新細明體" w:cs="新細明體"/>
                <w:kern w:val="0"/>
                <w:szCs w:val="24"/>
              </w:rPr>
            </w:pPr>
            <w:r w:rsidRPr="005E311C">
              <w:rPr>
                <w:rFonts w:ascii="細明體" w:eastAsia="細明體" w:hAnsi="細明體" w:cs="細明體"/>
                <w:kern w:val="0"/>
                <w:szCs w:val="24"/>
              </w:rPr>
              <w:t>symbol</w:t>
            </w:r>
            <w:r w:rsidRPr="005E311C">
              <w:rPr>
                <w:rFonts w:ascii="新細明體" w:eastAsia="新細明體" w:hAnsi="新細明體" w:cs="新細明體"/>
                <w:kern w:val="0"/>
                <w:szCs w:val="24"/>
              </w:rPr>
              <w:t xml:space="preserve"> (VARCHAR 10), </w:t>
            </w:r>
            <w:r w:rsidRPr="005E311C">
              <w:rPr>
                <w:rFonts w:ascii="細明體" w:eastAsia="細明體" w:hAnsi="細明體" w:cs="細明體"/>
                <w:kern w:val="0"/>
                <w:szCs w:val="24"/>
              </w:rPr>
              <w:t>qty</w:t>
            </w:r>
            <w:r w:rsidRPr="005E311C">
              <w:rPr>
                <w:rFonts w:ascii="新細明體" w:eastAsia="新細明體" w:hAnsi="新細明體" w:cs="新細明體"/>
                <w:kern w:val="0"/>
                <w:szCs w:val="24"/>
              </w:rPr>
              <w:t xml:space="preserve"> (INT), </w:t>
            </w:r>
            <w:r w:rsidRPr="005E311C">
              <w:rPr>
                <w:rFonts w:ascii="細明體" w:eastAsia="細明體" w:hAnsi="細明體" w:cs="細明體"/>
                <w:kern w:val="0"/>
                <w:szCs w:val="24"/>
              </w:rPr>
              <w:t>price</w:t>
            </w:r>
            <w:r w:rsidRPr="005E311C">
              <w:rPr>
                <w:rFonts w:ascii="新細明體" w:eastAsia="新細明體" w:hAnsi="新細明體" w:cs="新細明體"/>
                <w:kern w:val="0"/>
                <w:szCs w:val="24"/>
              </w:rPr>
              <w:t xml:space="preserve"> (DECIMAL 19,4), </w:t>
            </w:r>
            <w:r w:rsidRPr="005E311C">
              <w:rPr>
                <w:rFonts w:ascii="細明體" w:eastAsia="細明體" w:hAnsi="細明體" w:cs="細明體"/>
                <w:kern w:val="0"/>
                <w:szCs w:val="24"/>
              </w:rPr>
              <w:t>timestamp</w:t>
            </w:r>
            <w:r w:rsidRPr="005E311C">
              <w:rPr>
                <w:rFonts w:ascii="新細明體" w:eastAsia="新細明體" w:hAnsi="新細明體" w:cs="新細明體"/>
                <w:kern w:val="0"/>
                <w:szCs w:val="24"/>
              </w:rPr>
              <w:t xml:space="preserve"> (DATETIME)</w:t>
            </w:r>
          </w:p>
        </w:tc>
        <w:tc>
          <w:tcPr>
            <w:tcW w:w="0" w:type="auto"/>
            <w:tcBorders>
              <w:top w:val="outset" w:sz="6" w:space="0" w:color="auto"/>
              <w:left w:val="outset" w:sz="6" w:space="0" w:color="auto"/>
              <w:bottom w:val="outset" w:sz="6" w:space="0" w:color="auto"/>
              <w:right w:val="outset" w:sz="6" w:space="0" w:color="auto"/>
            </w:tcBorders>
            <w:vAlign w:val="center"/>
            <w:hideMark/>
          </w:tcPr>
          <w:p w:rsidR="005E311C" w:rsidRPr="005E311C" w:rsidRDefault="005E311C" w:rsidP="005E311C">
            <w:pPr>
              <w:widowControl/>
              <w:spacing w:before="100" w:beforeAutospacing="1" w:after="100" w:afterAutospacing="1"/>
              <w:rPr>
                <w:rFonts w:ascii="新細明體" w:eastAsia="新細明體" w:hAnsi="新細明體" w:cs="新細明體"/>
                <w:kern w:val="0"/>
                <w:szCs w:val="24"/>
              </w:rPr>
            </w:pPr>
            <w:r w:rsidRPr="005E311C">
              <w:rPr>
                <w:rFonts w:ascii="新細明體" w:eastAsia="新細明體" w:hAnsi="新細明體" w:cs="新細明體"/>
                <w:kern w:val="0"/>
                <w:szCs w:val="24"/>
              </w:rPr>
              <w:t xml:space="preserve">FK: </w:t>
            </w:r>
            <w:r w:rsidRPr="005E311C">
              <w:rPr>
                <w:rFonts w:ascii="細明體" w:eastAsia="細明體" w:hAnsi="細明體" w:cs="細明體"/>
                <w:kern w:val="0"/>
                <w:szCs w:val="24"/>
              </w:rPr>
              <w:t>user_id</w:t>
            </w:r>
          </w:p>
        </w:tc>
      </w:tr>
      <w:tr w:rsidR="005E311C" w:rsidRPr="005E311C" w:rsidTr="005E311C">
        <w:tc>
          <w:tcPr>
            <w:tcW w:w="0" w:type="auto"/>
            <w:tcBorders>
              <w:top w:val="outset" w:sz="6" w:space="0" w:color="auto"/>
              <w:left w:val="outset" w:sz="6" w:space="0" w:color="auto"/>
              <w:bottom w:val="outset" w:sz="6" w:space="0" w:color="auto"/>
              <w:right w:val="outset" w:sz="6" w:space="0" w:color="auto"/>
            </w:tcBorders>
            <w:vAlign w:val="center"/>
            <w:hideMark/>
          </w:tcPr>
          <w:p w:rsidR="005E311C" w:rsidRPr="005E311C" w:rsidRDefault="005E311C" w:rsidP="005E311C">
            <w:pPr>
              <w:widowControl/>
              <w:spacing w:before="100" w:beforeAutospacing="1" w:after="100" w:afterAutospacing="1"/>
              <w:rPr>
                <w:rFonts w:ascii="新細明體" w:eastAsia="新細明體" w:hAnsi="新細明體" w:cs="新細明體"/>
                <w:kern w:val="0"/>
                <w:szCs w:val="24"/>
              </w:rPr>
            </w:pPr>
            <w:r w:rsidRPr="005E311C">
              <w:rPr>
                <w:rFonts w:ascii="新細明體" w:eastAsia="新細明體" w:hAnsi="新細明體" w:cs="新細明體"/>
                <w:b/>
                <w:bCs/>
                <w:kern w:val="0"/>
                <w:szCs w:val="24"/>
              </w:rPr>
              <w:t>Stock_Watchlist</w:t>
            </w:r>
          </w:p>
        </w:tc>
        <w:tc>
          <w:tcPr>
            <w:tcW w:w="0" w:type="auto"/>
            <w:tcBorders>
              <w:top w:val="outset" w:sz="6" w:space="0" w:color="auto"/>
              <w:left w:val="outset" w:sz="6" w:space="0" w:color="auto"/>
              <w:bottom w:val="outset" w:sz="6" w:space="0" w:color="auto"/>
              <w:right w:val="outset" w:sz="6" w:space="0" w:color="auto"/>
            </w:tcBorders>
            <w:vAlign w:val="center"/>
            <w:hideMark/>
          </w:tcPr>
          <w:p w:rsidR="005E311C" w:rsidRPr="005E311C" w:rsidRDefault="005E311C" w:rsidP="005E311C">
            <w:pPr>
              <w:widowControl/>
              <w:spacing w:before="100" w:beforeAutospacing="1" w:after="100" w:afterAutospacing="1"/>
              <w:rPr>
                <w:rFonts w:ascii="新細明體" w:eastAsia="新細明體" w:hAnsi="新細明體" w:cs="新細明體"/>
                <w:kern w:val="0"/>
                <w:szCs w:val="24"/>
              </w:rPr>
            </w:pPr>
            <w:r w:rsidRPr="005E311C">
              <w:rPr>
                <w:rFonts w:ascii="細明體" w:eastAsia="細明體" w:hAnsi="細明體" w:cs="細明體"/>
                <w:kern w:val="0"/>
                <w:szCs w:val="24"/>
              </w:rPr>
              <w:t>watch_id</w:t>
            </w:r>
            <w:r w:rsidRPr="005E311C">
              <w:rPr>
                <w:rFonts w:ascii="新細明體" w:eastAsia="新細明體" w:hAnsi="新細明體" w:cs="新細明體"/>
                <w:kern w:val="0"/>
                <w:szCs w:val="24"/>
              </w:rPr>
              <w:t xml:space="preserve"> (UUID)</w:t>
            </w:r>
          </w:p>
        </w:tc>
        <w:tc>
          <w:tcPr>
            <w:tcW w:w="0" w:type="auto"/>
            <w:tcBorders>
              <w:top w:val="outset" w:sz="6" w:space="0" w:color="auto"/>
              <w:left w:val="outset" w:sz="6" w:space="0" w:color="auto"/>
              <w:bottom w:val="outset" w:sz="6" w:space="0" w:color="auto"/>
              <w:right w:val="outset" w:sz="6" w:space="0" w:color="auto"/>
            </w:tcBorders>
            <w:vAlign w:val="center"/>
            <w:hideMark/>
          </w:tcPr>
          <w:p w:rsidR="005E311C" w:rsidRPr="005E311C" w:rsidRDefault="005E311C" w:rsidP="005E311C">
            <w:pPr>
              <w:widowControl/>
              <w:spacing w:before="100" w:beforeAutospacing="1" w:after="100" w:afterAutospacing="1"/>
              <w:rPr>
                <w:rFonts w:ascii="新細明體" w:eastAsia="新細明體" w:hAnsi="新細明體" w:cs="新細明體"/>
                <w:kern w:val="0"/>
                <w:szCs w:val="24"/>
              </w:rPr>
            </w:pPr>
            <w:r w:rsidRPr="005E311C">
              <w:rPr>
                <w:rFonts w:ascii="細明體" w:eastAsia="細明體" w:hAnsi="細明體" w:cs="細明體"/>
                <w:kern w:val="0"/>
                <w:szCs w:val="24"/>
              </w:rPr>
              <w:t>symbol</w:t>
            </w:r>
            <w:r w:rsidRPr="005E311C">
              <w:rPr>
                <w:rFonts w:ascii="新細明體" w:eastAsia="新細明體" w:hAnsi="新細明體" w:cs="新細明體"/>
                <w:kern w:val="0"/>
                <w:szCs w:val="24"/>
              </w:rPr>
              <w:t xml:space="preserve"> (VARCHAR 10), </w:t>
            </w:r>
            <w:r w:rsidRPr="005E311C">
              <w:rPr>
                <w:rFonts w:ascii="細明體" w:eastAsia="細明體" w:hAnsi="細明體" w:cs="細明體"/>
                <w:kern w:val="0"/>
                <w:szCs w:val="24"/>
              </w:rPr>
              <w:t>target_price</w:t>
            </w:r>
            <w:r w:rsidRPr="005E311C">
              <w:rPr>
                <w:rFonts w:ascii="新細明體" w:eastAsia="新細明體" w:hAnsi="新細明體" w:cs="新細明體"/>
                <w:kern w:val="0"/>
                <w:szCs w:val="24"/>
              </w:rPr>
              <w:t xml:space="preserve"> (DECIMAL 19,4), </w:t>
            </w:r>
            <w:r w:rsidRPr="005E311C">
              <w:rPr>
                <w:rFonts w:ascii="細明體" w:eastAsia="細明體" w:hAnsi="細明體" w:cs="細明體"/>
                <w:kern w:val="0"/>
                <w:szCs w:val="24"/>
              </w:rPr>
              <w:t>alert_active</w:t>
            </w:r>
            <w:r w:rsidRPr="005E311C">
              <w:rPr>
                <w:rFonts w:ascii="新細明體" w:eastAsia="新細明體" w:hAnsi="新細明體" w:cs="新細明體"/>
                <w:kern w:val="0"/>
                <w:szCs w:val="24"/>
              </w:rPr>
              <w:t xml:space="preserve"> (BOOLEAN)</w:t>
            </w:r>
          </w:p>
        </w:tc>
        <w:tc>
          <w:tcPr>
            <w:tcW w:w="0" w:type="auto"/>
            <w:tcBorders>
              <w:top w:val="outset" w:sz="6" w:space="0" w:color="auto"/>
              <w:left w:val="outset" w:sz="6" w:space="0" w:color="auto"/>
              <w:bottom w:val="outset" w:sz="6" w:space="0" w:color="auto"/>
              <w:right w:val="outset" w:sz="6" w:space="0" w:color="auto"/>
            </w:tcBorders>
            <w:vAlign w:val="center"/>
            <w:hideMark/>
          </w:tcPr>
          <w:p w:rsidR="005E311C" w:rsidRPr="005E311C" w:rsidRDefault="005E311C" w:rsidP="005E311C">
            <w:pPr>
              <w:widowControl/>
              <w:spacing w:before="100" w:beforeAutospacing="1" w:after="100" w:afterAutospacing="1"/>
              <w:rPr>
                <w:rFonts w:ascii="新細明體" w:eastAsia="新細明體" w:hAnsi="新細明體" w:cs="新細明體"/>
                <w:kern w:val="0"/>
                <w:szCs w:val="24"/>
              </w:rPr>
            </w:pPr>
            <w:r w:rsidRPr="005E311C">
              <w:rPr>
                <w:rFonts w:ascii="新細明體" w:eastAsia="新細明體" w:hAnsi="新細明體" w:cs="新細明體"/>
                <w:kern w:val="0"/>
                <w:szCs w:val="24"/>
              </w:rPr>
              <w:t xml:space="preserve">FK: </w:t>
            </w:r>
            <w:r w:rsidRPr="005E311C">
              <w:rPr>
                <w:rFonts w:ascii="細明體" w:eastAsia="細明體" w:hAnsi="細明體" w:cs="細明體"/>
                <w:kern w:val="0"/>
                <w:szCs w:val="24"/>
              </w:rPr>
              <w:t>user_id</w:t>
            </w:r>
          </w:p>
        </w:tc>
      </w:tr>
    </w:tbl>
    <w:p w:rsidR="005E311C" w:rsidRPr="005E311C" w:rsidRDefault="005E311C" w:rsidP="005E311C">
      <w:pPr>
        <w:widowControl/>
        <w:spacing w:before="100" w:beforeAutospacing="1" w:after="100" w:afterAutospacing="1"/>
        <w:rPr>
          <w:rFonts w:ascii="新細明體" w:eastAsia="新細明體" w:hAnsi="新細明體" w:cs="新細明體"/>
          <w:kern w:val="0"/>
          <w:szCs w:val="24"/>
        </w:rPr>
      </w:pPr>
      <w:r w:rsidRPr="005E311C">
        <w:rPr>
          <w:rFonts w:ascii="新細明體" w:eastAsia="新細明體" w:hAnsi="新細明體" w:cs="新細明體"/>
          <w:b/>
          <w:bCs/>
          <w:kern w:val="0"/>
          <w:szCs w:val="24"/>
        </w:rPr>
        <w:t>Extensibility Layer:</w:t>
      </w:r>
      <w:r w:rsidRPr="005E311C">
        <w:rPr>
          <w:rFonts w:ascii="新細明體" w:eastAsia="新細明體" w:hAnsi="新細明體" w:cs="新細明體"/>
          <w:kern w:val="0"/>
          <w:szCs w:val="24"/>
        </w:rPr>
        <w:t xml:space="preserve"> All tables include a </w:t>
      </w:r>
      <w:r w:rsidRPr="005E311C">
        <w:rPr>
          <w:rFonts w:ascii="細明體" w:eastAsia="細明體" w:hAnsi="細明體" w:cs="細明體"/>
          <w:kern w:val="0"/>
          <w:szCs w:val="24"/>
        </w:rPr>
        <w:t>metadata</w:t>
      </w:r>
      <w:r w:rsidRPr="005E311C">
        <w:rPr>
          <w:rFonts w:ascii="新細明體" w:eastAsia="新細明體" w:hAnsi="新細明體" w:cs="新細明體"/>
          <w:kern w:val="0"/>
          <w:szCs w:val="24"/>
        </w:rPr>
        <w:t xml:space="preserve"> (JSONB) column. This allows the "Antigravity 2.0" team to add features like tax-lot tracking or multi-broker identifiers without performing a destructive schema migration.</w:t>
      </w:r>
    </w:p>
    <w:p w:rsidR="005E311C" w:rsidRPr="005E311C" w:rsidRDefault="005E311C" w:rsidP="005E311C">
      <w:pPr>
        <w:widowControl/>
        <w:spacing w:before="100" w:beforeAutospacing="1" w:after="100" w:afterAutospacing="1"/>
        <w:outlineLvl w:val="1"/>
        <w:rPr>
          <w:rFonts w:ascii="新細明體" w:eastAsia="新細明體" w:hAnsi="新細明體" w:cs="新細明體"/>
          <w:b/>
          <w:bCs/>
          <w:kern w:val="0"/>
          <w:sz w:val="36"/>
          <w:szCs w:val="36"/>
        </w:rPr>
      </w:pPr>
      <w:r w:rsidRPr="005E311C">
        <w:rPr>
          <w:rFonts w:ascii="新細明體" w:eastAsia="新細明體" w:hAnsi="新細明體" w:cs="新細明體"/>
          <w:b/>
          <w:bCs/>
          <w:kern w:val="0"/>
          <w:sz w:val="36"/>
          <w:szCs w:val="36"/>
        </w:rPr>
        <w:t>6. Security Framework &amp; Personal Data Protection</w:t>
      </w:r>
    </w:p>
    <w:p w:rsidR="005E311C" w:rsidRPr="005E311C" w:rsidRDefault="005E311C" w:rsidP="005E311C">
      <w:pPr>
        <w:widowControl/>
        <w:spacing w:before="100" w:beforeAutospacing="1" w:after="100" w:afterAutospacing="1"/>
        <w:rPr>
          <w:rFonts w:ascii="新細明體" w:eastAsia="新細明體" w:hAnsi="新細明體" w:cs="新細明體"/>
          <w:kern w:val="0"/>
          <w:szCs w:val="24"/>
        </w:rPr>
      </w:pPr>
      <w:r w:rsidRPr="005E311C">
        <w:rPr>
          <w:rFonts w:ascii="新細明體" w:eastAsia="新細明體" w:hAnsi="新細明體" w:cs="新細明體"/>
          <w:kern w:val="0"/>
          <w:szCs w:val="24"/>
        </w:rPr>
        <w:t>Given the sensitive nature of financial holdings, the application assumes a professional threat model, implementing security at every layer.</w:t>
      </w:r>
    </w:p>
    <w:p w:rsidR="005E311C" w:rsidRPr="005E311C" w:rsidRDefault="005E311C" w:rsidP="005E311C">
      <w:pPr>
        <w:widowControl/>
        <w:numPr>
          <w:ilvl w:val="0"/>
          <w:numId w:val="4"/>
        </w:numPr>
        <w:spacing w:before="100" w:beforeAutospacing="1" w:after="100" w:afterAutospacing="1"/>
        <w:rPr>
          <w:rFonts w:ascii="新細明體" w:eastAsia="新細明體" w:hAnsi="新細明體" w:cs="新細明體"/>
          <w:kern w:val="0"/>
          <w:szCs w:val="24"/>
        </w:rPr>
      </w:pPr>
      <w:r w:rsidRPr="005E311C">
        <w:rPr>
          <w:rFonts w:ascii="新細明體" w:eastAsia="新細明體" w:hAnsi="新細明體" w:cs="新細明體"/>
          <w:b/>
          <w:bCs/>
          <w:kern w:val="0"/>
          <w:szCs w:val="24"/>
        </w:rPr>
        <w:t>Data at Rest:</w:t>
      </w:r>
      <w:r w:rsidRPr="005E311C">
        <w:rPr>
          <w:rFonts w:ascii="新細明體" w:eastAsia="新細明體" w:hAnsi="新細明體" w:cs="新細明體"/>
          <w:kern w:val="0"/>
          <w:szCs w:val="24"/>
        </w:rPr>
        <w:t xml:space="preserve"> All sensitive columns (API keys, trade quantities, purchase prices) are encrypted using </w:t>
      </w:r>
      <w:r w:rsidRPr="005E311C">
        <w:rPr>
          <w:rFonts w:ascii="新細明體" w:eastAsia="新細明體" w:hAnsi="新細明體" w:cs="新細明體"/>
          <w:b/>
          <w:bCs/>
          <w:kern w:val="0"/>
          <w:szCs w:val="24"/>
        </w:rPr>
        <w:t>AES-256-GCM</w:t>
      </w:r>
      <w:r w:rsidRPr="005E311C">
        <w:rPr>
          <w:rFonts w:ascii="新細明體" w:eastAsia="新細明體" w:hAnsi="新細明體" w:cs="新細明體"/>
          <w:kern w:val="0"/>
          <w:szCs w:val="24"/>
        </w:rPr>
        <w:t>. The encryption key is derived from the user's biometric or device-level master key.</w:t>
      </w:r>
    </w:p>
    <w:p w:rsidR="005E311C" w:rsidRPr="005E311C" w:rsidRDefault="005E311C" w:rsidP="005E311C">
      <w:pPr>
        <w:widowControl/>
        <w:numPr>
          <w:ilvl w:val="0"/>
          <w:numId w:val="4"/>
        </w:numPr>
        <w:spacing w:before="100" w:beforeAutospacing="1" w:after="100" w:afterAutospacing="1"/>
        <w:rPr>
          <w:rFonts w:ascii="新細明體" w:eastAsia="新細明體" w:hAnsi="新細明體" w:cs="新細明體"/>
          <w:kern w:val="0"/>
          <w:szCs w:val="24"/>
        </w:rPr>
      </w:pPr>
      <w:r w:rsidRPr="005E311C">
        <w:rPr>
          <w:rFonts w:ascii="新細明體" w:eastAsia="新細明體" w:hAnsi="新細明體" w:cs="新細明體"/>
          <w:b/>
          <w:bCs/>
          <w:kern w:val="0"/>
          <w:szCs w:val="24"/>
        </w:rPr>
        <w:t>Data in Transit:</w:t>
      </w:r>
      <w:r w:rsidRPr="005E311C">
        <w:rPr>
          <w:rFonts w:ascii="新細明體" w:eastAsia="新細明體" w:hAnsi="新細明體" w:cs="新細明體"/>
          <w:kern w:val="0"/>
          <w:szCs w:val="24"/>
        </w:rPr>
        <w:t xml:space="preserve"> All API communication is restricted to </w:t>
      </w:r>
      <w:r w:rsidRPr="005E311C">
        <w:rPr>
          <w:rFonts w:ascii="新細明體" w:eastAsia="新細明體" w:hAnsi="新細明體" w:cs="新細明體"/>
          <w:b/>
          <w:bCs/>
          <w:kern w:val="0"/>
          <w:szCs w:val="24"/>
        </w:rPr>
        <w:t>TLS 1.3</w:t>
      </w:r>
      <w:r w:rsidRPr="005E311C">
        <w:rPr>
          <w:rFonts w:ascii="新細明體" w:eastAsia="新細明體" w:hAnsi="新細明體" w:cs="新細明體"/>
          <w:kern w:val="0"/>
          <w:szCs w:val="24"/>
        </w:rPr>
        <w:t xml:space="preserve">. The application implements </w:t>
      </w:r>
      <w:r w:rsidRPr="005E311C">
        <w:rPr>
          <w:rFonts w:ascii="新細明體" w:eastAsia="新細明體" w:hAnsi="新細明體" w:cs="新細明體"/>
          <w:b/>
          <w:bCs/>
          <w:kern w:val="0"/>
          <w:szCs w:val="24"/>
        </w:rPr>
        <w:t>Certificate Pinning</w:t>
      </w:r>
      <w:r w:rsidRPr="005E311C">
        <w:rPr>
          <w:rFonts w:ascii="新細明體" w:eastAsia="新細明體" w:hAnsi="新細明體" w:cs="新細明體"/>
          <w:kern w:val="0"/>
          <w:szCs w:val="24"/>
        </w:rPr>
        <w:t xml:space="preserve"> to prevent Man-in-the-Middle (MITM) attacks during stock data retrieval.</w:t>
      </w:r>
    </w:p>
    <w:p w:rsidR="005E311C" w:rsidRPr="005E311C" w:rsidRDefault="005E311C" w:rsidP="005E311C">
      <w:pPr>
        <w:widowControl/>
        <w:numPr>
          <w:ilvl w:val="0"/>
          <w:numId w:val="4"/>
        </w:numPr>
        <w:spacing w:before="100" w:beforeAutospacing="1" w:after="100" w:afterAutospacing="1"/>
        <w:rPr>
          <w:rFonts w:ascii="新細明體" w:eastAsia="新細明體" w:hAnsi="新細明體" w:cs="新細明體"/>
          <w:kern w:val="0"/>
          <w:szCs w:val="24"/>
        </w:rPr>
      </w:pPr>
      <w:r w:rsidRPr="005E311C">
        <w:rPr>
          <w:rFonts w:ascii="新細明體" w:eastAsia="新細明體" w:hAnsi="新細明體" w:cs="新細明體"/>
          <w:b/>
          <w:bCs/>
          <w:kern w:val="0"/>
          <w:szCs w:val="24"/>
        </w:rPr>
        <w:t>Key Isolation:</w:t>
      </w:r>
      <w:r w:rsidRPr="005E311C">
        <w:rPr>
          <w:rFonts w:ascii="新細明體" w:eastAsia="新細明體" w:hAnsi="新細明體" w:cs="新細明體"/>
          <w:kern w:val="0"/>
          <w:szCs w:val="24"/>
        </w:rPr>
        <w:t xml:space="preserve"> The Logic Engine does not have direct access to the </w:t>
      </w:r>
      <w:r w:rsidRPr="005E311C">
        <w:rPr>
          <w:rFonts w:ascii="細明體" w:eastAsia="細明體" w:hAnsi="細明體" w:cs="細明體"/>
          <w:kern w:val="0"/>
          <w:szCs w:val="24"/>
        </w:rPr>
        <w:t>enc_api_key</w:t>
      </w:r>
      <w:r w:rsidRPr="005E311C">
        <w:rPr>
          <w:rFonts w:ascii="新細明體" w:eastAsia="新細明體" w:hAnsi="新細明體" w:cs="新細明體"/>
          <w:kern w:val="0"/>
          <w:szCs w:val="24"/>
        </w:rPr>
        <w:t>. Instead, it communicates with a "Secure Proxy Service" within the app that injects the key into the request header at the last possible moment, isolating the secret from the rest of the application logs.</w:t>
      </w:r>
    </w:p>
    <w:p w:rsidR="005E311C" w:rsidRPr="005E311C" w:rsidRDefault="005E311C" w:rsidP="005E311C">
      <w:pPr>
        <w:widowControl/>
        <w:spacing w:before="100" w:beforeAutospacing="1" w:after="100" w:afterAutospacing="1"/>
        <w:rPr>
          <w:rFonts w:ascii="新細明體" w:eastAsia="新細明體" w:hAnsi="新細明體" w:cs="新細明體"/>
          <w:kern w:val="0"/>
          <w:szCs w:val="24"/>
        </w:rPr>
      </w:pPr>
      <w:r w:rsidRPr="005E311C">
        <w:rPr>
          <w:rFonts w:ascii="新細明體" w:eastAsia="新細明體" w:hAnsi="新細明體" w:cs="新細明體"/>
          <w:kern w:val="0"/>
          <w:szCs w:val="24"/>
        </w:rPr>
        <w:t>This posture ensures that the application is secure from the outset, providing a foundation for future features like automated trade execution.</w:t>
      </w:r>
    </w:p>
    <w:p w:rsidR="005E311C" w:rsidRPr="005E311C" w:rsidRDefault="005E311C" w:rsidP="005E311C">
      <w:pPr>
        <w:widowControl/>
        <w:spacing w:before="100" w:beforeAutospacing="1" w:after="100" w:afterAutospacing="1"/>
        <w:outlineLvl w:val="1"/>
        <w:rPr>
          <w:rFonts w:ascii="新細明體" w:eastAsia="新細明體" w:hAnsi="新細明體" w:cs="新細明體"/>
          <w:b/>
          <w:bCs/>
          <w:kern w:val="0"/>
          <w:sz w:val="36"/>
          <w:szCs w:val="36"/>
        </w:rPr>
      </w:pPr>
      <w:r w:rsidRPr="005E311C">
        <w:rPr>
          <w:rFonts w:ascii="新細明體" w:eastAsia="新細明體" w:hAnsi="新細明體" w:cs="新細明體"/>
          <w:b/>
          <w:bCs/>
          <w:kern w:val="0"/>
          <w:sz w:val="36"/>
          <w:szCs w:val="36"/>
        </w:rPr>
        <w:lastRenderedPageBreak/>
        <w:t>7. Scalability Roadmap &amp; Future-Proofing</w:t>
      </w:r>
    </w:p>
    <w:p w:rsidR="005E311C" w:rsidRPr="005E311C" w:rsidRDefault="005E311C" w:rsidP="005E311C">
      <w:pPr>
        <w:widowControl/>
        <w:spacing w:before="100" w:beforeAutospacing="1" w:after="100" w:afterAutospacing="1"/>
        <w:rPr>
          <w:rFonts w:ascii="新細明體" w:eastAsia="新細明體" w:hAnsi="新細明體" w:cs="新細明體"/>
          <w:kern w:val="0"/>
          <w:szCs w:val="24"/>
        </w:rPr>
      </w:pPr>
      <w:r w:rsidRPr="005E311C">
        <w:rPr>
          <w:rFonts w:ascii="新細明體" w:eastAsia="新細明體" w:hAnsi="新細明體" w:cs="新細明體"/>
          <w:kern w:val="0"/>
          <w:szCs w:val="24"/>
        </w:rPr>
        <w:t>Strategic foresight ensures this tool can grow into a comprehensive financial suite. The modular architecture is designed to support the following expansion paths:</w:t>
      </w:r>
    </w:p>
    <w:p w:rsidR="005E311C" w:rsidRPr="005E311C" w:rsidRDefault="005E311C" w:rsidP="005E311C">
      <w:pPr>
        <w:widowControl/>
        <w:numPr>
          <w:ilvl w:val="0"/>
          <w:numId w:val="5"/>
        </w:numPr>
        <w:spacing w:before="100" w:beforeAutospacing="1" w:after="100" w:afterAutospacing="1"/>
        <w:rPr>
          <w:rFonts w:ascii="新細明體" w:eastAsia="新細明體" w:hAnsi="新細明體" w:cs="新細明體"/>
          <w:kern w:val="0"/>
          <w:szCs w:val="24"/>
        </w:rPr>
      </w:pPr>
      <w:r w:rsidRPr="005E311C">
        <w:rPr>
          <w:rFonts w:ascii="新細明體" w:eastAsia="新細明體" w:hAnsi="新細明體" w:cs="新細明體"/>
          <w:b/>
          <w:bCs/>
          <w:kern w:val="0"/>
          <w:szCs w:val="24"/>
        </w:rPr>
        <w:t>Multi-Broker Execution:</w:t>
      </w:r>
      <w:r w:rsidRPr="005E311C">
        <w:rPr>
          <w:rFonts w:ascii="新細明體" w:eastAsia="新細明體" w:hAnsi="新細明體" w:cs="新細明體"/>
          <w:kern w:val="0"/>
          <w:szCs w:val="24"/>
        </w:rPr>
        <w:t xml:space="preserve"> Leveraging the Data Management Layer to connect via OAuth to brokerage APIs for direct trade placement based on the Rounding Algorithm's suggestions.</w:t>
      </w:r>
    </w:p>
    <w:p w:rsidR="005E311C" w:rsidRPr="005E311C" w:rsidRDefault="005E311C" w:rsidP="005E311C">
      <w:pPr>
        <w:widowControl/>
        <w:numPr>
          <w:ilvl w:val="0"/>
          <w:numId w:val="5"/>
        </w:numPr>
        <w:spacing w:before="100" w:beforeAutospacing="1" w:after="100" w:afterAutospacing="1"/>
        <w:rPr>
          <w:rFonts w:ascii="新細明體" w:eastAsia="新細明體" w:hAnsi="新細明體" w:cs="新細明體"/>
          <w:kern w:val="0"/>
          <w:szCs w:val="24"/>
        </w:rPr>
      </w:pPr>
      <w:r w:rsidRPr="005E311C">
        <w:rPr>
          <w:rFonts w:ascii="新細明體" w:eastAsia="新細明體" w:hAnsi="新細明體" w:cs="新細明體"/>
          <w:b/>
          <w:bCs/>
          <w:kern w:val="0"/>
          <w:szCs w:val="24"/>
        </w:rPr>
        <w:t>Advanced Technical Analysis:</w:t>
      </w:r>
      <w:r w:rsidRPr="005E311C">
        <w:rPr>
          <w:rFonts w:ascii="新細明體" w:eastAsia="新細明體" w:hAnsi="新細明體" w:cs="新細明體"/>
          <w:kern w:val="0"/>
          <w:szCs w:val="24"/>
        </w:rPr>
        <w:t xml:space="preserve"> Integrating a Technical Indicator module into the Logic Engine to overlay RSI or MACD data on top of the rounding suggestions.</w:t>
      </w:r>
    </w:p>
    <w:p w:rsidR="005E311C" w:rsidRPr="005E311C" w:rsidRDefault="005E311C" w:rsidP="005E311C">
      <w:pPr>
        <w:widowControl/>
        <w:numPr>
          <w:ilvl w:val="0"/>
          <w:numId w:val="5"/>
        </w:numPr>
        <w:spacing w:before="100" w:beforeAutospacing="1" w:after="100" w:afterAutospacing="1"/>
        <w:rPr>
          <w:rFonts w:ascii="新細明體" w:eastAsia="新細明體" w:hAnsi="新細明體" w:cs="新細明體"/>
          <w:kern w:val="0"/>
          <w:szCs w:val="24"/>
        </w:rPr>
      </w:pPr>
      <w:r w:rsidRPr="005E311C">
        <w:rPr>
          <w:rFonts w:ascii="新細明體" w:eastAsia="新細明體" w:hAnsi="新細明體" w:cs="新細明體"/>
          <w:b/>
          <w:bCs/>
          <w:kern w:val="0"/>
          <w:szCs w:val="24"/>
        </w:rPr>
        <w:t>Automated Portfolio Rebalancing:</w:t>
      </w:r>
      <w:r w:rsidRPr="005E311C">
        <w:rPr>
          <w:rFonts w:ascii="新細明體" w:eastAsia="新細明體" w:hAnsi="新細明體" w:cs="新細明體"/>
          <w:kern w:val="0"/>
          <w:szCs w:val="24"/>
        </w:rPr>
        <w:t xml:space="preserve"> Expanding the "Combination" logic to suggest sells and buys across a whole portfolio to return to a target asset allocation.</w:t>
      </w:r>
    </w:p>
    <w:p w:rsidR="005E311C" w:rsidRPr="005E311C" w:rsidRDefault="005E311C" w:rsidP="005E311C">
      <w:pPr>
        <w:widowControl/>
        <w:spacing w:before="100" w:beforeAutospacing="1" w:after="100" w:afterAutospacing="1"/>
        <w:rPr>
          <w:rFonts w:ascii="新細明體" w:eastAsia="新細明體" w:hAnsi="新細明體" w:cs="新細明體"/>
          <w:kern w:val="0"/>
          <w:szCs w:val="24"/>
        </w:rPr>
      </w:pPr>
      <w:r w:rsidRPr="005E311C">
        <w:rPr>
          <w:rFonts w:ascii="新細明體" w:eastAsia="新細明體" w:hAnsi="新細明體" w:cs="新細明體"/>
          <w:kern w:val="0"/>
          <w:szCs w:val="24"/>
        </w:rPr>
        <w:t>This specification provides the definitive blueprint for the "Antigravity 2.0" phase, delivering a professional, secure, and implementation-ready architecture for the Stock Management &amp; Optimization Assistant.</w:t>
      </w:r>
    </w:p>
    <w:p w:rsidR="0023733A" w:rsidRDefault="0023733A">
      <w:bookmarkStart w:id="0" w:name="_GoBack"/>
      <w:bookmarkEnd w:id="0"/>
    </w:p>
    <w:sectPr w:rsidR="0023733A">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8008DE"/>
    <w:multiLevelType w:val="multilevel"/>
    <w:tmpl w:val="DE981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2AA52A5"/>
    <w:multiLevelType w:val="multilevel"/>
    <w:tmpl w:val="ADB44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8232510"/>
    <w:multiLevelType w:val="multilevel"/>
    <w:tmpl w:val="0778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74C59F1"/>
    <w:multiLevelType w:val="multilevel"/>
    <w:tmpl w:val="84983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84208F4"/>
    <w:multiLevelType w:val="multilevel"/>
    <w:tmpl w:val="64E0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7954"/>
    <w:rsid w:val="00117954"/>
    <w:rsid w:val="0023733A"/>
    <w:rsid w:val="005E311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paragraph" w:styleId="1">
    <w:name w:val="heading 1"/>
    <w:basedOn w:val="a"/>
    <w:link w:val="10"/>
    <w:uiPriority w:val="9"/>
    <w:qFormat/>
    <w:rsid w:val="005E311C"/>
    <w:pPr>
      <w:widowControl/>
      <w:spacing w:before="100" w:beforeAutospacing="1" w:after="100" w:afterAutospacing="1"/>
      <w:outlineLvl w:val="0"/>
    </w:pPr>
    <w:rPr>
      <w:rFonts w:ascii="新細明體" w:eastAsia="新細明體" w:hAnsi="新細明體" w:cs="新細明體"/>
      <w:b/>
      <w:bCs/>
      <w:kern w:val="36"/>
      <w:sz w:val="48"/>
      <w:szCs w:val="48"/>
    </w:rPr>
  </w:style>
  <w:style w:type="paragraph" w:styleId="2">
    <w:name w:val="heading 2"/>
    <w:basedOn w:val="a"/>
    <w:link w:val="20"/>
    <w:uiPriority w:val="9"/>
    <w:qFormat/>
    <w:rsid w:val="005E311C"/>
    <w:pPr>
      <w:widowControl/>
      <w:spacing w:before="100" w:beforeAutospacing="1" w:after="100" w:afterAutospacing="1"/>
      <w:outlineLvl w:val="1"/>
    </w:pPr>
    <w:rPr>
      <w:rFonts w:ascii="新細明體" w:eastAsia="新細明體" w:hAnsi="新細明體" w:cs="新細明體"/>
      <w:b/>
      <w:bCs/>
      <w:kern w:val="0"/>
      <w:sz w:val="36"/>
      <w:szCs w:val="36"/>
    </w:rPr>
  </w:style>
  <w:style w:type="paragraph" w:styleId="3">
    <w:name w:val="heading 3"/>
    <w:basedOn w:val="a"/>
    <w:link w:val="30"/>
    <w:uiPriority w:val="9"/>
    <w:qFormat/>
    <w:rsid w:val="005E311C"/>
    <w:pPr>
      <w:widowControl/>
      <w:spacing w:before="100" w:beforeAutospacing="1" w:after="100" w:afterAutospacing="1"/>
      <w:outlineLvl w:val="2"/>
    </w:pPr>
    <w:rPr>
      <w:rFonts w:ascii="新細明體" w:eastAsia="新細明體" w:hAnsi="新細明體" w:cs="新細明體"/>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5E311C"/>
    <w:rPr>
      <w:rFonts w:ascii="新細明體" w:eastAsia="新細明體" w:hAnsi="新細明體" w:cs="新細明體"/>
      <w:b/>
      <w:bCs/>
      <w:kern w:val="36"/>
      <w:sz w:val="48"/>
      <w:szCs w:val="48"/>
    </w:rPr>
  </w:style>
  <w:style w:type="character" w:customStyle="1" w:styleId="20">
    <w:name w:val="標題 2 字元"/>
    <w:basedOn w:val="a0"/>
    <w:link w:val="2"/>
    <w:uiPriority w:val="9"/>
    <w:rsid w:val="005E311C"/>
    <w:rPr>
      <w:rFonts w:ascii="新細明體" w:eastAsia="新細明體" w:hAnsi="新細明體" w:cs="新細明體"/>
      <w:b/>
      <w:bCs/>
      <w:kern w:val="0"/>
      <w:sz w:val="36"/>
      <w:szCs w:val="36"/>
    </w:rPr>
  </w:style>
  <w:style w:type="character" w:customStyle="1" w:styleId="30">
    <w:name w:val="標題 3 字元"/>
    <w:basedOn w:val="a0"/>
    <w:link w:val="3"/>
    <w:uiPriority w:val="9"/>
    <w:rsid w:val="005E311C"/>
    <w:rPr>
      <w:rFonts w:ascii="新細明體" w:eastAsia="新細明體" w:hAnsi="新細明體" w:cs="新細明體"/>
      <w:b/>
      <w:bCs/>
      <w:kern w:val="0"/>
      <w:sz w:val="27"/>
      <w:szCs w:val="27"/>
    </w:rPr>
  </w:style>
  <w:style w:type="paragraph" w:styleId="Web">
    <w:name w:val="Normal (Web)"/>
    <w:basedOn w:val="a"/>
    <w:uiPriority w:val="99"/>
    <w:unhideWhenUsed/>
    <w:rsid w:val="005E311C"/>
    <w:pPr>
      <w:widowControl/>
      <w:spacing w:before="100" w:beforeAutospacing="1" w:after="100" w:afterAutospacing="1"/>
    </w:pPr>
    <w:rPr>
      <w:rFonts w:ascii="新細明體" w:eastAsia="新細明體" w:hAnsi="新細明體" w:cs="新細明體"/>
      <w:kern w:val="0"/>
      <w:szCs w:val="24"/>
    </w:rPr>
  </w:style>
  <w:style w:type="character" w:styleId="HTML">
    <w:name w:val="HTML Code"/>
    <w:basedOn w:val="a0"/>
    <w:uiPriority w:val="99"/>
    <w:semiHidden/>
    <w:unhideWhenUsed/>
    <w:rsid w:val="005E311C"/>
    <w:rPr>
      <w:rFonts w:ascii="細明體" w:eastAsia="細明體" w:hAnsi="細明體" w:cs="細明體"/>
      <w:sz w:val="24"/>
      <w:szCs w:val="24"/>
    </w:rPr>
  </w:style>
  <w:style w:type="paragraph" w:styleId="HTML0">
    <w:name w:val="HTML Preformatted"/>
    <w:basedOn w:val="a"/>
    <w:link w:val="HTML1"/>
    <w:uiPriority w:val="99"/>
    <w:semiHidden/>
    <w:unhideWhenUsed/>
    <w:rsid w:val="005E311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szCs w:val="24"/>
    </w:rPr>
  </w:style>
  <w:style w:type="character" w:customStyle="1" w:styleId="HTML1">
    <w:name w:val="HTML 預設格式 字元"/>
    <w:basedOn w:val="a0"/>
    <w:link w:val="HTML0"/>
    <w:uiPriority w:val="99"/>
    <w:semiHidden/>
    <w:rsid w:val="005E311C"/>
    <w:rPr>
      <w:rFonts w:ascii="細明體" w:eastAsia="細明體" w:hAnsi="細明體" w:cs="細明體"/>
      <w:kern w:val="0"/>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paragraph" w:styleId="1">
    <w:name w:val="heading 1"/>
    <w:basedOn w:val="a"/>
    <w:link w:val="10"/>
    <w:uiPriority w:val="9"/>
    <w:qFormat/>
    <w:rsid w:val="005E311C"/>
    <w:pPr>
      <w:widowControl/>
      <w:spacing w:before="100" w:beforeAutospacing="1" w:after="100" w:afterAutospacing="1"/>
      <w:outlineLvl w:val="0"/>
    </w:pPr>
    <w:rPr>
      <w:rFonts w:ascii="新細明體" w:eastAsia="新細明體" w:hAnsi="新細明體" w:cs="新細明體"/>
      <w:b/>
      <w:bCs/>
      <w:kern w:val="36"/>
      <w:sz w:val="48"/>
      <w:szCs w:val="48"/>
    </w:rPr>
  </w:style>
  <w:style w:type="paragraph" w:styleId="2">
    <w:name w:val="heading 2"/>
    <w:basedOn w:val="a"/>
    <w:link w:val="20"/>
    <w:uiPriority w:val="9"/>
    <w:qFormat/>
    <w:rsid w:val="005E311C"/>
    <w:pPr>
      <w:widowControl/>
      <w:spacing w:before="100" w:beforeAutospacing="1" w:after="100" w:afterAutospacing="1"/>
      <w:outlineLvl w:val="1"/>
    </w:pPr>
    <w:rPr>
      <w:rFonts w:ascii="新細明體" w:eastAsia="新細明體" w:hAnsi="新細明體" w:cs="新細明體"/>
      <w:b/>
      <w:bCs/>
      <w:kern w:val="0"/>
      <w:sz w:val="36"/>
      <w:szCs w:val="36"/>
    </w:rPr>
  </w:style>
  <w:style w:type="paragraph" w:styleId="3">
    <w:name w:val="heading 3"/>
    <w:basedOn w:val="a"/>
    <w:link w:val="30"/>
    <w:uiPriority w:val="9"/>
    <w:qFormat/>
    <w:rsid w:val="005E311C"/>
    <w:pPr>
      <w:widowControl/>
      <w:spacing w:before="100" w:beforeAutospacing="1" w:after="100" w:afterAutospacing="1"/>
      <w:outlineLvl w:val="2"/>
    </w:pPr>
    <w:rPr>
      <w:rFonts w:ascii="新細明體" w:eastAsia="新細明體" w:hAnsi="新細明體" w:cs="新細明體"/>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5E311C"/>
    <w:rPr>
      <w:rFonts w:ascii="新細明體" w:eastAsia="新細明體" w:hAnsi="新細明體" w:cs="新細明體"/>
      <w:b/>
      <w:bCs/>
      <w:kern w:val="36"/>
      <w:sz w:val="48"/>
      <w:szCs w:val="48"/>
    </w:rPr>
  </w:style>
  <w:style w:type="character" w:customStyle="1" w:styleId="20">
    <w:name w:val="標題 2 字元"/>
    <w:basedOn w:val="a0"/>
    <w:link w:val="2"/>
    <w:uiPriority w:val="9"/>
    <w:rsid w:val="005E311C"/>
    <w:rPr>
      <w:rFonts w:ascii="新細明體" w:eastAsia="新細明體" w:hAnsi="新細明體" w:cs="新細明體"/>
      <w:b/>
      <w:bCs/>
      <w:kern w:val="0"/>
      <w:sz w:val="36"/>
      <w:szCs w:val="36"/>
    </w:rPr>
  </w:style>
  <w:style w:type="character" w:customStyle="1" w:styleId="30">
    <w:name w:val="標題 3 字元"/>
    <w:basedOn w:val="a0"/>
    <w:link w:val="3"/>
    <w:uiPriority w:val="9"/>
    <w:rsid w:val="005E311C"/>
    <w:rPr>
      <w:rFonts w:ascii="新細明體" w:eastAsia="新細明體" w:hAnsi="新細明體" w:cs="新細明體"/>
      <w:b/>
      <w:bCs/>
      <w:kern w:val="0"/>
      <w:sz w:val="27"/>
      <w:szCs w:val="27"/>
    </w:rPr>
  </w:style>
  <w:style w:type="paragraph" w:styleId="Web">
    <w:name w:val="Normal (Web)"/>
    <w:basedOn w:val="a"/>
    <w:uiPriority w:val="99"/>
    <w:unhideWhenUsed/>
    <w:rsid w:val="005E311C"/>
    <w:pPr>
      <w:widowControl/>
      <w:spacing w:before="100" w:beforeAutospacing="1" w:after="100" w:afterAutospacing="1"/>
    </w:pPr>
    <w:rPr>
      <w:rFonts w:ascii="新細明體" w:eastAsia="新細明體" w:hAnsi="新細明體" w:cs="新細明體"/>
      <w:kern w:val="0"/>
      <w:szCs w:val="24"/>
    </w:rPr>
  </w:style>
  <w:style w:type="character" w:styleId="HTML">
    <w:name w:val="HTML Code"/>
    <w:basedOn w:val="a0"/>
    <w:uiPriority w:val="99"/>
    <w:semiHidden/>
    <w:unhideWhenUsed/>
    <w:rsid w:val="005E311C"/>
    <w:rPr>
      <w:rFonts w:ascii="細明體" w:eastAsia="細明體" w:hAnsi="細明體" w:cs="細明體"/>
      <w:sz w:val="24"/>
      <w:szCs w:val="24"/>
    </w:rPr>
  </w:style>
  <w:style w:type="paragraph" w:styleId="HTML0">
    <w:name w:val="HTML Preformatted"/>
    <w:basedOn w:val="a"/>
    <w:link w:val="HTML1"/>
    <w:uiPriority w:val="99"/>
    <w:semiHidden/>
    <w:unhideWhenUsed/>
    <w:rsid w:val="005E311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szCs w:val="24"/>
    </w:rPr>
  </w:style>
  <w:style w:type="character" w:customStyle="1" w:styleId="HTML1">
    <w:name w:val="HTML 預設格式 字元"/>
    <w:basedOn w:val="a0"/>
    <w:link w:val="HTML0"/>
    <w:uiPriority w:val="99"/>
    <w:semiHidden/>
    <w:rsid w:val="005E311C"/>
    <w:rPr>
      <w:rFonts w:ascii="細明體" w:eastAsia="細明體" w:hAnsi="細明體" w:cs="細明體"/>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55669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1261</Words>
  <Characters>7191</Characters>
  <Application>Microsoft Office Word</Application>
  <DocSecurity>0</DocSecurity>
  <Lines>59</Lines>
  <Paragraphs>16</Paragraphs>
  <ScaleCrop>false</ScaleCrop>
  <Company/>
  <LinksUpToDate>false</LinksUpToDate>
  <CharactersWithSpaces>8436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Edison</dc:creator>
  <cp:keywords/>
  <dc:description/>
  <cp:lastModifiedBy>Edison</cp:lastModifiedBy>
  <cp:revision>2</cp:revision>
  <dcterms:created xsi:type="dcterms:W3CDTF">2026-06-18T08:12:00Z</dcterms:created>
  <dcterms:modified xsi:type="dcterms:W3CDTF">2026-06-18T08:12:00Z</dcterms:modified>
</cp:coreProperties>
</file>