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5" w:rsidRDefault="00CD0CB5" w:rsidP="00CD0CB5">
      <w:pPr>
        <w:pStyle w:val="Heading3"/>
        <w:tabs>
          <w:tab w:val="clear" w:pos="1429"/>
        </w:tabs>
        <w:ind w:left="0"/>
      </w:pPr>
      <w:bookmarkStart w:id="0" w:name="_Toc499299288"/>
      <w:r>
        <w:rPr>
          <w:rFonts w:hint="eastAsia"/>
        </w:rPr>
        <w:t>项目流程管理系统</w:t>
      </w:r>
      <w:bookmarkEnd w:id="0"/>
    </w:p>
    <w:p w:rsidR="00CD0CB5" w:rsidRDefault="00CD0CB5" w:rsidP="00CD0CB5">
      <w:pPr>
        <w:pStyle w:val="Heading4"/>
        <w:numPr>
          <w:ilvl w:val="3"/>
          <w:numId w:val="1"/>
        </w:numPr>
        <w:ind w:left="0"/>
      </w:pPr>
      <w:r>
        <w:rPr>
          <w:rFonts w:hint="eastAsia"/>
        </w:rPr>
        <w:t>系统概述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实现全省法院信息化建设项目及其相关事务的全流程处理。包括需求及建议的提起、任务创建、节点生成、流程审批、事务处理、任务管理、文档管理、人员管理、统计查询、数据分析等功能，并提供全程留痕，所有操作可追溯。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系统采用全省统一集中部署的方式，由省高院统一开发运维，各地法院的实施、培训和本地化的需求将在下一步实现，本期仅完成省高院机关的实施。</w:t>
      </w:r>
    </w:p>
    <w:p w:rsidR="00CD0CB5" w:rsidRDefault="00CD0CB5" w:rsidP="00CD0CB5">
      <w:pPr>
        <w:pStyle w:val="Heading4"/>
        <w:numPr>
          <w:ilvl w:val="3"/>
          <w:numId w:val="1"/>
        </w:numPr>
        <w:ind w:left="0"/>
      </w:pPr>
      <w:r>
        <w:rPr>
          <w:rFonts w:hint="eastAsia"/>
        </w:rPr>
        <w:t>系统功能设计</w:t>
      </w:r>
    </w:p>
    <w:p w:rsidR="00CD0CB5" w:rsidRDefault="00CD0CB5" w:rsidP="00CD0CB5">
      <w:pPr>
        <w:numPr>
          <w:ilvl w:val="0"/>
          <w:numId w:val="2"/>
        </w:numPr>
        <w:ind w:firstLineChars="0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任务处理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1、全省法院干警可在系统中提起创建新任务，包括项目建设需求及建议、项目报批及报备等类别的信息化建设相关事务。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提供任务分类管理，分类可自行设置，预设新增信息化项目需求、信息化项目建设建议、信息化项目审批、信息化项目备案、其它信息化工作事务五大类，并提供二级分类管理。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为任务分配管理及承办人。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2、具体事务流程处理，包括任务创建、文稿起草、审批、文档等要求参照《四川省高级人民法院信息项目设计流程管理办法》、《全省中、基导法院信息化建设项目审批、报备及核查管理办法》、《四川省高级人民法院院机关信息化建设项目验收管理办法（试行）》等相关文件的规定进行流转办理，并可根据工作要求进行流程变更。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每个节点可以设定承办人，且可以添加节点过程文档，支持各类型格式文档（如果过程文档属于办公系统的公文，可直接链接到对应公文）；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各流程节点可由承办人添加；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可将任务分解为多个子任务，或者将多个任务合并，支持工作包和任务二级管理，确定相关承办人；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各承办人根据任务完成情况填报任务进度及处理结果；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可以追溯并记录任务进行中的所有变更，包括变更人、时间及变更内容；</w:t>
      </w:r>
    </w:p>
    <w:p w:rsidR="00CD0CB5" w:rsidRDefault="00CD0CB5" w:rsidP="00CD0CB5">
      <w:pPr>
        <w:numPr>
          <w:ilvl w:val="0"/>
          <w:numId w:val="2"/>
        </w:numPr>
        <w:ind w:firstLineChars="0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 信息管理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lastRenderedPageBreak/>
        <w:t>1、人员信息：与全省法院人事信息保持一致，如有需要添加外部的设计、监理、实施单位等人员信息可由管理员增加；</w:t>
      </w:r>
    </w:p>
    <w:p w:rsidR="00CD0CB5" w:rsidRDefault="00CD0CB5" w:rsidP="00CD0CB5">
      <w:pPr>
        <w:ind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2、文档信息：将各项任务所涉及的设计文档、设计图纸、过程文件、会议记录、合同等各种文档归档管理，可按任务项、时间段、参与人、文档类型等多种类目进行分类管理，目录及参与人员权限进行数据授权；</w:t>
      </w:r>
    </w:p>
    <w:p w:rsidR="00CD0CB5" w:rsidRDefault="00CD0CB5" w:rsidP="00CD0CB5">
      <w:pPr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支持在指定成员范围内发布公告，支持操作员之间使用消息工具进行沟通，在项目讨论平台上自由交流；</w:t>
      </w:r>
    </w:p>
    <w:p w:rsidR="00CD0CB5" w:rsidRDefault="00CD0CB5" w:rsidP="00CD0CB5">
      <w:pPr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针对操作员个人权限，将相关的事务集成提醒，方便快速办理；</w:t>
      </w:r>
    </w:p>
    <w:p w:rsidR="00CD0CB5" w:rsidRDefault="00CD0CB5" w:rsidP="00CD0CB5">
      <w:pPr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对信息化项目实现卷宗化管理，所有纸质资料和电子资料同步生成和管理，每项需求均生成相应卷宗管理其全程资料。</w:t>
      </w:r>
    </w:p>
    <w:p w:rsidR="00CD0CB5" w:rsidRDefault="00CD0CB5" w:rsidP="00CD0CB5">
      <w:pPr>
        <w:numPr>
          <w:ilvl w:val="0"/>
          <w:numId w:val="2"/>
        </w:numPr>
        <w:ind w:firstLineChars="0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协同办公</w:t>
      </w:r>
    </w:p>
    <w:p w:rsidR="00CD0CB5" w:rsidRDefault="00CD0CB5" w:rsidP="00CD0CB5">
      <w:pPr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根据各项事务流程要求定义任务审批事项，如审核等；</w:t>
      </w:r>
    </w:p>
    <w:p w:rsidR="00CD0CB5" w:rsidRDefault="00CD0CB5" w:rsidP="00CD0CB5">
      <w:pPr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针对不同的业务支持多步骤审批流程，可定义不同角色各步骤审批人；</w:t>
      </w:r>
    </w:p>
    <w:p w:rsidR="00CD0CB5" w:rsidRDefault="00CD0CB5" w:rsidP="00CD0CB5">
      <w:pPr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可自定义不同类型的报告模板，填写报告提交审批时按顺序传递审批，并同步自动发送信息提醒；</w:t>
      </w:r>
    </w:p>
    <w:p w:rsidR="00CD0CB5" w:rsidRDefault="00CD0CB5" w:rsidP="00CD0CB5">
      <w:pPr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撰写个人或共享的工作报告或备忘录，对个人或领导所交办的工作安排，可通过日程安排来记录及提醒；</w:t>
      </w:r>
    </w:p>
    <w:p w:rsidR="00CD0CB5" w:rsidRDefault="00CD0CB5" w:rsidP="00CD0CB5">
      <w:pPr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消息及提醒应同步集成至法院信息门户平台，并提供单点登陆的功能。</w:t>
      </w:r>
    </w:p>
    <w:p w:rsidR="00CD0CB5" w:rsidRDefault="00CD0CB5" w:rsidP="00CD0CB5">
      <w:pPr>
        <w:numPr>
          <w:ilvl w:val="0"/>
          <w:numId w:val="2"/>
        </w:numPr>
        <w:ind w:firstLineChars="0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 统计报表</w:t>
      </w:r>
    </w:p>
    <w:p w:rsidR="00CD0CB5" w:rsidRDefault="00CD0CB5" w:rsidP="00CD0CB5">
      <w:pPr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提供项目状态统计表、项目概况统计表、项目进度甘特图，全面查看整个项目，对项目进行管理；</w:t>
      </w:r>
    </w:p>
    <w:p w:rsidR="00CD0CB5" w:rsidRDefault="00CD0CB5" w:rsidP="00CD0CB5">
      <w:pPr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提供任务统计表、成员任务统计表、单个成员任务统计表，以便全面查看、跟踪成员任务完成情况，及时调整进度计划与实际的偏差，完成既定目标；</w:t>
      </w:r>
    </w:p>
    <w:p w:rsidR="00CD0CB5" w:rsidRDefault="00CD0CB5" w:rsidP="00CD0CB5">
      <w:pPr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提供甘特图等图表查看项目任务进度，项目进度查询权限可根据角色及参与度分别授权；</w:t>
      </w:r>
    </w:p>
    <w:p w:rsidR="00CD0CB5" w:rsidRDefault="00CD0CB5" w:rsidP="00CD0CB5">
      <w:pPr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引入大数据技术，能够定期自定义统计、分析全省提出的项目需求，并对四川法院信息化工作规划修订提供数据支持。</w:t>
      </w:r>
    </w:p>
    <w:p w:rsidR="00CD0CB5" w:rsidRDefault="00CD0CB5" w:rsidP="00CD0CB5">
      <w:pPr>
        <w:ind w:left="900" w:firstLineChars="0" w:firstLine="0"/>
        <w:rPr>
          <w:rFonts w:ascii="宋体" w:eastAsia="宋体" w:hAnsi="宋体"/>
          <w:color w:val="000000"/>
          <w:sz w:val="24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741"/>
        <w:gridCol w:w="2037"/>
        <w:gridCol w:w="2477"/>
        <w:gridCol w:w="741"/>
        <w:gridCol w:w="426"/>
        <w:gridCol w:w="662"/>
        <w:gridCol w:w="576"/>
        <w:gridCol w:w="636"/>
      </w:tblGrid>
      <w:tr w:rsidR="00CD0CB5" w:rsidTr="00CD0CB5">
        <w:trPr>
          <w:trHeight w:val="1920"/>
          <w:jc w:val="center"/>
        </w:trPr>
        <w:tc>
          <w:tcPr>
            <w:tcW w:w="4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="42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7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D0CB5" w:rsidRDefault="00CD0CB5" w:rsidP="00DD5866">
            <w:pPr>
              <w:ind w:firstLine="42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项目流程管理系统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实现全省法院信息化建设项目及其相关事务的全流程处理。包括需求及建议的提起、任务创建、节点生成、流程审批、事务处理、任务管理、文档管理、人员管理、统计查询、数据分析等功能，并提供全程留痕，所有操作可追溯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br/>
              <w:t>系统采用全省统一集中部署的方式，由省院统一开发运维，各地法院的实施、培训和本地化的需求将在下一步实现，本期仅完成省法院机关的实施。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="42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套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="42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0CB5" w:rsidRDefault="00CD0CB5" w:rsidP="00DD5866">
            <w:pPr>
              <w:ind w:firstLine="42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CB5" w:rsidRDefault="00CD0CB5" w:rsidP="00DD5866">
            <w:pPr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全省；中、基层法院的部署、本地化修改、本地运维需计费</w:t>
            </w:r>
          </w:p>
        </w:tc>
        <w:bookmarkStart w:id="1" w:name="_GoBack"/>
        <w:bookmarkEnd w:id="1"/>
      </w:tr>
    </w:tbl>
    <w:p w:rsidR="00CD0CB5" w:rsidRPr="00CD0CB5" w:rsidRDefault="00CD0CB5" w:rsidP="00CD0CB5">
      <w:pPr>
        <w:ind w:left="900" w:firstLineChars="0" w:firstLine="0"/>
        <w:rPr>
          <w:rFonts w:ascii="宋体" w:eastAsia="宋体" w:hAnsi="宋体" w:hint="eastAsia"/>
          <w:color w:val="000000"/>
          <w:sz w:val="24"/>
        </w:rPr>
      </w:pPr>
    </w:p>
    <w:p w:rsidR="00797984" w:rsidRPr="00CD0CB5" w:rsidRDefault="00797984">
      <w:pPr>
        <w:ind w:firstLine="588"/>
      </w:pPr>
    </w:p>
    <w:sectPr w:rsidR="00797984" w:rsidRPr="00CD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52A85C74"/>
    <w:lvl w:ilvl="0">
      <w:start w:val="1"/>
      <w:numFmt w:val="chineseCountingThousand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-1268" w:firstLine="1268"/>
      </w:pPr>
      <w:rPr>
        <w:rFonts w:ascii="黑体" w:eastAsia="黑体" w:hAnsi="黑体" w:hint="eastAsia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isLgl/>
      <w:lvlText w:val="%1.%2.%3.%4."/>
      <w:lvlJc w:val="left"/>
      <w:pPr>
        <w:tabs>
          <w:tab w:val="num" w:pos="928"/>
        </w:tabs>
        <w:ind w:left="568" w:firstLine="0"/>
      </w:pPr>
      <w:rPr>
        <w:rFonts w:ascii="黑体" w:eastAsia="黑体" w:hAnsi="黑体" w:hint="eastAsia"/>
      </w:rPr>
    </w:lvl>
    <w:lvl w:ilvl="4">
      <w:start w:val="1"/>
      <w:numFmt w:val="decimal"/>
      <w:pStyle w:val="Heading5"/>
      <w:isLgl/>
      <w:lvlText w:val="%1.%2.%3.%4.%5."/>
      <w:lvlJc w:val="left"/>
      <w:pPr>
        <w:tabs>
          <w:tab w:val="num" w:pos="1070"/>
        </w:tabs>
        <w:ind w:left="710" w:firstLine="0"/>
      </w:pPr>
      <w:rPr>
        <w:rFonts w:ascii="黑体" w:eastAsia="黑体" w:hAnsi="黑体" w:hint="eastAsia"/>
        <w:b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D950AD2"/>
    <w:multiLevelType w:val="multilevel"/>
    <w:tmpl w:val="1D950AD2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06D53E3"/>
    <w:multiLevelType w:val="multilevel"/>
    <w:tmpl w:val="406D53E3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84321F"/>
    <w:multiLevelType w:val="multilevel"/>
    <w:tmpl w:val="6684321F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0D5705D"/>
    <w:multiLevelType w:val="multilevel"/>
    <w:tmpl w:val="70D5705D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B5"/>
    <w:rsid w:val="00797984"/>
    <w:rsid w:val="00C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F85"/>
  <w15:chartTrackingRefBased/>
  <w15:docId w15:val="{52243D81-D0C7-4907-9A54-46C326A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0CB5"/>
    <w:pPr>
      <w:spacing w:line="360" w:lineRule="auto"/>
      <w:ind w:firstLineChars="200" w:firstLine="560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CD0CB5"/>
    <w:pPr>
      <w:keepNext/>
      <w:keepLines/>
      <w:numPr>
        <w:ilvl w:val="1"/>
        <w:numId w:val="1"/>
      </w:numPr>
      <w:tabs>
        <w:tab w:val="left" w:pos="709"/>
        <w:tab w:val="left" w:pos="852"/>
        <w:tab w:val="left" w:pos="996"/>
      </w:tabs>
      <w:spacing w:beforeLines="100"/>
      <w:ind w:firstLineChars="0" w:firstLine="0"/>
      <w:jc w:val="left"/>
      <w:outlineLvl w:val="1"/>
    </w:pPr>
    <w:rPr>
      <w:rFonts w:ascii="黑体" w:eastAsia="黑体" w:hAnsi="黑体"/>
      <w:b/>
      <w:bCs/>
    </w:rPr>
  </w:style>
  <w:style w:type="paragraph" w:styleId="Heading3">
    <w:name w:val="heading 3"/>
    <w:basedOn w:val="Normal"/>
    <w:next w:val="Normal"/>
    <w:link w:val="Heading3Char"/>
    <w:qFormat/>
    <w:rsid w:val="00CD0CB5"/>
    <w:pPr>
      <w:keepNext/>
      <w:keepLines/>
      <w:widowControl w:val="0"/>
      <w:numPr>
        <w:ilvl w:val="2"/>
        <w:numId w:val="1"/>
      </w:numPr>
      <w:ind w:firstLineChars="0" w:firstLine="0"/>
      <w:outlineLvl w:val="2"/>
    </w:pPr>
    <w:rPr>
      <w:rFonts w:ascii="黑体" w:eastAsia="黑体" w:hAnsi="黑体"/>
      <w:b/>
      <w:bCs/>
      <w:color w:val="000000"/>
      <w:szCs w:val="28"/>
    </w:rPr>
  </w:style>
  <w:style w:type="paragraph" w:styleId="Heading4">
    <w:name w:val="heading 4"/>
    <w:basedOn w:val="Heading3"/>
    <w:next w:val="Normal"/>
    <w:link w:val="Heading4Char"/>
    <w:qFormat/>
    <w:rsid w:val="00CD0CB5"/>
    <w:pPr>
      <w:numPr>
        <w:ilvl w:val="0"/>
        <w:numId w:val="0"/>
      </w:numPr>
      <w:tabs>
        <w:tab w:val="left" w:pos="864"/>
        <w:tab w:val="num" w:pos="928"/>
        <w:tab w:val="left" w:pos="1429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CD0CB5"/>
    <w:pPr>
      <w:keepNext/>
      <w:keepLines/>
      <w:widowControl w:val="0"/>
      <w:numPr>
        <w:ilvl w:val="4"/>
        <w:numId w:val="1"/>
      </w:numPr>
      <w:tabs>
        <w:tab w:val="left" w:pos="1070"/>
      </w:tabs>
      <w:ind w:firstLineChars="0"/>
      <w:contextualSpacing/>
      <w:outlineLvl w:val="4"/>
    </w:pPr>
    <w:rPr>
      <w:rFonts w:ascii="宋体" w:eastAsia="宋体" w:hAnsi="宋体"/>
      <w:b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0CB5"/>
    <w:rPr>
      <w:rFonts w:ascii="黑体" w:eastAsia="黑体" w:hAnsi="黑体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D0CB5"/>
    <w:rPr>
      <w:rFonts w:ascii="黑体" w:eastAsia="黑体" w:hAnsi="黑体" w:cs="Times New Roman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CD0CB5"/>
    <w:rPr>
      <w:rFonts w:ascii="黑体" w:eastAsia="黑体" w:hAnsi="黑体" w:cs="Times New Roman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0CB5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Yuan</dc:creator>
  <cp:keywords/>
  <dc:description/>
  <cp:lastModifiedBy>Man Yuan</cp:lastModifiedBy>
  <cp:revision>1</cp:revision>
  <dcterms:created xsi:type="dcterms:W3CDTF">2017-12-15T04:42:00Z</dcterms:created>
  <dcterms:modified xsi:type="dcterms:W3CDTF">2017-12-15T04:45:00Z</dcterms:modified>
</cp:coreProperties>
</file>