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7D0" w:rsidRPr="003F2A09" w:rsidRDefault="00C25F0C" w:rsidP="00C25F0C">
      <w:pPr>
        <w:ind w:firstLineChars="400" w:firstLine="1767"/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广东高院</w:t>
      </w:r>
      <w:r w:rsidR="003F07D0">
        <w:rPr>
          <w:rFonts w:hint="eastAsia"/>
          <w:b/>
          <w:sz w:val="44"/>
          <w:szCs w:val="44"/>
        </w:rPr>
        <w:t>项目</w:t>
      </w:r>
      <w:r w:rsidR="003F07D0" w:rsidRPr="003F2A09">
        <w:rPr>
          <w:rFonts w:hint="eastAsia"/>
          <w:b/>
          <w:sz w:val="44"/>
          <w:szCs w:val="44"/>
        </w:rPr>
        <w:t>需求</w:t>
      </w:r>
      <w:r w:rsidR="003F07D0">
        <w:rPr>
          <w:rFonts w:hint="eastAsia"/>
          <w:b/>
          <w:sz w:val="44"/>
          <w:szCs w:val="44"/>
        </w:rPr>
        <w:t>调研文档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项目编号：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项目名称：</w:t>
      </w:r>
      <w:r w:rsidR="00B72134">
        <w:rPr>
          <w:rFonts w:hint="eastAsia"/>
          <w:b/>
          <w:sz w:val="24"/>
          <w:szCs w:val="24"/>
        </w:rPr>
        <w:t>广东省高级人民法院司法行政综合管理系统</w:t>
      </w: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密级：</w:t>
      </w: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文档编号：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版本信息：</w:t>
      </w:r>
      <w:r>
        <w:rPr>
          <w:rFonts w:hint="eastAsia"/>
          <w:b/>
          <w:sz w:val="24"/>
          <w:szCs w:val="24"/>
        </w:rPr>
        <w:t>V1.0</w:t>
      </w:r>
    </w:p>
    <w:p w:rsidR="003F07D0" w:rsidRPr="008061F8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创建人：</w:t>
      </w:r>
      <w:r>
        <w:rPr>
          <w:rFonts w:hint="eastAsia"/>
          <w:b/>
          <w:sz w:val="24"/>
          <w:szCs w:val="24"/>
        </w:rPr>
        <w:t xml:space="preserve"> </w:t>
      </w:r>
      <w:r w:rsidR="00B72134">
        <w:rPr>
          <w:rFonts w:hint="eastAsia"/>
          <w:b/>
          <w:sz w:val="24"/>
          <w:szCs w:val="24"/>
        </w:rPr>
        <w:t>杨帆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创建时间：</w:t>
      </w:r>
      <w:r w:rsidR="00B72134">
        <w:rPr>
          <w:rFonts w:hint="eastAsia"/>
          <w:b/>
          <w:sz w:val="24"/>
          <w:szCs w:val="24"/>
        </w:rPr>
        <w:t>2018</w:t>
      </w:r>
      <w:r>
        <w:rPr>
          <w:rFonts w:hint="eastAsia"/>
          <w:b/>
          <w:sz w:val="24"/>
          <w:szCs w:val="24"/>
        </w:rPr>
        <w:t>年</w:t>
      </w:r>
      <w:r w:rsidR="00B72134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月</w:t>
      </w:r>
      <w:r w:rsidR="00B72134">
        <w:rPr>
          <w:rFonts w:hint="eastAsia"/>
          <w:b/>
          <w:sz w:val="24"/>
          <w:szCs w:val="24"/>
        </w:rPr>
        <w:t>23</w:t>
      </w:r>
      <w:r>
        <w:rPr>
          <w:rFonts w:hint="eastAsia"/>
          <w:b/>
          <w:sz w:val="24"/>
          <w:szCs w:val="24"/>
        </w:rPr>
        <w:t>日</w:t>
      </w: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审核人：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  <w:r w:rsidRPr="003F2A09">
        <w:rPr>
          <w:rFonts w:hint="eastAsia"/>
          <w:b/>
          <w:sz w:val="24"/>
          <w:szCs w:val="24"/>
        </w:rPr>
        <w:t>审核时间：</w:t>
      </w:r>
      <w:r>
        <w:rPr>
          <w:b/>
          <w:sz w:val="24"/>
          <w:szCs w:val="24"/>
        </w:rPr>
        <w:t xml:space="preserve"> </w:t>
      </w: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482"/>
        <w:rPr>
          <w:b/>
          <w:sz w:val="24"/>
          <w:szCs w:val="24"/>
        </w:rPr>
      </w:pPr>
    </w:p>
    <w:p w:rsidR="003F07D0" w:rsidRPr="003F2A09" w:rsidRDefault="003F07D0" w:rsidP="003F07D0">
      <w:pPr>
        <w:ind w:firstLine="640"/>
        <w:jc w:val="center"/>
        <w:rPr>
          <w:sz w:val="32"/>
          <w:szCs w:val="32"/>
        </w:rPr>
      </w:pPr>
      <w:r w:rsidRPr="003F2A09">
        <w:rPr>
          <w:rFonts w:hint="eastAsia"/>
          <w:sz w:val="32"/>
          <w:szCs w:val="32"/>
        </w:rPr>
        <w:t>成都联成科大信息技术有限责任公司</w:t>
      </w:r>
    </w:p>
    <w:p w:rsidR="003F07D0" w:rsidRDefault="00B72134" w:rsidP="003F07D0">
      <w:pPr>
        <w:ind w:firstLine="560"/>
        <w:jc w:val="center"/>
      </w:pPr>
      <w:r>
        <w:rPr>
          <w:rFonts w:hint="eastAsia"/>
        </w:rPr>
        <w:t>2018</w:t>
      </w:r>
      <w:r w:rsidR="003F07D0">
        <w:rPr>
          <w:rFonts w:hint="eastAsia"/>
        </w:rPr>
        <w:t>年</w:t>
      </w:r>
      <w:r>
        <w:t>1</w:t>
      </w:r>
      <w:r w:rsidR="003F07D0">
        <w:rPr>
          <w:rFonts w:hint="eastAsia"/>
        </w:rPr>
        <w:t>月</w:t>
      </w: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Pr="001E5C28" w:rsidRDefault="003F07D0" w:rsidP="003F07D0">
      <w:pPr>
        <w:ind w:firstLine="562"/>
        <w:jc w:val="center"/>
        <w:rPr>
          <w:b/>
        </w:rPr>
      </w:pPr>
      <w:r w:rsidRPr="001E5C28">
        <w:rPr>
          <w:rFonts w:hint="eastAsia"/>
          <w:b/>
        </w:rPr>
        <w:t>文档历史记录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F07D0" w:rsidTr="007500CC">
        <w:trPr>
          <w:jc w:val="center"/>
        </w:trPr>
        <w:tc>
          <w:tcPr>
            <w:tcW w:w="1704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变更时间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版本号</w:t>
            </w:r>
          </w:p>
        </w:tc>
        <w:tc>
          <w:tcPr>
            <w:tcW w:w="1704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编辑人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审核人</w:t>
            </w:r>
          </w:p>
        </w:tc>
        <w:tc>
          <w:tcPr>
            <w:tcW w:w="1705" w:type="dxa"/>
            <w:shd w:val="clear" w:color="auto" w:fill="D0CECE" w:themeFill="background2" w:themeFillShade="E6"/>
          </w:tcPr>
          <w:p w:rsidR="003F07D0" w:rsidRPr="00FD3022" w:rsidRDefault="003F07D0" w:rsidP="007500CC">
            <w:pPr>
              <w:ind w:firstLineChars="0" w:firstLine="0"/>
              <w:jc w:val="center"/>
              <w:rPr>
                <w:b/>
              </w:rPr>
            </w:pPr>
            <w:r w:rsidRPr="00FD3022">
              <w:rPr>
                <w:rFonts w:hint="eastAsia"/>
                <w:b/>
              </w:rPr>
              <w:t>客户确认</w:t>
            </w: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Pr="00E97DBC" w:rsidRDefault="00B72134" w:rsidP="007500C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2018</w:t>
            </w:r>
            <w:r w:rsidR="003F07D0" w:rsidRPr="00E97DBC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  <w:r w:rsidR="003F07D0" w:rsidRPr="00E97DBC">
              <w:rPr>
                <w:rFonts w:asciiTheme="minorEastAsia" w:eastAsia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04" w:type="dxa"/>
          </w:tcPr>
          <w:p w:rsidR="003F07D0" w:rsidRPr="00E97DBC" w:rsidRDefault="003F07D0" w:rsidP="007500C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97DBC">
              <w:rPr>
                <w:rFonts w:asciiTheme="minorEastAsia" w:eastAsiaTheme="minorEastAsia" w:hAnsiTheme="minorEastAsia" w:hint="eastAsia"/>
                <w:sz w:val="24"/>
                <w:szCs w:val="24"/>
              </w:rPr>
              <w:t>1.1</w:t>
            </w:r>
          </w:p>
        </w:tc>
        <w:tc>
          <w:tcPr>
            <w:tcW w:w="1704" w:type="dxa"/>
          </w:tcPr>
          <w:p w:rsidR="003F07D0" w:rsidRPr="00426750" w:rsidRDefault="00B72134" w:rsidP="007500C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杨帆</w:t>
            </w:r>
          </w:p>
        </w:tc>
        <w:tc>
          <w:tcPr>
            <w:tcW w:w="1705" w:type="dxa"/>
          </w:tcPr>
          <w:p w:rsidR="003F07D0" w:rsidRPr="00E97DBC" w:rsidRDefault="003F07D0" w:rsidP="007500CC">
            <w:pPr>
              <w:ind w:firstLineChars="0" w:firstLine="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  <w:tr w:rsidR="003F07D0" w:rsidTr="007500CC">
        <w:trPr>
          <w:jc w:val="center"/>
        </w:trPr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4" w:type="dxa"/>
          </w:tcPr>
          <w:p w:rsidR="003F07D0" w:rsidRPr="00691779" w:rsidRDefault="003F07D0" w:rsidP="007500CC">
            <w:pPr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704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  <w:tc>
          <w:tcPr>
            <w:tcW w:w="1705" w:type="dxa"/>
          </w:tcPr>
          <w:p w:rsidR="003F07D0" w:rsidRDefault="003F07D0" w:rsidP="007500CC">
            <w:pPr>
              <w:ind w:firstLineChars="0" w:firstLine="0"/>
              <w:jc w:val="center"/>
            </w:pPr>
          </w:p>
        </w:tc>
      </w:tr>
    </w:tbl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F07D0">
      <w:pPr>
        <w:ind w:firstLine="560"/>
      </w:pPr>
    </w:p>
    <w:p w:rsidR="003F07D0" w:rsidRDefault="003F07D0" w:rsidP="003925FA">
      <w:pPr>
        <w:ind w:firstLineChars="0" w:firstLine="0"/>
      </w:pP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lastRenderedPageBreak/>
        <w:t>文档目的</w:t>
      </w:r>
    </w:p>
    <w:p w:rsidR="003F07D0" w:rsidRPr="00FD3022" w:rsidRDefault="00B72134" w:rsidP="003F07D0">
      <w:pPr>
        <w:ind w:firstLine="560"/>
      </w:pPr>
      <w:r>
        <w:rPr>
          <w:rFonts w:hint="eastAsia"/>
        </w:rPr>
        <w:t>记录广东省高级人民法院需求演示结果</w:t>
      </w: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t>背景</w:t>
      </w:r>
    </w:p>
    <w:p w:rsidR="003F07D0" w:rsidRDefault="006A26E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</w:t>
      </w:r>
      <w:r w:rsidR="004238DA">
        <w:rPr>
          <w:rFonts w:asciiTheme="minorEastAsia" w:eastAsiaTheme="minorEastAsia" w:hAnsiTheme="minorEastAsia" w:hint="eastAsia"/>
          <w:sz w:val="24"/>
          <w:szCs w:val="24"/>
        </w:rPr>
        <w:t>广东省高级人民法院</w:t>
      </w:r>
      <w:r>
        <w:rPr>
          <w:rFonts w:asciiTheme="minorEastAsia" w:eastAsiaTheme="minorEastAsia" w:hAnsiTheme="minorEastAsia" w:hint="eastAsia"/>
          <w:sz w:val="24"/>
          <w:szCs w:val="24"/>
        </w:rPr>
        <w:t>实际</w:t>
      </w:r>
      <w:r w:rsidR="003925FA">
        <w:rPr>
          <w:rFonts w:asciiTheme="minorEastAsia" w:eastAsiaTheme="minorEastAsia" w:hAnsiTheme="minorEastAsia" w:hint="eastAsia"/>
          <w:sz w:val="24"/>
          <w:szCs w:val="24"/>
        </w:rPr>
        <w:t>日常报销业务及财务实际工作情况</w:t>
      </w:r>
      <w:r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3F07D0">
        <w:rPr>
          <w:rFonts w:asciiTheme="minorEastAsia" w:eastAsiaTheme="minorEastAsia" w:hAnsiTheme="minorEastAsia"/>
          <w:sz w:val="24"/>
          <w:szCs w:val="24"/>
        </w:rPr>
        <w:t>需求调研</w:t>
      </w:r>
      <w:r w:rsidR="003F07D0" w:rsidRPr="00F4153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t>调研时间及地点</w:t>
      </w:r>
    </w:p>
    <w:p w:rsidR="003F07D0" w:rsidRPr="00F41530" w:rsidRDefault="003F07D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F41530">
        <w:rPr>
          <w:rFonts w:asciiTheme="minorEastAsia" w:eastAsiaTheme="minorEastAsia" w:hAnsiTheme="minorEastAsia" w:hint="eastAsia"/>
          <w:sz w:val="24"/>
          <w:szCs w:val="24"/>
        </w:rPr>
        <w:t>调研时间：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2018</w:t>
      </w:r>
      <w:r w:rsidRPr="00F41530">
        <w:rPr>
          <w:rFonts w:asciiTheme="minorEastAsia" w:eastAsiaTheme="minorEastAsia" w:hAnsiTheme="minorEastAsia" w:hint="eastAsia"/>
          <w:sz w:val="24"/>
          <w:szCs w:val="24"/>
        </w:rPr>
        <w:t>年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F41530">
        <w:rPr>
          <w:rFonts w:asciiTheme="minorEastAsia" w:eastAsiaTheme="minorEastAsia" w:hAnsiTheme="minorEastAsia" w:hint="eastAsia"/>
          <w:sz w:val="24"/>
          <w:szCs w:val="24"/>
        </w:rPr>
        <w:t>月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22日</w:t>
      </w:r>
    </w:p>
    <w:p w:rsidR="003F07D0" w:rsidRPr="00F41530" w:rsidRDefault="003F07D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F41530">
        <w:rPr>
          <w:rFonts w:asciiTheme="minorEastAsia" w:eastAsiaTheme="minorEastAsia" w:hAnsiTheme="minorEastAsia" w:hint="eastAsia"/>
          <w:sz w:val="24"/>
          <w:szCs w:val="24"/>
        </w:rPr>
        <w:t>调研地点：</w:t>
      </w:r>
      <w:r w:rsidR="00C25F0C">
        <w:rPr>
          <w:rFonts w:asciiTheme="minorEastAsia" w:eastAsiaTheme="minorEastAsia" w:hAnsiTheme="minorEastAsia" w:hint="eastAsia"/>
          <w:sz w:val="24"/>
          <w:szCs w:val="24"/>
        </w:rPr>
        <w:t>广东省高级人民法院行政装备处</w:t>
      </w:r>
      <w:r w:rsidR="003925FA">
        <w:rPr>
          <w:rFonts w:asciiTheme="minorEastAsia" w:eastAsiaTheme="minorEastAsia" w:hAnsiTheme="minorEastAsia"/>
          <w:sz w:val="24"/>
          <w:szCs w:val="24"/>
        </w:rPr>
        <w:t>4</w:t>
      </w:r>
      <w:proofErr w:type="gramStart"/>
      <w:r w:rsidR="003925FA">
        <w:rPr>
          <w:rFonts w:asciiTheme="minorEastAsia" w:eastAsiaTheme="minorEastAsia" w:hAnsiTheme="minorEastAsia" w:hint="eastAsia"/>
          <w:sz w:val="24"/>
          <w:szCs w:val="24"/>
        </w:rPr>
        <w:t>楼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指挥</w:t>
      </w:r>
      <w:proofErr w:type="gramEnd"/>
      <w:r w:rsidR="00B72134">
        <w:rPr>
          <w:rFonts w:asciiTheme="minorEastAsia" w:eastAsiaTheme="minorEastAsia" w:hAnsiTheme="minorEastAsia" w:hint="eastAsia"/>
          <w:sz w:val="24"/>
          <w:szCs w:val="24"/>
        </w:rPr>
        <w:t>中心</w:t>
      </w: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t>调研对象</w:t>
      </w:r>
    </w:p>
    <w:p w:rsidR="003F07D0" w:rsidRPr="00F41530" w:rsidRDefault="003F07D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F41530">
        <w:rPr>
          <w:rFonts w:asciiTheme="minorEastAsia" w:eastAsiaTheme="minorEastAsia" w:hAnsiTheme="minorEastAsia" w:hint="eastAsia"/>
          <w:sz w:val="24"/>
          <w:szCs w:val="24"/>
        </w:rPr>
        <w:t>客户方人员：</w:t>
      </w:r>
      <w:r w:rsidR="00C25F0C">
        <w:rPr>
          <w:rFonts w:asciiTheme="minorEastAsia" w:eastAsiaTheme="minorEastAsia" w:hAnsiTheme="minorEastAsia" w:hint="eastAsia"/>
          <w:sz w:val="24"/>
          <w:szCs w:val="24"/>
        </w:rPr>
        <w:t>李处长、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张处长、</w:t>
      </w:r>
      <w:r w:rsidR="00C25F0C">
        <w:rPr>
          <w:rFonts w:asciiTheme="minorEastAsia" w:eastAsiaTheme="minorEastAsia" w:hAnsiTheme="minorEastAsia" w:hint="eastAsia"/>
          <w:sz w:val="24"/>
          <w:szCs w:val="24"/>
        </w:rPr>
        <w:t>赖科长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等领导</w:t>
      </w:r>
    </w:p>
    <w:p w:rsidR="003F07D0" w:rsidRPr="00F41530" w:rsidRDefault="003F07D0" w:rsidP="003F07D0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F41530">
        <w:rPr>
          <w:rFonts w:asciiTheme="minorEastAsia" w:eastAsiaTheme="minorEastAsia" w:hAnsiTheme="minorEastAsia" w:hint="eastAsia"/>
          <w:sz w:val="24"/>
          <w:szCs w:val="24"/>
        </w:rPr>
        <w:t>公司参与人员：</w:t>
      </w:r>
      <w:r w:rsidR="00B72134">
        <w:rPr>
          <w:rFonts w:asciiTheme="minorEastAsia" w:eastAsiaTheme="minorEastAsia" w:hAnsiTheme="minorEastAsia" w:hint="eastAsia"/>
          <w:sz w:val="24"/>
          <w:szCs w:val="24"/>
        </w:rPr>
        <w:t>陈二峰、杨帆</w:t>
      </w:r>
    </w:p>
    <w:p w:rsidR="003F07D0" w:rsidRDefault="003F07D0" w:rsidP="00B72134">
      <w:pPr>
        <w:pStyle w:val="a4"/>
        <w:numPr>
          <w:ilvl w:val="0"/>
          <w:numId w:val="1"/>
        </w:numPr>
        <w:spacing w:before="156" w:after="156"/>
      </w:pPr>
      <w:r w:rsidRPr="00231867">
        <w:rPr>
          <w:rFonts w:hint="eastAsia"/>
        </w:rPr>
        <w:t>调研内容</w:t>
      </w:r>
    </w:p>
    <w:p w:rsidR="003F07D0" w:rsidRDefault="003F07D0" w:rsidP="00CE67DB">
      <w:pPr>
        <w:pStyle w:val="a5"/>
        <w:spacing w:before="156" w:after="156"/>
        <w:ind w:leftChars="0" w:left="420" w:firstLineChars="0" w:firstLine="0"/>
        <w:rPr>
          <w:rFonts w:ascii="Calibri" w:hAnsi="Calibri"/>
        </w:rPr>
      </w:pPr>
      <w:r>
        <w:rPr>
          <w:rFonts w:ascii="Calibri" w:hAnsi="Calibri" w:hint="eastAsia"/>
        </w:rPr>
        <w:t>财务管理</w:t>
      </w:r>
    </w:p>
    <w:p w:rsidR="00BB71D1" w:rsidRDefault="00B72134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增加再次提交审核按钮，由领导可以再次提交到另外领导审核。</w:t>
      </w:r>
      <w:r w:rsidR="0001203F">
        <w:rPr>
          <w:rFonts w:asciiTheme="minorEastAsia" w:eastAsiaTheme="minorEastAsia" w:hAnsiTheme="minorEastAsia" w:hint="eastAsia"/>
          <w:sz w:val="24"/>
          <w:szCs w:val="24"/>
        </w:rPr>
        <w:t>（不修改</w:t>
      </w:r>
      <w:r w:rsidR="0001203F">
        <w:rPr>
          <w:rFonts w:asciiTheme="minorEastAsia" w:eastAsiaTheme="minorEastAsia" w:hAnsiTheme="minorEastAsia"/>
          <w:sz w:val="24"/>
          <w:szCs w:val="24"/>
        </w:rPr>
        <w:t>,由填报人再次提交</w:t>
      </w:r>
      <w:r w:rsidR="0001203F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5060D1" w:rsidRPr="00E223C9" w:rsidRDefault="00B72134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出差申请单中可以直接填写出差明细，选择相应的出差地区、出行方式之后可以提前计算出补助及标准。转报销单时自动读取出差明细，直接填写相关费用。</w:t>
      </w:r>
      <w:r w:rsidR="0001203F">
        <w:rPr>
          <w:rFonts w:asciiTheme="minorEastAsia" w:eastAsiaTheme="minorEastAsia" w:hAnsiTheme="minorEastAsia"/>
          <w:sz w:val="24"/>
          <w:szCs w:val="24"/>
        </w:rPr>
        <w:t>(</w:t>
      </w:r>
      <w:bookmarkStart w:id="0" w:name="_GoBack"/>
      <w:r w:rsidR="002C5D43">
        <w:rPr>
          <w:rFonts w:asciiTheme="minorEastAsia" w:eastAsiaTheme="minorEastAsia" w:hAnsiTheme="minorEastAsia" w:hint="eastAsia"/>
          <w:sz w:val="24"/>
          <w:szCs w:val="24"/>
        </w:rPr>
        <w:t>32H</w:t>
      </w:r>
      <w:bookmarkEnd w:id="0"/>
      <w:r w:rsidR="0001203F">
        <w:rPr>
          <w:rFonts w:asciiTheme="minorEastAsia" w:eastAsiaTheme="minorEastAsia" w:hAnsiTheme="minorEastAsia"/>
          <w:sz w:val="24"/>
          <w:szCs w:val="24"/>
        </w:rPr>
        <w:t>)</w:t>
      </w:r>
    </w:p>
    <w:p w:rsidR="00BB71D1" w:rsidRPr="00E223C9" w:rsidRDefault="00B72134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差旅费报销单中，费用类型排列顺序为住宿费、机票费、车船票、油费，</w:t>
      </w: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其他费用类型</w:t>
      </w:r>
      <w:r w:rsidR="00347243">
        <w:rPr>
          <w:rFonts w:asciiTheme="minorEastAsia" w:eastAsiaTheme="minorEastAsia" w:hAnsiTheme="minorEastAsia" w:hint="eastAsia"/>
          <w:sz w:val="24"/>
          <w:szCs w:val="24"/>
        </w:rPr>
        <w:t>排列在这4种类型之后，因为这些类型是常用类型。</w:t>
      </w:r>
      <w:r w:rsidR="0062721E">
        <w:rPr>
          <w:rFonts w:asciiTheme="minorEastAsia" w:eastAsiaTheme="minorEastAsia" w:hAnsiTheme="minorEastAsia" w:hint="eastAsia"/>
          <w:sz w:val="24"/>
          <w:szCs w:val="24"/>
        </w:rPr>
        <w:t>(4H)</w:t>
      </w:r>
    </w:p>
    <w:p w:rsidR="00C25F0C" w:rsidRDefault="00347243" w:rsidP="00C25F0C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差旅费报销单中，住宿天数可以输入小数0.5，且只能输入半天。</w:t>
      </w:r>
      <w:r w:rsidR="0062721E">
        <w:rPr>
          <w:rFonts w:asciiTheme="minorEastAsia" w:eastAsiaTheme="minorEastAsia" w:hAnsiTheme="minorEastAsia" w:hint="eastAsia"/>
          <w:sz w:val="24"/>
          <w:szCs w:val="24"/>
        </w:rPr>
        <w:t>(2H)</w:t>
      </w:r>
    </w:p>
    <w:p w:rsidR="00C25F0C" w:rsidRPr="00347243" w:rsidRDefault="00347243" w:rsidP="00347243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系统名称抬头修改成广东省高级人民法院司法行政综合管理系统。</w:t>
      </w:r>
      <w:r w:rsidR="0062721E">
        <w:rPr>
          <w:rFonts w:asciiTheme="minorEastAsia" w:eastAsiaTheme="minorEastAsia" w:hAnsiTheme="minorEastAsia" w:hint="eastAsia"/>
          <w:sz w:val="24"/>
          <w:szCs w:val="24"/>
        </w:rPr>
        <w:t>(2H)</w:t>
      </w:r>
    </w:p>
    <w:p w:rsidR="00D3064C" w:rsidRPr="009B7A51" w:rsidRDefault="00347243" w:rsidP="00E223C9">
      <w:pPr>
        <w:pStyle w:val="a6"/>
        <w:numPr>
          <w:ilvl w:val="0"/>
          <w:numId w:val="5"/>
        </w:numPr>
        <w:ind w:left="0" w:firstLineChars="0" w:firstLine="420"/>
      </w:pPr>
      <w:r>
        <w:rPr>
          <w:rFonts w:asciiTheme="minorEastAsia" w:eastAsiaTheme="minorEastAsia" w:hAnsiTheme="minorEastAsia" w:hint="eastAsia"/>
          <w:sz w:val="24"/>
          <w:szCs w:val="24"/>
        </w:rPr>
        <w:t>会议申请-参会人数，会议代表，会务人员的排列顺序应为会议代表、会务人员、参会人数。参会人数修改为参会合计人数。</w:t>
      </w:r>
      <w:r w:rsidR="001034F4">
        <w:rPr>
          <w:rFonts w:asciiTheme="minorEastAsia" w:eastAsiaTheme="minorEastAsia" w:hAnsiTheme="minorEastAsia" w:hint="eastAsia"/>
          <w:sz w:val="24"/>
          <w:szCs w:val="24"/>
        </w:rPr>
        <w:t>(二期开发，4H)</w:t>
      </w:r>
    </w:p>
    <w:p w:rsidR="009B7A51" w:rsidRPr="009B7A51" w:rsidRDefault="00347243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日常报销单中，费用所含人员、电子票号字段应屏蔽。</w:t>
      </w:r>
      <w:r w:rsidR="001034F4">
        <w:rPr>
          <w:rFonts w:asciiTheme="minorEastAsia" w:eastAsiaTheme="minorEastAsia" w:hAnsiTheme="minorEastAsia" w:hint="eastAsia"/>
          <w:sz w:val="24"/>
          <w:szCs w:val="24"/>
        </w:rPr>
        <w:t>(4H</w:t>
      </w:r>
      <w:r w:rsidR="00EA6A38">
        <w:rPr>
          <w:rFonts w:asciiTheme="minorEastAsia" w:eastAsiaTheme="minorEastAsia" w:hAnsiTheme="minorEastAsia" w:hint="eastAsia"/>
          <w:sz w:val="24"/>
          <w:szCs w:val="24"/>
        </w:rPr>
        <w:t>,不建议修改</w:t>
      </w:r>
      <w:r w:rsidR="001034F4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D3064C" w:rsidRPr="00E90DA9" w:rsidRDefault="00347243" w:rsidP="00E223C9">
      <w:pPr>
        <w:pStyle w:val="a6"/>
        <w:numPr>
          <w:ilvl w:val="0"/>
          <w:numId w:val="5"/>
        </w:numPr>
        <w:ind w:left="0" w:firstLineChars="0" w:firstLine="420"/>
      </w:pPr>
      <w:r>
        <w:rPr>
          <w:rFonts w:asciiTheme="minorEastAsia" w:eastAsiaTheme="minorEastAsia" w:hAnsiTheme="minorEastAsia" w:hint="eastAsia"/>
          <w:sz w:val="24"/>
          <w:szCs w:val="24"/>
        </w:rPr>
        <w:t>导航栏的公务用餐申请，修改为用餐申请。</w:t>
      </w:r>
      <w:r w:rsidR="00EA6A38">
        <w:rPr>
          <w:rFonts w:asciiTheme="minorEastAsia" w:eastAsiaTheme="minorEastAsia" w:hAnsiTheme="minorEastAsia" w:hint="eastAsia"/>
          <w:sz w:val="24"/>
          <w:szCs w:val="24"/>
        </w:rPr>
        <w:t>(1H)</w:t>
      </w:r>
    </w:p>
    <w:p w:rsidR="00347243" w:rsidRPr="005060D1" w:rsidRDefault="00347243" w:rsidP="00347243">
      <w:pPr>
        <w:pStyle w:val="a6"/>
        <w:numPr>
          <w:ilvl w:val="0"/>
          <w:numId w:val="5"/>
        </w:numPr>
        <w:ind w:left="0" w:firstLineChars="0" w:firstLine="420"/>
      </w:pPr>
      <w:r>
        <w:rPr>
          <w:rFonts w:asciiTheme="minorEastAsia" w:eastAsiaTheme="minorEastAsia" w:hAnsiTheme="minorEastAsia" w:hint="eastAsia"/>
          <w:sz w:val="24"/>
          <w:szCs w:val="24"/>
        </w:rPr>
        <w:t>客饭申请修改为工作餐，且客饭申请单的填报界面，左上角的界面抬头加上“工作餐填报”。</w:t>
      </w:r>
      <w:r w:rsidR="00EA6A38">
        <w:rPr>
          <w:rFonts w:asciiTheme="minorEastAsia" w:eastAsiaTheme="minorEastAsia" w:hAnsiTheme="minorEastAsia" w:hint="eastAsia"/>
          <w:sz w:val="24"/>
          <w:szCs w:val="24"/>
        </w:rPr>
        <w:t>(</w:t>
      </w:r>
      <w:r w:rsidR="00EF2108">
        <w:rPr>
          <w:rFonts w:asciiTheme="minorEastAsia" w:eastAsiaTheme="minorEastAsia" w:hAnsiTheme="minorEastAsia" w:hint="eastAsia"/>
          <w:sz w:val="24"/>
          <w:szCs w:val="24"/>
        </w:rPr>
        <w:t>二期开发</w:t>
      </w:r>
      <w:r w:rsidR="00EF2108">
        <w:rPr>
          <w:rFonts w:asciiTheme="minorEastAsia" w:eastAsiaTheme="minorEastAsia" w:hAnsiTheme="minorEastAsia"/>
          <w:sz w:val="24"/>
          <w:szCs w:val="24"/>
        </w:rPr>
        <w:t>,1H</w:t>
      </w:r>
      <w:r w:rsidR="00EA6A38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EF5874" w:rsidRPr="005060D1" w:rsidRDefault="00EF5874" w:rsidP="00EF5874">
      <w:pPr>
        <w:pStyle w:val="a6"/>
        <w:numPr>
          <w:ilvl w:val="0"/>
          <w:numId w:val="5"/>
        </w:numPr>
        <w:ind w:left="0" w:firstLineChars="0" w:firstLine="420"/>
      </w:pPr>
      <w:r>
        <w:rPr>
          <w:rFonts w:asciiTheme="minorEastAsia" w:eastAsiaTheme="minorEastAsia" w:hAnsiTheme="minorEastAsia" w:hint="eastAsia"/>
          <w:sz w:val="24"/>
          <w:szCs w:val="24"/>
        </w:rPr>
        <w:t>公务用餐修改为接待用餐。且公务用餐申请单的填报界面，左上角的界面抬头加上“接待用餐填报”。</w:t>
      </w:r>
      <w:r w:rsidR="00EF2108">
        <w:rPr>
          <w:rFonts w:asciiTheme="minorEastAsia" w:eastAsiaTheme="minorEastAsia" w:hAnsiTheme="minorEastAsia"/>
          <w:sz w:val="24"/>
          <w:szCs w:val="24"/>
        </w:rPr>
        <w:t>(</w:t>
      </w:r>
      <w:r w:rsidR="00EF2108">
        <w:rPr>
          <w:rFonts w:asciiTheme="minorEastAsia" w:eastAsiaTheme="minorEastAsia" w:hAnsiTheme="minorEastAsia" w:hint="eastAsia"/>
          <w:sz w:val="24"/>
          <w:szCs w:val="24"/>
        </w:rPr>
        <w:t>二期开发</w:t>
      </w:r>
      <w:r w:rsidR="00EF2108">
        <w:rPr>
          <w:rFonts w:asciiTheme="minorEastAsia" w:eastAsiaTheme="minorEastAsia" w:hAnsiTheme="minorEastAsia"/>
          <w:sz w:val="24"/>
          <w:szCs w:val="24"/>
        </w:rPr>
        <w:t>,1H)</w:t>
      </w:r>
    </w:p>
    <w:p w:rsidR="006C2E8B" w:rsidRPr="00EF5874" w:rsidRDefault="00EF5874" w:rsidP="00EF5874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公务用餐/客饭申请均为一餐</w:t>
      </w:r>
      <w:proofErr w:type="gramStart"/>
      <w:r>
        <w:rPr>
          <w:rFonts w:asciiTheme="minorEastAsia" w:eastAsia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eastAsiaTheme="minorEastAsia" w:hAnsiTheme="minorEastAsia" w:hint="eastAsia"/>
          <w:sz w:val="24"/>
          <w:szCs w:val="24"/>
        </w:rPr>
        <w:t>申请制度，需要在填报界面去掉新增行，直接把用餐时间、类型、人数等字段放到餐费预算前面。</w:t>
      </w:r>
      <w:r w:rsidR="00733236">
        <w:rPr>
          <w:rFonts w:asciiTheme="minorEastAsia" w:eastAsiaTheme="minorEastAsia" w:hAnsiTheme="minorEastAsia"/>
          <w:sz w:val="24"/>
          <w:szCs w:val="24"/>
        </w:rPr>
        <w:t>(</w:t>
      </w:r>
      <w:bookmarkStart w:id="1" w:name="OLE_LINK1"/>
      <w:bookmarkStart w:id="2" w:name="OLE_LINK2"/>
      <w:r w:rsidR="00733236">
        <w:rPr>
          <w:rFonts w:asciiTheme="minorEastAsia" w:eastAsiaTheme="minorEastAsia" w:hAnsiTheme="minorEastAsia" w:hint="eastAsia"/>
          <w:sz w:val="24"/>
          <w:szCs w:val="24"/>
        </w:rPr>
        <w:t>二期开发</w:t>
      </w:r>
      <w:r w:rsidR="00733236">
        <w:rPr>
          <w:rFonts w:asciiTheme="minorEastAsia" w:eastAsiaTheme="minorEastAsia" w:hAnsiTheme="minorEastAsia"/>
          <w:sz w:val="24"/>
          <w:szCs w:val="24"/>
        </w:rPr>
        <w:t>,8H</w:t>
      </w:r>
      <w:bookmarkEnd w:id="1"/>
      <w:bookmarkEnd w:id="2"/>
      <w:r w:rsidR="00733236">
        <w:rPr>
          <w:rFonts w:asciiTheme="minorEastAsia" w:eastAsiaTheme="minorEastAsia" w:hAnsiTheme="minorEastAsia"/>
          <w:sz w:val="24"/>
          <w:szCs w:val="24"/>
        </w:rPr>
        <w:t>)</w:t>
      </w:r>
    </w:p>
    <w:p w:rsidR="006C2E8B" w:rsidRPr="00EF5874" w:rsidRDefault="00EF5874" w:rsidP="00EF5874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公务用餐的陪同人数不能超过来客人数的30%。</w:t>
      </w:r>
      <w:r w:rsidR="00F31BA2">
        <w:rPr>
          <w:rFonts w:asciiTheme="minorEastAsia" w:eastAsiaTheme="minorEastAsia" w:hAnsiTheme="minorEastAsia"/>
          <w:sz w:val="24"/>
          <w:szCs w:val="24"/>
        </w:rPr>
        <w:t>(</w:t>
      </w:r>
      <w:r w:rsidR="00F31BA2">
        <w:rPr>
          <w:rFonts w:asciiTheme="minorEastAsia" w:eastAsiaTheme="minorEastAsia" w:hAnsiTheme="minorEastAsia" w:hint="eastAsia"/>
          <w:sz w:val="24"/>
          <w:szCs w:val="24"/>
        </w:rPr>
        <w:t>二期开发</w:t>
      </w:r>
      <w:r w:rsidR="00F31BA2">
        <w:rPr>
          <w:rFonts w:asciiTheme="minorEastAsia" w:eastAsiaTheme="minorEastAsia" w:hAnsiTheme="minorEastAsia"/>
          <w:sz w:val="24"/>
          <w:szCs w:val="24"/>
        </w:rPr>
        <w:t>,2</w:t>
      </w:r>
      <w:r w:rsidR="00F31BA2">
        <w:rPr>
          <w:rFonts w:asciiTheme="minorEastAsia" w:eastAsiaTheme="minorEastAsia" w:hAnsiTheme="minorEastAsia"/>
          <w:sz w:val="24"/>
          <w:szCs w:val="24"/>
        </w:rPr>
        <w:t>H</w:t>
      </w:r>
      <w:r w:rsidR="00F31BA2">
        <w:rPr>
          <w:rFonts w:asciiTheme="minorEastAsia" w:eastAsiaTheme="minorEastAsia" w:hAnsiTheme="minorEastAsia"/>
          <w:sz w:val="24"/>
          <w:szCs w:val="24"/>
        </w:rPr>
        <w:t>)</w:t>
      </w:r>
    </w:p>
    <w:p w:rsidR="00F25EB5" w:rsidRPr="00EF5874" w:rsidRDefault="00EF5874" w:rsidP="00EF5874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增加培训会申请，类同会议申请。培训标准待用户整理给予我们。</w:t>
      </w:r>
      <w:r w:rsidR="008C43F2">
        <w:rPr>
          <w:rFonts w:asciiTheme="minorEastAsia" w:eastAsiaTheme="minorEastAsia" w:hAnsiTheme="minorEastAsia"/>
          <w:sz w:val="24"/>
          <w:szCs w:val="24"/>
        </w:rPr>
        <w:t>(</w:t>
      </w:r>
      <w:r w:rsidR="008C43F2">
        <w:rPr>
          <w:rFonts w:asciiTheme="minorEastAsia" w:eastAsiaTheme="minorEastAsia" w:hAnsiTheme="minorEastAsia" w:hint="eastAsia"/>
          <w:sz w:val="24"/>
          <w:szCs w:val="24"/>
        </w:rPr>
        <w:t>二期开发</w:t>
      </w:r>
      <w:r w:rsidR="008C43F2">
        <w:rPr>
          <w:rFonts w:asciiTheme="minorEastAsia" w:eastAsiaTheme="minorEastAsia" w:hAnsiTheme="minorEastAsia"/>
          <w:sz w:val="24"/>
          <w:szCs w:val="24"/>
        </w:rPr>
        <w:t>,8H</w:t>
      </w:r>
      <w:r w:rsidR="008C43F2">
        <w:rPr>
          <w:rFonts w:asciiTheme="minorEastAsia" w:eastAsiaTheme="minorEastAsia" w:hAnsiTheme="minorEastAsia"/>
          <w:sz w:val="24"/>
          <w:szCs w:val="24"/>
        </w:rPr>
        <w:t>)</w:t>
      </w:r>
    </w:p>
    <w:p w:rsidR="00F25EB5" w:rsidRPr="00EF5874" w:rsidRDefault="00EF5874" w:rsidP="00EF5874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培训会、会议申请、公务用餐、客饭用餐均为一事一报制，由经办人发起申请。审核完成之后，完善实际支出情况，由经办人转为报销单。</w:t>
      </w:r>
      <w:r w:rsidR="008C43F2">
        <w:rPr>
          <w:rFonts w:asciiTheme="minorEastAsia" w:eastAsiaTheme="minorEastAsia" w:hAnsiTheme="minorEastAsia"/>
          <w:sz w:val="24"/>
          <w:szCs w:val="24"/>
        </w:rPr>
        <w:t>(</w:t>
      </w:r>
      <w:r w:rsidR="008C43F2">
        <w:rPr>
          <w:rFonts w:asciiTheme="minorEastAsia" w:eastAsiaTheme="minorEastAsia" w:hAnsiTheme="minorEastAsia" w:hint="eastAsia"/>
          <w:sz w:val="24"/>
          <w:szCs w:val="24"/>
        </w:rPr>
        <w:t>二期开发</w:t>
      </w:r>
      <w:r w:rsidR="008C43F2">
        <w:rPr>
          <w:rFonts w:asciiTheme="minorEastAsia" w:eastAsiaTheme="minorEastAsia" w:hAnsiTheme="minorEastAsia"/>
          <w:sz w:val="24"/>
          <w:szCs w:val="24"/>
        </w:rPr>
        <w:t>,8H</w:t>
      </w:r>
      <w:r w:rsidR="008C43F2">
        <w:rPr>
          <w:rFonts w:asciiTheme="minorEastAsia" w:eastAsiaTheme="minorEastAsia" w:hAnsiTheme="minorEastAsia"/>
          <w:sz w:val="24"/>
          <w:szCs w:val="24"/>
        </w:rPr>
        <w:t>)</w:t>
      </w:r>
    </w:p>
    <w:p w:rsidR="007337FA" w:rsidRDefault="00EF5874" w:rsidP="00E223C9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所有的单据打印模板应为A5样式，便于装订。同时在A4模板的中间加一条黑色分割虚线。便于剪裁。</w:t>
      </w:r>
      <w:r w:rsidR="00E23262">
        <w:rPr>
          <w:rFonts w:asciiTheme="minorEastAsia" w:eastAsiaTheme="minorEastAsia" w:hAnsiTheme="minorEastAsia"/>
          <w:sz w:val="24"/>
          <w:szCs w:val="24"/>
        </w:rPr>
        <w:t>(16H,</w:t>
      </w:r>
      <w:r w:rsidR="00E23262">
        <w:rPr>
          <w:rFonts w:asciiTheme="minorEastAsia" w:eastAsiaTheme="minorEastAsia" w:hAnsiTheme="minorEastAsia" w:hint="eastAsia"/>
          <w:sz w:val="24"/>
          <w:szCs w:val="24"/>
        </w:rPr>
        <w:t>建议用A5的纸和A5打印机</w:t>
      </w:r>
      <w:r w:rsidR="00E23262">
        <w:rPr>
          <w:rFonts w:asciiTheme="minorEastAsia" w:eastAsiaTheme="minorEastAsia" w:hAnsiTheme="minorEastAsia"/>
          <w:sz w:val="24"/>
          <w:szCs w:val="24"/>
        </w:rPr>
        <w:t>)</w:t>
      </w:r>
    </w:p>
    <w:p w:rsidR="00505935" w:rsidRPr="00CE67DB" w:rsidRDefault="00EF5874" w:rsidP="00CE67DB">
      <w:pPr>
        <w:pStyle w:val="a6"/>
        <w:numPr>
          <w:ilvl w:val="0"/>
          <w:numId w:val="5"/>
        </w:numPr>
        <w:ind w:left="0" w:firstLineChars="0" w:firstLine="42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所有单据的填报界面，下面的选择文件/</w:t>
      </w:r>
      <w:r w:rsidR="00CE67DB">
        <w:rPr>
          <w:rFonts w:asciiTheme="minorEastAsia" w:eastAsiaTheme="minorEastAsia" w:hAnsiTheme="minorEastAsia" w:hint="eastAsia"/>
          <w:sz w:val="24"/>
          <w:szCs w:val="24"/>
        </w:rPr>
        <w:t>打开</w:t>
      </w:r>
      <w:proofErr w:type="gramStart"/>
      <w:r w:rsidR="00CE67DB">
        <w:rPr>
          <w:rFonts w:asciiTheme="minorEastAsia" w:eastAsiaTheme="minorEastAsia" w:hAnsiTheme="minorEastAsia" w:hint="eastAsia"/>
          <w:sz w:val="24"/>
          <w:szCs w:val="24"/>
        </w:rPr>
        <w:t>高拍仪</w:t>
      </w:r>
      <w:proofErr w:type="gramEnd"/>
      <w:r w:rsidR="00CE67DB">
        <w:rPr>
          <w:rFonts w:asciiTheme="minorEastAsia" w:eastAsiaTheme="minorEastAsia" w:hAnsiTheme="minorEastAsia" w:hint="eastAsia"/>
          <w:sz w:val="24"/>
          <w:szCs w:val="24"/>
        </w:rPr>
        <w:t>附件管理模块，在填报界面中用小方框圈起来，即上方框</w:t>
      </w:r>
      <w:proofErr w:type="gramStart"/>
      <w:r w:rsidR="00CE67DB">
        <w:rPr>
          <w:rFonts w:asciiTheme="minorEastAsia" w:eastAsiaTheme="minorEastAsia" w:hAnsiTheme="minorEastAsia" w:hint="eastAsia"/>
          <w:sz w:val="24"/>
          <w:szCs w:val="24"/>
        </w:rPr>
        <w:t>选区域</w:t>
      </w:r>
      <w:proofErr w:type="gramEnd"/>
      <w:r w:rsidR="00CE67DB">
        <w:rPr>
          <w:rFonts w:asciiTheme="minorEastAsia" w:eastAsiaTheme="minorEastAsia" w:hAnsiTheme="minorEastAsia" w:hint="eastAsia"/>
          <w:sz w:val="24"/>
          <w:szCs w:val="24"/>
        </w:rPr>
        <w:t>为填报信息，下方框</w:t>
      </w:r>
      <w:proofErr w:type="gramStart"/>
      <w:r w:rsidR="00CE67DB">
        <w:rPr>
          <w:rFonts w:asciiTheme="minorEastAsia" w:eastAsiaTheme="minorEastAsia" w:hAnsiTheme="minorEastAsia" w:hint="eastAsia"/>
          <w:sz w:val="24"/>
          <w:szCs w:val="24"/>
        </w:rPr>
        <w:t>选区域</w:t>
      </w:r>
      <w:proofErr w:type="gramEnd"/>
      <w:r w:rsidR="00CE67DB">
        <w:rPr>
          <w:rFonts w:asciiTheme="minorEastAsia" w:eastAsiaTheme="minorEastAsia" w:hAnsiTheme="minorEastAsia" w:hint="eastAsia"/>
          <w:sz w:val="24"/>
          <w:szCs w:val="24"/>
        </w:rPr>
        <w:t>为附件管</w:t>
      </w:r>
      <w:r w:rsidR="00CE67DB">
        <w:rPr>
          <w:rFonts w:asciiTheme="minorEastAsia" w:eastAsiaTheme="minorEastAsia" w:hAnsiTheme="minorEastAsia" w:hint="eastAsia"/>
          <w:sz w:val="24"/>
          <w:szCs w:val="24"/>
        </w:rPr>
        <w:lastRenderedPageBreak/>
        <w:t>理。</w:t>
      </w:r>
      <w:r w:rsidR="0073688A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926020">
        <w:rPr>
          <w:rFonts w:asciiTheme="minorEastAsia" w:eastAsiaTheme="minorEastAsia" w:hAnsiTheme="minorEastAsia" w:hint="eastAsia"/>
          <w:sz w:val="24"/>
          <w:szCs w:val="24"/>
        </w:rPr>
        <w:t>24</w:t>
      </w:r>
      <w:r w:rsidR="0073688A">
        <w:rPr>
          <w:rFonts w:asciiTheme="minorEastAsia" w:eastAsiaTheme="minorEastAsia" w:hAnsiTheme="minorEastAsia" w:hint="eastAsia"/>
          <w:sz w:val="24"/>
          <w:szCs w:val="24"/>
        </w:rPr>
        <w:t>H）</w:t>
      </w:r>
    </w:p>
    <w:sectPr w:rsidR="00505935" w:rsidRPr="00CE67DB" w:rsidSect="002E4A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6E1" w:rsidRDefault="00A736E1" w:rsidP="00F25EB5">
      <w:pPr>
        <w:spacing w:line="240" w:lineRule="auto"/>
        <w:ind w:firstLine="560"/>
      </w:pPr>
      <w:r>
        <w:separator/>
      </w:r>
    </w:p>
  </w:endnote>
  <w:endnote w:type="continuationSeparator" w:id="0">
    <w:p w:rsidR="00A736E1" w:rsidRDefault="00A736E1" w:rsidP="00F25EB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EB5" w:rsidRDefault="00F25EB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EB5" w:rsidRDefault="00F25EB5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EB5" w:rsidRDefault="00F25EB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6E1" w:rsidRDefault="00A736E1" w:rsidP="00F25EB5">
      <w:pPr>
        <w:spacing w:line="240" w:lineRule="auto"/>
        <w:ind w:firstLine="560"/>
      </w:pPr>
      <w:r>
        <w:separator/>
      </w:r>
    </w:p>
  </w:footnote>
  <w:footnote w:type="continuationSeparator" w:id="0">
    <w:p w:rsidR="00A736E1" w:rsidRDefault="00A736E1" w:rsidP="00F25EB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EB5" w:rsidRDefault="00F25EB5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EB5" w:rsidRDefault="00F25EB5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5EB5" w:rsidRDefault="00F25EB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76BE"/>
    <w:multiLevelType w:val="hybridMultilevel"/>
    <w:tmpl w:val="7FB02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62044F"/>
    <w:multiLevelType w:val="hybridMultilevel"/>
    <w:tmpl w:val="11B0E54C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1AD7928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9C6CEE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054281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804DBE"/>
    <w:multiLevelType w:val="hybridMultilevel"/>
    <w:tmpl w:val="62B8A3A2"/>
    <w:lvl w:ilvl="0" w:tplc="88688BF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B84AF2"/>
    <w:multiLevelType w:val="hybridMultilevel"/>
    <w:tmpl w:val="B45467A2"/>
    <w:lvl w:ilvl="0" w:tplc="65EEC7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DAF0B07"/>
    <w:multiLevelType w:val="hybridMultilevel"/>
    <w:tmpl w:val="6472BF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8E22E6B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E87436"/>
    <w:multiLevelType w:val="hybridMultilevel"/>
    <w:tmpl w:val="0082B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07D0"/>
    <w:rsid w:val="0001203F"/>
    <w:rsid w:val="000A2C85"/>
    <w:rsid w:val="000D12A3"/>
    <w:rsid w:val="000D3A04"/>
    <w:rsid w:val="001034F4"/>
    <w:rsid w:val="00221D5F"/>
    <w:rsid w:val="002B1E10"/>
    <w:rsid w:val="002C5D43"/>
    <w:rsid w:val="002E4AC7"/>
    <w:rsid w:val="00347243"/>
    <w:rsid w:val="003925FA"/>
    <w:rsid w:val="003D7338"/>
    <w:rsid w:val="003D7C4D"/>
    <w:rsid w:val="003F07D0"/>
    <w:rsid w:val="00414007"/>
    <w:rsid w:val="004238DA"/>
    <w:rsid w:val="0046043B"/>
    <w:rsid w:val="004728A9"/>
    <w:rsid w:val="00485416"/>
    <w:rsid w:val="00505935"/>
    <w:rsid w:val="005060D1"/>
    <w:rsid w:val="00610E68"/>
    <w:rsid w:val="0062721E"/>
    <w:rsid w:val="00634214"/>
    <w:rsid w:val="006A26E0"/>
    <w:rsid w:val="006C2E8B"/>
    <w:rsid w:val="00733236"/>
    <w:rsid w:val="007337FA"/>
    <w:rsid w:val="0073688A"/>
    <w:rsid w:val="00796721"/>
    <w:rsid w:val="007D5A25"/>
    <w:rsid w:val="007E1777"/>
    <w:rsid w:val="00817E38"/>
    <w:rsid w:val="008806A3"/>
    <w:rsid w:val="008859E8"/>
    <w:rsid w:val="00891D3B"/>
    <w:rsid w:val="00892F19"/>
    <w:rsid w:val="00894BC1"/>
    <w:rsid w:val="008C43F2"/>
    <w:rsid w:val="008C5745"/>
    <w:rsid w:val="008D712F"/>
    <w:rsid w:val="00926020"/>
    <w:rsid w:val="00977452"/>
    <w:rsid w:val="009B7A51"/>
    <w:rsid w:val="00A736E1"/>
    <w:rsid w:val="00AB0672"/>
    <w:rsid w:val="00AF3A98"/>
    <w:rsid w:val="00B72134"/>
    <w:rsid w:val="00BB71D1"/>
    <w:rsid w:val="00BD3ECB"/>
    <w:rsid w:val="00C25F0C"/>
    <w:rsid w:val="00C663B4"/>
    <w:rsid w:val="00CE67DB"/>
    <w:rsid w:val="00D3064C"/>
    <w:rsid w:val="00DA34A5"/>
    <w:rsid w:val="00E223C9"/>
    <w:rsid w:val="00E23262"/>
    <w:rsid w:val="00E263EA"/>
    <w:rsid w:val="00E90DA9"/>
    <w:rsid w:val="00EA6A38"/>
    <w:rsid w:val="00EF2108"/>
    <w:rsid w:val="00EF5874"/>
    <w:rsid w:val="00F25EB5"/>
    <w:rsid w:val="00F31BA2"/>
    <w:rsid w:val="00F9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7D0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3F07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0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0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一级标题"/>
    <w:basedOn w:val="1"/>
    <w:next w:val="a"/>
    <w:link w:val="Char"/>
    <w:qFormat/>
    <w:rsid w:val="003F07D0"/>
    <w:pPr>
      <w:tabs>
        <w:tab w:val="left" w:pos="851"/>
      </w:tabs>
      <w:spacing w:beforeLines="50" w:afterLines="50"/>
      <w:ind w:firstLineChars="0" w:firstLine="0"/>
    </w:pPr>
    <w:rPr>
      <w:rFonts w:ascii="Calibri" w:eastAsia="宋体" w:hAnsi="Calibri" w:cs="Times New Roman"/>
      <w:sz w:val="36"/>
      <w:szCs w:val="36"/>
    </w:rPr>
  </w:style>
  <w:style w:type="character" w:customStyle="1" w:styleId="Char">
    <w:name w:val="一级标题 Char"/>
    <w:link w:val="a4"/>
    <w:rsid w:val="003F07D0"/>
    <w:rPr>
      <w:rFonts w:ascii="Calibri" w:eastAsia="宋体" w:hAnsi="Calibri" w:cs="Times New Roman"/>
      <w:b/>
      <w:bCs/>
      <w:kern w:val="44"/>
      <w:sz w:val="36"/>
      <w:szCs w:val="36"/>
    </w:rPr>
  </w:style>
  <w:style w:type="paragraph" w:customStyle="1" w:styleId="a5">
    <w:name w:val="二级标题"/>
    <w:basedOn w:val="2"/>
    <w:next w:val="a"/>
    <w:link w:val="Char0"/>
    <w:qFormat/>
    <w:rsid w:val="003F07D0"/>
    <w:pPr>
      <w:tabs>
        <w:tab w:val="left" w:pos="567"/>
      </w:tabs>
      <w:spacing w:beforeLines="50" w:afterLines="50"/>
      <w:ind w:leftChars="1" w:left="424" w:hangingChars="132" w:hanging="422"/>
    </w:pPr>
    <w:rPr>
      <w:rFonts w:ascii="Calibri Light" w:eastAsia="宋体" w:hAnsi="Calibri Light" w:cs="Times New Roman"/>
    </w:rPr>
  </w:style>
  <w:style w:type="character" w:customStyle="1" w:styleId="Char0">
    <w:name w:val="二级标题 Char"/>
    <w:link w:val="a5"/>
    <w:rsid w:val="003F07D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F07D0"/>
    <w:rPr>
      <w:rFonts w:eastAsia="仿宋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F0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3064C"/>
    <w:pPr>
      <w:ind w:firstLine="420"/>
    </w:pPr>
  </w:style>
  <w:style w:type="paragraph" w:styleId="a7">
    <w:name w:val="header"/>
    <w:basedOn w:val="a"/>
    <w:link w:val="Char1"/>
    <w:uiPriority w:val="99"/>
    <w:unhideWhenUsed/>
    <w:rsid w:val="00F25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25EB5"/>
    <w:rPr>
      <w:rFonts w:eastAsia="仿宋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F25EB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25EB5"/>
    <w:rPr>
      <w:rFonts w:eastAsia="仿宋"/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B7213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B7213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34724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47243"/>
    <w:rPr>
      <w:rFonts w:eastAsia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WMW</cp:lastModifiedBy>
  <cp:revision>20</cp:revision>
  <dcterms:created xsi:type="dcterms:W3CDTF">2017-12-19T13:03:00Z</dcterms:created>
  <dcterms:modified xsi:type="dcterms:W3CDTF">2018-02-02T06:27:00Z</dcterms:modified>
</cp:coreProperties>
</file>