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w:t>
      </w:r>
      <w:r>
        <w:rPr>
          <w:rFonts w:hint="eastAsia"/>
        </w:rPr>
        <w:t>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w:t>
      </w:r>
      <w:r>
        <w:rPr>
          <w:rFonts w:hint="eastAsia"/>
        </w:rPr>
        <w:t>其他期货</w:t>
      </w:r>
      <w:r>
        <w:rPr>
          <w:rFonts w:hint="eastAsia"/>
        </w:rPr>
        <w:t>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043A4DC0" w14:textId="1A6BFB85" w:rsidR="00506599" w:rsidRDefault="00506599" w:rsidP="00BE6B3C"/>
    <w:p w14:paraId="3B9CD3CA" w14:textId="77777777" w:rsidR="00506599" w:rsidRDefault="00506599" w:rsidP="00BE6B3C">
      <w:pPr>
        <w:rPr>
          <w:rFonts w:hint="eastAsia"/>
        </w:rPr>
      </w:pPr>
    </w:p>
    <w:p w14:paraId="71C4F633" w14:textId="4E23A784" w:rsidR="00BE6B3C" w:rsidRDefault="00BE6B3C" w:rsidP="00BE6B3C"/>
    <w:p w14:paraId="48DE5F00" w14:textId="203F7BE9" w:rsidR="00BE6B3C" w:rsidRDefault="00BE6B3C" w:rsidP="00BE6B3C"/>
    <w:p w14:paraId="3E8154FD" w14:textId="34E4B90B" w:rsidR="00BE6B3C" w:rsidRDefault="00BE6B3C" w:rsidP="00BE6B3C"/>
    <w:p w14:paraId="459BBDE7" w14:textId="46B283F1" w:rsidR="00BE6B3C" w:rsidRDefault="00BE6B3C" w:rsidP="00BE6B3C"/>
    <w:p w14:paraId="497C89D2" w14:textId="77777777" w:rsidR="00BE6B3C" w:rsidRPr="00BE6B3C" w:rsidRDefault="00BE6B3C" w:rsidP="00BE6B3C">
      <w:pPr>
        <w:rPr>
          <w:rFonts w:hint="eastAsia"/>
        </w:rPr>
      </w:pPr>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32B08" w14:textId="77777777" w:rsidR="000113D1" w:rsidRDefault="000113D1" w:rsidP="002D398F">
      <w:r>
        <w:separator/>
      </w:r>
    </w:p>
  </w:endnote>
  <w:endnote w:type="continuationSeparator" w:id="0">
    <w:p w14:paraId="08EB32C7" w14:textId="77777777" w:rsidR="000113D1" w:rsidRDefault="000113D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73057" w14:textId="77777777" w:rsidR="000113D1" w:rsidRDefault="000113D1" w:rsidP="002D398F">
      <w:r>
        <w:separator/>
      </w:r>
    </w:p>
  </w:footnote>
  <w:footnote w:type="continuationSeparator" w:id="0">
    <w:p w14:paraId="65E1ACCB" w14:textId="77777777" w:rsidR="000113D1" w:rsidRDefault="000113D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9E87881"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9A64AC">
        <w:rPr>
          <w:noProof/>
        </w:rPr>
        <w:t>第一章 证券市场的法律法规体系</w:t>
      </w:r>
    </w:fldSimple>
    <w:r>
      <w:ptab w:relativeTo="margin" w:alignment="right" w:leader="none"/>
    </w:r>
    <w:fldSimple w:instr=" STYLEREF  &quot;标题 2,标题 2 小节&quot;  \* MERGEFORMAT ">
      <w:r w:rsidR="009A64AC">
        <w:rPr>
          <w:noProof/>
        </w:rPr>
        <w:t>第七节 证券公司监督管理条例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1"/>
  </w:num>
  <w:num w:numId="2">
    <w:abstractNumId w:val="110"/>
  </w:num>
  <w:num w:numId="3">
    <w:abstractNumId w:val="75"/>
  </w:num>
  <w:num w:numId="4">
    <w:abstractNumId w:val="6"/>
  </w:num>
  <w:num w:numId="5">
    <w:abstractNumId w:val="79"/>
  </w:num>
  <w:num w:numId="6">
    <w:abstractNumId w:val="34"/>
  </w:num>
  <w:num w:numId="7">
    <w:abstractNumId w:val="92"/>
  </w:num>
  <w:num w:numId="8">
    <w:abstractNumId w:val="48"/>
  </w:num>
  <w:num w:numId="9">
    <w:abstractNumId w:val="108"/>
  </w:num>
  <w:num w:numId="10">
    <w:abstractNumId w:val="121"/>
  </w:num>
  <w:num w:numId="11">
    <w:abstractNumId w:val="0"/>
  </w:num>
  <w:num w:numId="12">
    <w:abstractNumId w:val="32"/>
  </w:num>
  <w:num w:numId="13">
    <w:abstractNumId w:val="57"/>
  </w:num>
  <w:num w:numId="14">
    <w:abstractNumId w:val="1"/>
  </w:num>
  <w:num w:numId="15">
    <w:abstractNumId w:val="88"/>
  </w:num>
  <w:num w:numId="16">
    <w:abstractNumId w:val="76"/>
  </w:num>
  <w:num w:numId="17">
    <w:abstractNumId w:val="54"/>
  </w:num>
  <w:num w:numId="18">
    <w:abstractNumId w:val="2"/>
  </w:num>
  <w:num w:numId="19">
    <w:abstractNumId w:val="118"/>
  </w:num>
  <w:num w:numId="20">
    <w:abstractNumId w:val="80"/>
  </w:num>
  <w:num w:numId="21">
    <w:abstractNumId w:val="51"/>
  </w:num>
  <w:num w:numId="22">
    <w:abstractNumId w:val="9"/>
  </w:num>
  <w:num w:numId="23">
    <w:abstractNumId w:val="112"/>
  </w:num>
  <w:num w:numId="24">
    <w:abstractNumId w:val="31"/>
  </w:num>
  <w:num w:numId="25">
    <w:abstractNumId w:val="63"/>
  </w:num>
  <w:num w:numId="26">
    <w:abstractNumId w:val="18"/>
  </w:num>
  <w:num w:numId="27">
    <w:abstractNumId w:val="113"/>
  </w:num>
  <w:num w:numId="28">
    <w:abstractNumId w:val="144"/>
  </w:num>
  <w:num w:numId="29">
    <w:abstractNumId w:val="67"/>
  </w:num>
  <w:num w:numId="30">
    <w:abstractNumId w:val="107"/>
  </w:num>
  <w:num w:numId="31">
    <w:abstractNumId w:val="96"/>
  </w:num>
  <w:num w:numId="32">
    <w:abstractNumId w:val="133"/>
  </w:num>
  <w:num w:numId="33">
    <w:abstractNumId w:val="10"/>
  </w:num>
  <w:num w:numId="34">
    <w:abstractNumId w:val="70"/>
  </w:num>
  <w:num w:numId="35">
    <w:abstractNumId w:val="130"/>
  </w:num>
  <w:num w:numId="36">
    <w:abstractNumId w:val="46"/>
  </w:num>
  <w:num w:numId="37">
    <w:abstractNumId w:val="126"/>
  </w:num>
  <w:num w:numId="38">
    <w:abstractNumId w:val="94"/>
  </w:num>
  <w:num w:numId="39">
    <w:abstractNumId w:val="109"/>
  </w:num>
  <w:num w:numId="40">
    <w:abstractNumId w:val="42"/>
  </w:num>
  <w:num w:numId="41">
    <w:abstractNumId w:val="40"/>
  </w:num>
  <w:num w:numId="42">
    <w:abstractNumId w:val="132"/>
  </w:num>
  <w:num w:numId="43">
    <w:abstractNumId w:val="116"/>
  </w:num>
  <w:num w:numId="44">
    <w:abstractNumId w:val="13"/>
  </w:num>
  <w:num w:numId="45">
    <w:abstractNumId w:val="64"/>
  </w:num>
  <w:num w:numId="46">
    <w:abstractNumId w:val="69"/>
  </w:num>
  <w:num w:numId="47">
    <w:abstractNumId w:val="68"/>
  </w:num>
  <w:num w:numId="48">
    <w:abstractNumId w:val="134"/>
  </w:num>
  <w:num w:numId="49">
    <w:abstractNumId w:val="146"/>
  </w:num>
  <w:num w:numId="50">
    <w:abstractNumId w:val="4"/>
  </w:num>
  <w:num w:numId="51">
    <w:abstractNumId w:val="100"/>
  </w:num>
  <w:num w:numId="52">
    <w:abstractNumId w:val="86"/>
  </w:num>
  <w:num w:numId="53">
    <w:abstractNumId w:val="73"/>
  </w:num>
  <w:num w:numId="54">
    <w:abstractNumId w:val="23"/>
  </w:num>
  <w:num w:numId="55">
    <w:abstractNumId w:val="143"/>
  </w:num>
  <w:num w:numId="56">
    <w:abstractNumId w:val="41"/>
  </w:num>
  <w:num w:numId="57">
    <w:abstractNumId w:val="97"/>
  </w:num>
  <w:num w:numId="58">
    <w:abstractNumId w:val="81"/>
  </w:num>
  <w:num w:numId="59">
    <w:abstractNumId w:val="25"/>
  </w:num>
  <w:num w:numId="60">
    <w:abstractNumId w:val="99"/>
  </w:num>
  <w:num w:numId="61">
    <w:abstractNumId w:val="102"/>
  </w:num>
  <w:num w:numId="62">
    <w:abstractNumId w:val="147"/>
  </w:num>
  <w:num w:numId="63">
    <w:abstractNumId w:val="82"/>
  </w:num>
  <w:num w:numId="64">
    <w:abstractNumId w:val="22"/>
  </w:num>
  <w:num w:numId="65">
    <w:abstractNumId w:val="71"/>
  </w:num>
  <w:num w:numId="66">
    <w:abstractNumId w:val="117"/>
  </w:num>
  <w:num w:numId="67">
    <w:abstractNumId w:val="89"/>
  </w:num>
  <w:num w:numId="68">
    <w:abstractNumId w:val="128"/>
  </w:num>
  <w:num w:numId="69">
    <w:abstractNumId w:val="122"/>
  </w:num>
  <w:num w:numId="70">
    <w:abstractNumId w:val="140"/>
  </w:num>
  <w:num w:numId="71">
    <w:abstractNumId w:val="28"/>
  </w:num>
  <w:num w:numId="72">
    <w:abstractNumId w:val="29"/>
  </w:num>
  <w:num w:numId="73">
    <w:abstractNumId w:val="135"/>
  </w:num>
  <w:num w:numId="74">
    <w:abstractNumId w:val="124"/>
  </w:num>
  <w:num w:numId="75">
    <w:abstractNumId w:val="123"/>
  </w:num>
  <w:num w:numId="76">
    <w:abstractNumId w:val="125"/>
  </w:num>
  <w:num w:numId="77">
    <w:abstractNumId w:val="77"/>
  </w:num>
  <w:num w:numId="78">
    <w:abstractNumId w:val="35"/>
  </w:num>
  <w:num w:numId="79">
    <w:abstractNumId w:val="120"/>
  </w:num>
  <w:num w:numId="80">
    <w:abstractNumId w:val="7"/>
  </w:num>
  <w:num w:numId="81">
    <w:abstractNumId w:val="145"/>
  </w:num>
  <w:num w:numId="82">
    <w:abstractNumId w:val="119"/>
  </w:num>
  <w:num w:numId="83">
    <w:abstractNumId w:val="50"/>
  </w:num>
  <w:num w:numId="84">
    <w:abstractNumId w:val="15"/>
  </w:num>
  <w:num w:numId="85">
    <w:abstractNumId w:val="72"/>
  </w:num>
  <w:num w:numId="86">
    <w:abstractNumId w:val="74"/>
  </w:num>
  <w:num w:numId="87">
    <w:abstractNumId w:val="58"/>
  </w:num>
  <w:num w:numId="88">
    <w:abstractNumId w:val="27"/>
  </w:num>
  <w:num w:numId="89">
    <w:abstractNumId w:val="39"/>
  </w:num>
  <w:num w:numId="90">
    <w:abstractNumId w:val="84"/>
  </w:num>
  <w:num w:numId="91">
    <w:abstractNumId w:val="142"/>
  </w:num>
  <w:num w:numId="92">
    <w:abstractNumId w:val="66"/>
  </w:num>
  <w:num w:numId="93">
    <w:abstractNumId w:val="26"/>
  </w:num>
  <w:num w:numId="94">
    <w:abstractNumId w:val="36"/>
  </w:num>
  <w:num w:numId="95">
    <w:abstractNumId w:val="33"/>
  </w:num>
  <w:num w:numId="96">
    <w:abstractNumId w:val="78"/>
  </w:num>
  <w:num w:numId="97">
    <w:abstractNumId w:val="5"/>
  </w:num>
  <w:num w:numId="98">
    <w:abstractNumId w:val="3"/>
  </w:num>
  <w:num w:numId="99">
    <w:abstractNumId w:val="65"/>
  </w:num>
  <w:num w:numId="100">
    <w:abstractNumId w:val="53"/>
  </w:num>
  <w:num w:numId="101">
    <w:abstractNumId w:val="90"/>
  </w:num>
  <w:num w:numId="102">
    <w:abstractNumId w:val="59"/>
  </w:num>
  <w:num w:numId="103">
    <w:abstractNumId w:val="30"/>
  </w:num>
  <w:num w:numId="104">
    <w:abstractNumId w:val="127"/>
  </w:num>
  <w:num w:numId="105">
    <w:abstractNumId w:val="114"/>
  </w:num>
  <w:num w:numId="106">
    <w:abstractNumId w:val="115"/>
  </w:num>
  <w:num w:numId="107">
    <w:abstractNumId w:val="137"/>
  </w:num>
  <w:num w:numId="108">
    <w:abstractNumId w:val="91"/>
  </w:num>
  <w:num w:numId="109">
    <w:abstractNumId w:val="20"/>
  </w:num>
  <w:num w:numId="110">
    <w:abstractNumId w:val="148"/>
  </w:num>
  <w:num w:numId="111">
    <w:abstractNumId w:val="95"/>
  </w:num>
  <w:num w:numId="112">
    <w:abstractNumId w:val="16"/>
  </w:num>
  <w:num w:numId="113">
    <w:abstractNumId w:val="21"/>
  </w:num>
  <w:num w:numId="114">
    <w:abstractNumId w:val="87"/>
  </w:num>
  <w:num w:numId="115">
    <w:abstractNumId w:val="136"/>
  </w:num>
  <w:num w:numId="116">
    <w:abstractNumId w:val="19"/>
  </w:num>
  <w:num w:numId="117">
    <w:abstractNumId w:val="60"/>
  </w:num>
  <w:num w:numId="118">
    <w:abstractNumId w:val="141"/>
  </w:num>
  <w:num w:numId="119">
    <w:abstractNumId w:val="98"/>
  </w:num>
  <w:num w:numId="120">
    <w:abstractNumId w:val="8"/>
  </w:num>
  <w:num w:numId="121">
    <w:abstractNumId w:val="93"/>
  </w:num>
  <w:num w:numId="122">
    <w:abstractNumId w:val="43"/>
  </w:num>
  <w:num w:numId="123">
    <w:abstractNumId w:val="56"/>
  </w:num>
  <w:num w:numId="124">
    <w:abstractNumId w:val="103"/>
  </w:num>
  <w:num w:numId="125">
    <w:abstractNumId w:val="138"/>
  </w:num>
  <w:num w:numId="126">
    <w:abstractNumId w:val="105"/>
  </w:num>
  <w:num w:numId="127">
    <w:abstractNumId w:val="52"/>
  </w:num>
  <w:num w:numId="128">
    <w:abstractNumId w:val="111"/>
  </w:num>
  <w:num w:numId="129">
    <w:abstractNumId w:val="17"/>
  </w:num>
  <w:num w:numId="130">
    <w:abstractNumId w:val="37"/>
  </w:num>
  <w:num w:numId="131">
    <w:abstractNumId w:val="12"/>
  </w:num>
  <w:num w:numId="132">
    <w:abstractNumId w:val="61"/>
  </w:num>
  <w:num w:numId="133">
    <w:abstractNumId w:val="106"/>
  </w:num>
  <w:num w:numId="134">
    <w:abstractNumId w:val="47"/>
  </w:num>
  <w:num w:numId="135">
    <w:abstractNumId w:val="83"/>
  </w:num>
  <w:num w:numId="136">
    <w:abstractNumId w:val="131"/>
  </w:num>
  <w:num w:numId="137">
    <w:abstractNumId w:val="45"/>
  </w:num>
  <w:num w:numId="138">
    <w:abstractNumId w:val="44"/>
  </w:num>
  <w:num w:numId="139">
    <w:abstractNumId w:val="49"/>
  </w:num>
  <w:num w:numId="140">
    <w:abstractNumId w:val="14"/>
  </w:num>
  <w:num w:numId="141">
    <w:abstractNumId w:val="11"/>
  </w:num>
  <w:num w:numId="142">
    <w:abstractNumId w:val="139"/>
  </w:num>
  <w:num w:numId="143">
    <w:abstractNumId w:val="55"/>
  </w:num>
  <w:num w:numId="144">
    <w:abstractNumId w:val="24"/>
  </w:num>
  <w:num w:numId="145">
    <w:abstractNumId w:val="129"/>
  </w:num>
  <w:num w:numId="146">
    <w:abstractNumId w:val="62"/>
  </w:num>
  <w:num w:numId="147">
    <w:abstractNumId w:val="104"/>
  </w:num>
  <w:num w:numId="148">
    <w:abstractNumId w:val="38"/>
  </w:num>
  <w:num w:numId="149">
    <w:abstractNumId w:val="85"/>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3D1"/>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C3B"/>
    <w:rsid w:val="004C5C4C"/>
    <w:rsid w:val="004C6817"/>
    <w:rsid w:val="004C7E1B"/>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65"/>
    <w:rsid w:val="00562DA0"/>
    <w:rsid w:val="005632A5"/>
    <w:rsid w:val="00563A56"/>
    <w:rsid w:val="00563E41"/>
    <w:rsid w:val="00564D5A"/>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7280</TotalTime>
  <Pages>49</Pages>
  <Words>5031</Words>
  <Characters>28680</Characters>
  <Application>Microsoft Office Word</Application>
  <DocSecurity>0</DocSecurity>
  <Lines>239</Lines>
  <Paragraphs>67</Paragraphs>
  <ScaleCrop>false</ScaleCrop>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3089</cp:revision>
  <dcterms:created xsi:type="dcterms:W3CDTF">2020-06-27T08:27:00Z</dcterms:created>
  <dcterms:modified xsi:type="dcterms:W3CDTF">2020-07-25T07:49:00Z</dcterms:modified>
</cp:coreProperties>
</file>