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77777777"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8F6DB2">
        <w:rPr>
          <w:noProof/>
        </w:rPr>
        <w:t>2020年7月28日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AB7514">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AB7514">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AB7514">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AB7514">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AB7514">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AB7514">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AB7514">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AB7514">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AB7514">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AB7514">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AB7514">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AB7514">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AB7514">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AB7514">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AB7514">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AB7514">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AB7514">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AB7514">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AB7514">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AB7514">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AB7514">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AB7514">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AB7514">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AB7514">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AB7514">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AB7514">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AB7514">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AB7514">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AB7514">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AB7514">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AB7514">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AB7514">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AB7514">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AB7514">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AB7514">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AB7514">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77777777" w:rsidR="00225188" w:rsidRDefault="00AB7514">
      <w:pPr>
        <w:widowControl/>
        <w:jc w:val="left"/>
      </w:pPr>
      <w:hyperlink r:id="rId10" w:history="1">
        <w:r w:rsidR="000231B4" w:rsidRPr="00D87932">
          <w:rPr>
            <w:rStyle w:val="ac"/>
          </w:rPr>
          <w:t>https://www.bilibili.com/video/BV1Nb411G7oB?t=1149&amp;p=61</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pPr>
        <w:rPr>
          <w:rFonts w:hint="eastAsia"/>
        </w:rPr>
      </w:pPr>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rPr>
          <w:rFonts w:hint="eastAsia"/>
        </w:rPr>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rPr>
          <w:rFonts w:hint="eastAsia"/>
        </w:rPr>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rPr>
          <w:rFonts w:hint="eastAsia"/>
        </w:rPr>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pPr>
        <w:rPr>
          <w:rFonts w:hint="eastAsia"/>
        </w:rPr>
      </w:pPr>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rPr>
          <w:rFonts w:hint="eastAsia"/>
        </w:rPr>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rPr>
          <w:rFonts w:hint="eastAsia"/>
        </w:rPr>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rPr>
          <w:rFonts w:hint="eastAsia"/>
        </w:rPr>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w:t>
      </w:r>
      <w:r>
        <w:rPr>
          <w:rFonts w:hint="eastAsia"/>
        </w:rPr>
        <w:t>妥善</w:t>
      </w:r>
      <w:r>
        <w:rPr>
          <w:rFonts w:hint="eastAsia"/>
        </w:rPr>
        <w:t>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w:t>
      </w:r>
      <w:r>
        <w:rPr>
          <w:rFonts w:hint="eastAsia"/>
        </w:rPr>
        <w:t>名义</w:t>
      </w:r>
      <w:r>
        <w:rPr>
          <w:rFonts w:hint="eastAsia"/>
        </w:rPr>
        <w:t>非法经营网点</w:t>
      </w:r>
    </w:p>
    <w:p w14:paraId="29C8D024" w14:textId="77777777" w:rsidR="00A37B7E" w:rsidRDefault="00A37B7E" w:rsidP="00E35B0F">
      <w:pPr>
        <w:rPr>
          <w:rFonts w:hint="eastAsia"/>
        </w:rPr>
      </w:pPr>
    </w:p>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rPr>
          <w:rFonts w:hint="eastAsia"/>
        </w:rPr>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rPr>
          <w:rFonts w:hint="eastAsia"/>
        </w:rPr>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rPr>
          <w:rFonts w:hint="eastAsia"/>
        </w:rPr>
      </w:pPr>
      <w:r>
        <w:rPr>
          <w:rFonts w:hint="eastAsia"/>
        </w:rPr>
        <w:t>最多3个A股账户、3个封闭式基金账户。</w:t>
      </w:r>
    </w:p>
    <w:p w14:paraId="0534B675" w14:textId="77777777" w:rsidR="00A0722E" w:rsidRDefault="00A0722E" w:rsidP="00E35B0F">
      <w:pPr>
        <w:rPr>
          <w:rFonts w:hint="eastAsia"/>
        </w:rPr>
      </w:pPr>
    </w:p>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pPr>
        <w:rPr>
          <w:rFonts w:hint="eastAsia"/>
        </w:rPr>
      </w:pPr>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w:t>
      </w:r>
      <w:r>
        <w:rPr>
          <w:rFonts w:hint="eastAsia"/>
        </w:rPr>
        <w:t>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rPr>
          <w:rFonts w:hint="eastAsia"/>
        </w:rPr>
      </w:pPr>
      <w:r>
        <w:rPr>
          <w:rFonts w:hint="eastAsia"/>
        </w:rPr>
        <w:t>非</w:t>
      </w:r>
      <w:r>
        <w:rPr>
          <w:rFonts w:hint="eastAsia"/>
        </w:rPr>
        <w:t>关键</w:t>
      </w:r>
      <w:r>
        <w:rPr>
          <w:rFonts w:hint="eastAsia"/>
        </w:rPr>
        <w:t>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w:t>
      </w:r>
      <w:r>
        <w:rPr>
          <w:rFonts w:hint="eastAsia"/>
        </w:rPr>
        <w:t>注销</w:t>
      </w:r>
      <w:r>
        <w:rPr>
          <w:rFonts w:hint="eastAsia"/>
        </w:rPr>
        <w:t>的条件</w:t>
      </w:r>
      <w:r>
        <w:rPr>
          <w:rFonts w:hint="eastAsia"/>
        </w:rPr>
        <w:t>：</w:t>
      </w:r>
      <w:r>
        <w:rPr>
          <w:rFonts w:hint="eastAsia"/>
        </w:rPr>
        <w:t>证券账户持有余额为零且不存在与该证券账户相关的未了结业务。</w:t>
      </w:r>
    </w:p>
    <w:p w14:paraId="50A50C74" w14:textId="04BCF628" w:rsidR="006F553B" w:rsidRDefault="006F553B" w:rsidP="006F553B">
      <w:pPr>
        <w:rPr>
          <w:rFonts w:hint="eastAsia"/>
        </w:rPr>
      </w:pPr>
      <w:r>
        <w:rPr>
          <w:rFonts w:hint="eastAsia"/>
        </w:rPr>
        <w:t>应当主动申请注销情形</w:t>
      </w:r>
      <w:r>
        <w:rPr>
          <w:rFonts w:hint="eastAsia"/>
        </w:rPr>
        <w:t>：</w:t>
      </w:r>
      <w:r>
        <w:rPr>
          <w:rFonts w:hint="eastAsia"/>
        </w:rPr>
        <w:t>发生自然人投资者死亡的、法人以及合伙企业等非法人组织因</w:t>
      </w:r>
      <w:r>
        <w:rPr>
          <w:rFonts w:hint="eastAsia"/>
        </w:rPr>
        <w:t>依法</w:t>
      </w:r>
      <w:r>
        <w:rPr>
          <w:rFonts w:hint="eastAsia"/>
        </w:rPr>
        <w:t>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w:t>
      </w:r>
      <w:r>
        <w:rPr>
          <w:rFonts w:hint="eastAsia"/>
        </w:rPr>
        <w:t>注销</w:t>
      </w:r>
      <w:r>
        <w:rPr>
          <w:rFonts w:hint="eastAsia"/>
        </w:rPr>
        <w:t>手续，有证券余额的，应当督促投资者清空证券后予以</w:t>
      </w:r>
      <w:r>
        <w:rPr>
          <w:rFonts w:hint="eastAsia"/>
        </w:rPr>
        <w:t>注销</w:t>
      </w:r>
      <w:r>
        <w:rPr>
          <w:rFonts w:hint="eastAsia"/>
        </w:rPr>
        <w:t>，</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w:t>
      </w:r>
      <w:r>
        <w:rPr>
          <w:rFonts w:hint="eastAsia"/>
        </w:rPr>
        <w:t>公正</w:t>
      </w:r>
      <w:r>
        <w:rPr>
          <w:rFonts w:hint="eastAsia"/>
        </w:rPr>
        <w:t>的授权委托书等能够证明委托代理关系的相关材料；</w:t>
      </w:r>
    </w:p>
    <w:p w14:paraId="0D6F0957" w14:textId="54E5EB13" w:rsidR="003A2787" w:rsidRDefault="003A2787" w:rsidP="003A2787">
      <w:pPr>
        <w:pStyle w:val="ad"/>
        <w:numPr>
          <w:ilvl w:val="0"/>
          <w:numId w:val="215"/>
        </w:numPr>
        <w:ind w:firstLineChars="0"/>
        <w:rPr>
          <w:rFonts w:hint="eastAsia"/>
        </w:rPr>
      </w:pPr>
      <w:r>
        <w:rPr>
          <w:rFonts w:hint="eastAsia"/>
        </w:rPr>
        <w:t>账户</w:t>
      </w:r>
      <w:r>
        <w:rPr>
          <w:rFonts w:hint="eastAsia"/>
        </w:rPr>
        <w:t>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rPr>
          <w:rFonts w:hint="eastAsia"/>
        </w:rPr>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rPr>
          <w:rFonts w:hint="eastAsia"/>
        </w:rPr>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w:t>
      </w:r>
      <w:r>
        <w:rPr>
          <w:rFonts w:hint="eastAsia"/>
        </w:rPr>
        <w:t>席位</w:t>
      </w:r>
      <w:r>
        <w:rPr>
          <w:rFonts w:hint="eastAsia"/>
        </w:rPr>
        <w:t>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w:t>
      </w:r>
      <w:r>
        <w:rPr>
          <w:rFonts w:hint="eastAsia"/>
        </w:rPr>
        <w:t>公司</w:t>
      </w:r>
      <w:r>
        <w:rPr>
          <w:rFonts w:hint="eastAsia"/>
        </w:rPr>
        <w:t>）不得共有席位。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w:t>
      </w:r>
      <w:r>
        <w:rPr>
          <w:rFonts w:hint="eastAsia"/>
        </w:rPr>
        <w:t>转让</w:t>
      </w:r>
      <w:r>
        <w:rPr>
          <w:rFonts w:hint="eastAsia"/>
        </w:rPr>
        <w:t>，但不得退回证券交易所。</w:t>
      </w:r>
    </w:p>
    <w:p w14:paraId="2725E5F8" w14:textId="4432EAC9" w:rsidR="00033858" w:rsidRDefault="00033858" w:rsidP="0001792A">
      <w:pPr>
        <w:pStyle w:val="ad"/>
        <w:numPr>
          <w:ilvl w:val="0"/>
          <w:numId w:val="218"/>
        </w:numPr>
        <w:ind w:firstLineChars="0"/>
        <w:rPr>
          <w:rFonts w:hint="eastAsia"/>
        </w:rPr>
      </w:pPr>
      <w:r>
        <w:rPr>
          <w:rFonts w:hint="eastAsia"/>
        </w:rPr>
        <w:t>未经证券交易所同意，会员（证券公司）不得将席位出租、质押或将</w:t>
      </w:r>
      <w:r>
        <w:rPr>
          <w:rFonts w:hint="eastAsia"/>
        </w:rPr>
        <w:t>席位</w:t>
      </w:r>
      <w:r>
        <w:rPr>
          <w:rFonts w:hint="eastAsia"/>
        </w:rPr>
        <w:t>立所属权益以其他</w:t>
      </w:r>
      <w:r>
        <w:rPr>
          <w:rFonts w:hint="eastAsia"/>
        </w:rPr>
        <w:t>任何</w:t>
      </w:r>
      <w:r>
        <w:rPr>
          <w:rFonts w:hint="eastAsia"/>
        </w:rPr>
        <w:t>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rPr>
          <w:rFonts w:hint="eastAsia"/>
        </w:rPr>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w:t>
      </w:r>
      <w:proofErr w:type="gramStart"/>
      <w:r w:rsidRPr="00944CCB">
        <w:rPr>
          <w:rStyle w:val="a5"/>
        </w:rPr>
        <w:t>通</w:t>
      </w:r>
      <w:r w:rsidRPr="003B107C">
        <w:rPr>
          <w:rStyle w:val="ab"/>
        </w:rPr>
        <w:t>交易</w:t>
      </w:r>
      <w:proofErr w:type="gramEnd"/>
      <w:r w:rsidRPr="003B107C">
        <w:rPr>
          <w:rStyle w:val="ab"/>
        </w:rPr>
        <w:t>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Pr>
        <w:rPr>
          <w:rFonts w:hint="eastAsia"/>
        </w:rPr>
      </w:pPr>
    </w:p>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rPr>
          <w:rFonts w:hint="eastAsia"/>
        </w:rPr>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rPr>
          <w:rFonts w:hint="eastAsia"/>
        </w:rPr>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w:t>
      </w:r>
      <w:proofErr w:type="gramStart"/>
      <w:r>
        <w:rPr>
          <w:rFonts w:hint="eastAsia"/>
        </w:rPr>
        <w:t>科创板</w:t>
      </w:r>
      <w:proofErr w:type="gramEnd"/>
    </w:p>
    <w:p w14:paraId="238BB7C8" w14:textId="74628561" w:rsidR="0001792A" w:rsidRPr="00634C6C" w:rsidRDefault="001921B8" w:rsidP="00E35B0F">
      <w:pPr>
        <w:rPr>
          <w:rStyle w:val="ab"/>
        </w:rPr>
      </w:pPr>
      <w:proofErr w:type="gramStart"/>
      <w:r w:rsidRPr="00634C6C">
        <w:rPr>
          <w:rStyle w:val="ab"/>
        </w:rPr>
        <w:t>科创板</w:t>
      </w:r>
      <w:proofErr w:type="gramEnd"/>
      <w:r w:rsidRPr="00634C6C">
        <w:rPr>
          <w:rStyle w:val="ab"/>
        </w:rPr>
        <w:t>的定位</w:t>
      </w:r>
    </w:p>
    <w:p w14:paraId="57895982" w14:textId="02C3D828" w:rsidR="001921B8" w:rsidRDefault="001921B8" w:rsidP="00634C6C">
      <w:pPr>
        <w:pStyle w:val="ad"/>
        <w:numPr>
          <w:ilvl w:val="0"/>
          <w:numId w:val="223"/>
        </w:numPr>
        <w:ind w:firstLineChars="0"/>
      </w:pPr>
      <w:r>
        <w:t>2018年11月5日，国家主席习近平出席首届中国国际进</w:t>
      </w:r>
      <w:proofErr w:type="gramStart"/>
      <w:r>
        <w:t>囗</w:t>
      </w:r>
      <w:proofErr w:type="gramEnd"/>
      <w:r>
        <w:rPr>
          <w:rFonts w:hint="eastAsia"/>
        </w:rPr>
        <w:t>博览会开幕式并发表主旨演讲，宣布在上海证券交易所</w:t>
      </w:r>
      <w:proofErr w:type="gramStart"/>
      <w:r>
        <w:rPr>
          <w:rFonts w:hint="eastAsia"/>
        </w:rPr>
        <w:t>设立科创板</w:t>
      </w:r>
      <w:proofErr w:type="gramEnd"/>
      <w:r>
        <w:rPr>
          <w:rFonts w:hint="eastAsia"/>
        </w:rPr>
        <w:t>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rPr>
          <w:rFonts w:hint="eastAsia"/>
        </w:rPr>
      </w:pPr>
      <w:r>
        <w:t>2019年6月13日，</w:t>
      </w:r>
      <w:proofErr w:type="gramStart"/>
      <w:r>
        <w:t>科创板正式开</w:t>
      </w:r>
      <w:proofErr w:type="gramEnd"/>
      <w:r>
        <w:t>板。华兴</w:t>
      </w:r>
      <w:proofErr w:type="gramStart"/>
      <w:r>
        <w:t>源创抢得科创板</w:t>
      </w:r>
      <w:proofErr w:type="gramEnd"/>
      <w:r>
        <w:rPr>
          <w:rFonts w:hint="eastAsia"/>
        </w:rPr>
        <w:t>第一股，</w:t>
      </w:r>
      <w:r>
        <w:t>6月27日进行网上申购。</w:t>
      </w:r>
      <w:r w:rsidRPr="00F93EC9">
        <w:rPr>
          <w:rStyle w:val="a5"/>
        </w:rPr>
        <w:t>7月22日，</w:t>
      </w:r>
      <w:proofErr w:type="gramStart"/>
      <w:r w:rsidRPr="00F93EC9">
        <w:rPr>
          <w:rStyle w:val="a5"/>
        </w:rPr>
        <w:t>科创板</w:t>
      </w:r>
      <w:proofErr w:type="gramEnd"/>
      <w:r w:rsidRPr="00F93EC9">
        <w:rPr>
          <w:rStyle w:val="a5"/>
        </w:rPr>
        <w:t>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w:t>
      </w:r>
      <w:proofErr w:type="gramStart"/>
      <w:r>
        <w:rPr>
          <w:rFonts w:hint="eastAsia"/>
        </w:rPr>
        <w:t>经济主苏面向</w:t>
      </w:r>
      <w:proofErr w:type="gramEnd"/>
      <w:r>
        <w:rPr>
          <w:rFonts w:hint="eastAsia"/>
        </w:rPr>
        <w:t>国家重大需求，主要服务于符合国家战略、突破关键核心技术、市场认可度高的科技创新企业。重点</w:t>
      </w:r>
      <w:r>
        <w:rPr>
          <w:rFonts w:hint="eastAsia"/>
        </w:rPr>
        <w:t>支持</w:t>
      </w:r>
      <w:r>
        <w:rPr>
          <w:rFonts w:hint="eastAsia"/>
        </w:rPr>
        <w:t>新一</w:t>
      </w:r>
      <w:r>
        <w:rPr>
          <w:rFonts w:hint="eastAsia"/>
        </w:rPr>
        <w:t>代</w:t>
      </w:r>
      <w:r>
        <w:rPr>
          <w:rFonts w:hint="eastAsia"/>
        </w:rPr>
        <w:t>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r>
        <w:rPr>
          <w:rFonts w:hint="eastAsia"/>
        </w:rPr>
        <w:t>：</w:t>
      </w:r>
    </w:p>
    <w:p w14:paraId="571D543D" w14:textId="11CF1D27" w:rsidR="00293D55" w:rsidRDefault="00293D55" w:rsidP="003505F4">
      <w:pPr>
        <w:pStyle w:val="ad"/>
        <w:numPr>
          <w:ilvl w:val="1"/>
          <w:numId w:val="224"/>
        </w:numPr>
        <w:ind w:firstLineChars="0"/>
      </w:pPr>
      <w:r>
        <w:t>申请权限开通</w:t>
      </w:r>
      <w:r w:rsidRPr="003505F4">
        <w:rPr>
          <w:rStyle w:val="a5"/>
        </w:rPr>
        <w:t>前20个交易</w:t>
      </w:r>
      <w:proofErr w:type="gramStart"/>
      <w:r w:rsidRPr="003505F4">
        <w:rPr>
          <w:rStyle w:val="a5"/>
        </w:rPr>
        <w:t>日</w:t>
      </w:r>
      <w:r>
        <w:t>证券</w:t>
      </w:r>
      <w:proofErr w:type="gramEnd"/>
      <w:r>
        <w:t>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rPr>
          <w:rFonts w:hint="eastAsia"/>
        </w:rPr>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rPr>
          <w:rFonts w:hint="eastAsia"/>
        </w:rPr>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w:t>
      </w:r>
      <w:proofErr w:type="gramStart"/>
      <w:r>
        <w:t>科创板</w:t>
      </w:r>
      <w:proofErr w:type="gramEnd"/>
      <w:r>
        <w:rPr>
          <w:rFonts w:hint="eastAsia"/>
        </w:rPr>
        <w:t>将优化融券制度。</w:t>
      </w:r>
    </w:p>
    <w:p w14:paraId="088D7C2A" w14:textId="7A417559" w:rsidR="002F5D90" w:rsidRDefault="002F5D90" w:rsidP="00C813E1">
      <w:pPr>
        <w:pStyle w:val="ad"/>
        <w:numPr>
          <w:ilvl w:val="1"/>
          <w:numId w:val="225"/>
        </w:numPr>
        <w:ind w:firstLineChars="0"/>
        <w:rPr>
          <w:rFonts w:hint="eastAsia"/>
        </w:rPr>
      </w:pPr>
      <w:proofErr w:type="gramStart"/>
      <w:r>
        <w:rPr>
          <w:rFonts w:hint="eastAsia"/>
        </w:rPr>
        <w:t>科创板股票</w:t>
      </w:r>
      <w:proofErr w:type="gramEnd"/>
      <w:r>
        <w:rPr>
          <w:rFonts w:hint="eastAsia"/>
        </w:rPr>
        <w:t>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rPr>
          <w:rFonts w:hint="eastAsia"/>
        </w:rPr>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w:t>
      </w:r>
      <w:proofErr w:type="gramStart"/>
      <w:r>
        <w:rPr>
          <w:rFonts w:hint="eastAsia"/>
        </w:rPr>
        <w:t>到科创企业</w:t>
      </w:r>
      <w:proofErr w:type="gramEnd"/>
      <w:r>
        <w:rPr>
          <w:rFonts w:hint="eastAsia"/>
        </w:rPr>
        <w:t>具有</w:t>
      </w:r>
      <w:r w:rsidRPr="00F4201C">
        <w:rPr>
          <w:rStyle w:val="a5"/>
          <w:rFonts w:hint="eastAsia"/>
        </w:rPr>
        <w:t>投入大、</w:t>
      </w:r>
      <w:proofErr w:type="gramStart"/>
      <w:r w:rsidRPr="00F4201C">
        <w:rPr>
          <w:rStyle w:val="a5"/>
          <w:rFonts w:hint="eastAsia"/>
        </w:rPr>
        <w:t>迭代快</w:t>
      </w:r>
      <w:proofErr w:type="gramEnd"/>
      <w:r>
        <w:rPr>
          <w:rFonts w:hint="eastAsia"/>
        </w:rPr>
        <w:t>等特点，在总结现有股票交易涨跌</w:t>
      </w:r>
      <w:proofErr w:type="gramStart"/>
      <w:r>
        <w:rPr>
          <w:rFonts w:hint="eastAsia"/>
        </w:rPr>
        <w:t>幅制度</w:t>
      </w:r>
      <w:proofErr w:type="gramEnd"/>
      <w:r>
        <w:rPr>
          <w:rFonts w:hint="eastAsia"/>
        </w:rPr>
        <w:t>实施中的利弊得失基础上，将</w:t>
      </w:r>
      <w:proofErr w:type="gramStart"/>
      <w:r>
        <w:rPr>
          <w:rFonts w:hint="eastAsia"/>
        </w:rPr>
        <w:t>科创板股票</w:t>
      </w:r>
      <w:proofErr w:type="gramEnd"/>
      <w:r>
        <w:rPr>
          <w:rFonts w:hint="eastAsia"/>
        </w:rPr>
        <w:t>的涨跌幅限制放宽至</w:t>
      </w:r>
      <w:r w:rsidRPr="00F4201C">
        <w:rPr>
          <w:rStyle w:val="a5"/>
        </w:rPr>
        <w:t>20％</w:t>
      </w:r>
      <w:r>
        <w:t>。</w:t>
      </w:r>
    </w:p>
    <w:p w14:paraId="1F1A11D7" w14:textId="1C010E3E" w:rsidR="00760E4C" w:rsidRDefault="00760E4C" w:rsidP="00C813E1">
      <w:pPr>
        <w:pStyle w:val="ad"/>
        <w:numPr>
          <w:ilvl w:val="1"/>
          <w:numId w:val="225"/>
        </w:numPr>
        <w:ind w:firstLineChars="0"/>
        <w:rPr>
          <w:rFonts w:hint="eastAsia"/>
        </w:rPr>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r>
        <w:rPr>
          <w:rFonts w:hint="eastAsia"/>
        </w:rPr>
        <w:t>。</w:t>
      </w:r>
    </w:p>
    <w:p w14:paraId="4C0A73AF" w14:textId="630A2B03"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07A703AA" w14:textId="2FF8E110" w:rsidR="00293D55" w:rsidRDefault="00293D55" w:rsidP="00E35B0F"/>
    <w:p w14:paraId="79DEE605" w14:textId="703D20C1" w:rsidR="00293D55" w:rsidRDefault="00293D55" w:rsidP="00E35B0F"/>
    <w:p w14:paraId="741E8B57" w14:textId="4DFCECC2" w:rsidR="00293D55" w:rsidRDefault="00293D55" w:rsidP="00E35B0F"/>
    <w:p w14:paraId="7B13BCC5" w14:textId="056784E5" w:rsidR="00293D55" w:rsidRDefault="00293D55" w:rsidP="00E35B0F"/>
    <w:p w14:paraId="6F61F37F" w14:textId="2BA3ABCD" w:rsidR="00293D55" w:rsidRDefault="00293D55" w:rsidP="00E35B0F"/>
    <w:p w14:paraId="4102A1BA" w14:textId="6265BB89" w:rsidR="00293D55" w:rsidRDefault="00293D55" w:rsidP="00E35B0F"/>
    <w:p w14:paraId="73D86117" w14:textId="640A18A2" w:rsidR="00293D55" w:rsidRDefault="00293D55" w:rsidP="00E35B0F"/>
    <w:p w14:paraId="725FDE62" w14:textId="591EBFC1" w:rsidR="00293D55" w:rsidRDefault="00293D55" w:rsidP="00E35B0F"/>
    <w:p w14:paraId="0BAF3133" w14:textId="03D92872" w:rsidR="00293D55" w:rsidRDefault="00293D55" w:rsidP="00E35B0F"/>
    <w:p w14:paraId="3CF15396" w14:textId="77777777" w:rsidR="00293D55" w:rsidRDefault="00293D55" w:rsidP="00E35B0F">
      <w:pPr>
        <w:rPr>
          <w:rFonts w:hint="eastAsia"/>
        </w:rPr>
      </w:pPr>
    </w:p>
    <w:p w14:paraId="0DC989F0" w14:textId="1D4799B6" w:rsidR="000052B5" w:rsidRDefault="000052B5" w:rsidP="00E35B0F"/>
    <w:p w14:paraId="5EE0AA17" w14:textId="1668C23D" w:rsidR="000052B5" w:rsidRDefault="000052B5" w:rsidP="00E35B0F"/>
    <w:p w14:paraId="4BF0698A" w14:textId="77777777" w:rsidR="000052B5" w:rsidRPr="00E35B0F" w:rsidRDefault="000052B5" w:rsidP="00E35B0F">
      <w:pPr>
        <w:rPr>
          <w:rFonts w:hint="eastAsia"/>
        </w:rPr>
      </w:pPr>
    </w:p>
    <w:p w14:paraId="028E1C21" w14:textId="77777777" w:rsidR="00BA23F0" w:rsidRDefault="00BA23F0" w:rsidP="00271AFB">
      <w:pPr>
        <w:pStyle w:val="2"/>
      </w:pPr>
      <w:bookmarkStart w:id="26" w:name="_Toc46694756"/>
      <w:r>
        <w:lastRenderedPageBreak/>
        <w:t>第二节</w:t>
      </w:r>
      <w:r>
        <w:rPr>
          <w:rFonts w:hint="eastAsia"/>
        </w:rPr>
        <w:t xml:space="preserve"> </w:t>
      </w:r>
      <w:r>
        <w:t>证券投资咨询</w:t>
      </w:r>
      <w:bookmarkEnd w:id="26"/>
    </w:p>
    <w:p w14:paraId="20D9DC7B" w14:textId="77777777"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60EC20E4" w14:textId="77777777" w:rsidR="00BA23F0" w:rsidRDefault="00BA23F0" w:rsidP="00271AFB">
      <w:pPr>
        <w:pStyle w:val="2"/>
      </w:pPr>
      <w:bookmarkStart w:id="28" w:name="_Toc46694758"/>
      <w:r>
        <w:t>第四节</w:t>
      </w:r>
      <w:r>
        <w:rPr>
          <w:rFonts w:hint="eastAsia"/>
        </w:rPr>
        <w:t xml:space="preserve"> </w:t>
      </w:r>
      <w:r>
        <w:t>证券承销与保荐</w:t>
      </w:r>
      <w:bookmarkEnd w:id="28"/>
    </w:p>
    <w:p w14:paraId="5DB6C33D" w14:textId="77777777" w:rsidR="00AD2076" w:rsidRDefault="00AD2076" w:rsidP="00577DCE">
      <w:pPr>
        <w:pStyle w:val="2"/>
      </w:pPr>
      <w:bookmarkStart w:id="29" w:name="_Toc46694759"/>
      <w:r>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AB7514"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20655" w14:textId="77777777" w:rsidR="004A1410" w:rsidRDefault="004A1410" w:rsidP="002D398F">
      <w:r>
        <w:separator/>
      </w:r>
    </w:p>
  </w:endnote>
  <w:endnote w:type="continuationSeparator" w:id="0">
    <w:p w14:paraId="5357F2A3" w14:textId="77777777" w:rsidR="004A1410" w:rsidRDefault="004A141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AB7514" w:rsidRDefault="00AB7514">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AB7514" w:rsidRDefault="00AB7514">
            <w:pPr>
              <w:pStyle w:val="a8"/>
              <w:jc w:val="center"/>
            </w:pPr>
            <w:r>
              <w:rPr>
                <w:lang w:val="zh-CN"/>
              </w:rPr>
              <w:t xml:space="preserve"> </w:t>
            </w:r>
          </w:p>
        </w:sdtContent>
      </w:sdt>
    </w:sdtContent>
  </w:sdt>
  <w:p w14:paraId="5D14F036" w14:textId="77777777" w:rsidR="00AB7514" w:rsidRDefault="00AB75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7CBCF" w14:textId="77777777" w:rsidR="004A1410" w:rsidRDefault="004A1410" w:rsidP="002D398F">
      <w:r>
        <w:separator/>
      </w:r>
    </w:p>
  </w:footnote>
  <w:footnote w:type="continuationSeparator" w:id="0">
    <w:p w14:paraId="5FF14B97" w14:textId="77777777" w:rsidR="004A1410" w:rsidRDefault="004A141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7C4DB872" w:rsidR="00AB7514" w:rsidRDefault="00AB7514">
    <w:pPr>
      <w:pStyle w:val="a6"/>
    </w:pPr>
    <w:r w:rsidRPr="0004727E">
      <w:rPr>
        <w:rFonts w:hint="eastAsia"/>
      </w:rPr>
      <w:t>证券市场基本法律法规</w:t>
    </w:r>
    <w:r>
      <w:ptab w:relativeTo="margin" w:alignment="center" w:leader="none"/>
    </w:r>
    <w:fldSimple w:instr=" STYLEREF  &quot;标题 1,标题 1 章节&quot;  \* MERGEFORMAT ">
      <w:r w:rsidR="00C813E1">
        <w:rPr>
          <w:noProof/>
        </w:rPr>
        <w:t>第四章 证券市场典型违法违规行为及法律责任</w:t>
      </w:r>
    </w:fldSimple>
    <w:r>
      <w:ptab w:relativeTo="margin" w:alignment="right" w:leader="none"/>
    </w:r>
    <w:fldSimple w:instr=" STYLEREF  &quot;标题 2,标题 2 小节&quot;  \* MERGEFORMAT ">
      <w:r w:rsidR="00C813E1">
        <w:rPr>
          <w:noProof/>
        </w:rPr>
        <w:t>第一节 证券一级市场</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3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0"/>
  </w:num>
  <w:num w:numId="2">
    <w:abstractNumId w:val="164"/>
  </w:num>
  <w:num w:numId="3">
    <w:abstractNumId w:val="106"/>
  </w:num>
  <w:num w:numId="4">
    <w:abstractNumId w:val="10"/>
  </w:num>
  <w:num w:numId="5">
    <w:abstractNumId w:val="112"/>
  </w:num>
  <w:num w:numId="6">
    <w:abstractNumId w:val="50"/>
  </w:num>
  <w:num w:numId="7">
    <w:abstractNumId w:val="132"/>
  </w:num>
  <w:num w:numId="8">
    <w:abstractNumId w:val="70"/>
  </w:num>
  <w:num w:numId="9">
    <w:abstractNumId w:val="161"/>
  </w:num>
  <w:num w:numId="10">
    <w:abstractNumId w:val="184"/>
  </w:num>
  <w:num w:numId="11">
    <w:abstractNumId w:val="1"/>
  </w:num>
  <w:num w:numId="12">
    <w:abstractNumId w:val="48"/>
  </w:num>
  <w:num w:numId="13">
    <w:abstractNumId w:val="80"/>
  </w:num>
  <w:num w:numId="14">
    <w:abstractNumId w:val="2"/>
  </w:num>
  <w:num w:numId="15">
    <w:abstractNumId w:val="126"/>
  </w:num>
  <w:num w:numId="16">
    <w:abstractNumId w:val="107"/>
  </w:num>
  <w:num w:numId="17">
    <w:abstractNumId w:val="76"/>
  </w:num>
  <w:num w:numId="18">
    <w:abstractNumId w:val="3"/>
  </w:num>
  <w:num w:numId="19">
    <w:abstractNumId w:val="179"/>
  </w:num>
  <w:num w:numId="20">
    <w:abstractNumId w:val="113"/>
  </w:num>
  <w:num w:numId="21">
    <w:abstractNumId w:val="73"/>
  </w:num>
  <w:num w:numId="22">
    <w:abstractNumId w:val="16"/>
  </w:num>
  <w:num w:numId="23">
    <w:abstractNumId w:val="169"/>
  </w:num>
  <w:num w:numId="24">
    <w:abstractNumId w:val="47"/>
  </w:num>
  <w:num w:numId="25">
    <w:abstractNumId w:val="87"/>
  </w:num>
  <w:num w:numId="26">
    <w:abstractNumId w:val="26"/>
  </w:num>
  <w:num w:numId="27">
    <w:abstractNumId w:val="170"/>
  </w:num>
  <w:num w:numId="28">
    <w:abstractNumId w:val="214"/>
  </w:num>
  <w:num w:numId="29">
    <w:abstractNumId w:val="94"/>
  </w:num>
  <w:num w:numId="30">
    <w:abstractNumId w:val="158"/>
  </w:num>
  <w:num w:numId="31">
    <w:abstractNumId w:val="142"/>
  </w:num>
  <w:num w:numId="32">
    <w:abstractNumId w:val="201"/>
  </w:num>
  <w:num w:numId="33">
    <w:abstractNumId w:val="17"/>
  </w:num>
  <w:num w:numId="34">
    <w:abstractNumId w:val="98"/>
  </w:num>
  <w:num w:numId="35">
    <w:abstractNumId w:val="198"/>
  </w:num>
  <w:num w:numId="36">
    <w:abstractNumId w:val="68"/>
  </w:num>
  <w:num w:numId="37">
    <w:abstractNumId w:val="192"/>
  </w:num>
  <w:num w:numId="38">
    <w:abstractNumId w:val="134"/>
  </w:num>
  <w:num w:numId="39">
    <w:abstractNumId w:val="163"/>
  </w:num>
  <w:num w:numId="40">
    <w:abstractNumId w:val="60"/>
  </w:num>
  <w:num w:numId="41">
    <w:abstractNumId w:val="58"/>
  </w:num>
  <w:num w:numId="42">
    <w:abstractNumId w:val="200"/>
  </w:num>
  <w:num w:numId="43">
    <w:abstractNumId w:val="175"/>
  </w:num>
  <w:num w:numId="44">
    <w:abstractNumId w:val="21"/>
  </w:num>
  <w:num w:numId="45">
    <w:abstractNumId w:val="88"/>
  </w:num>
  <w:num w:numId="46">
    <w:abstractNumId w:val="96"/>
  </w:num>
  <w:num w:numId="47">
    <w:abstractNumId w:val="95"/>
  </w:num>
  <w:num w:numId="48">
    <w:abstractNumId w:val="202"/>
  </w:num>
  <w:num w:numId="49">
    <w:abstractNumId w:val="221"/>
  </w:num>
  <w:num w:numId="50">
    <w:abstractNumId w:val="6"/>
  </w:num>
  <w:num w:numId="51">
    <w:abstractNumId w:val="148"/>
  </w:num>
  <w:num w:numId="52">
    <w:abstractNumId w:val="124"/>
  </w:num>
  <w:num w:numId="53">
    <w:abstractNumId w:val="104"/>
  </w:num>
  <w:num w:numId="54">
    <w:abstractNumId w:val="34"/>
  </w:num>
  <w:num w:numId="55">
    <w:abstractNumId w:val="213"/>
  </w:num>
  <w:num w:numId="56">
    <w:abstractNumId w:val="59"/>
  </w:num>
  <w:num w:numId="57">
    <w:abstractNumId w:val="143"/>
  </w:num>
  <w:num w:numId="58">
    <w:abstractNumId w:val="114"/>
  </w:num>
  <w:num w:numId="59">
    <w:abstractNumId w:val="37"/>
  </w:num>
  <w:num w:numId="60">
    <w:abstractNumId w:val="147"/>
  </w:num>
  <w:num w:numId="61">
    <w:abstractNumId w:val="151"/>
  </w:num>
  <w:num w:numId="62">
    <w:abstractNumId w:val="222"/>
  </w:num>
  <w:num w:numId="63">
    <w:abstractNumId w:val="115"/>
  </w:num>
  <w:num w:numId="64">
    <w:abstractNumId w:val="31"/>
  </w:num>
  <w:num w:numId="65">
    <w:abstractNumId w:val="100"/>
  </w:num>
  <w:num w:numId="66">
    <w:abstractNumId w:val="177"/>
  </w:num>
  <w:num w:numId="67">
    <w:abstractNumId w:val="127"/>
  </w:num>
  <w:num w:numId="68">
    <w:abstractNumId w:val="195"/>
  </w:num>
  <w:num w:numId="69">
    <w:abstractNumId w:val="185"/>
  </w:num>
  <w:num w:numId="70">
    <w:abstractNumId w:val="210"/>
  </w:num>
  <w:num w:numId="71">
    <w:abstractNumId w:val="41"/>
  </w:num>
  <w:num w:numId="72">
    <w:abstractNumId w:val="42"/>
  </w:num>
  <w:num w:numId="73">
    <w:abstractNumId w:val="203"/>
  </w:num>
  <w:num w:numId="74">
    <w:abstractNumId w:val="189"/>
  </w:num>
  <w:num w:numId="75">
    <w:abstractNumId w:val="188"/>
  </w:num>
  <w:num w:numId="76">
    <w:abstractNumId w:val="191"/>
  </w:num>
  <w:num w:numId="77">
    <w:abstractNumId w:val="108"/>
  </w:num>
  <w:num w:numId="78">
    <w:abstractNumId w:val="51"/>
  </w:num>
  <w:num w:numId="79">
    <w:abstractNumId w:val="181"/>
  </w:num>
  <w:num w:numId="80">
    <w:abstractNumId w:val="12"/>
  </w:num>
  <w:num w:numId="81">
    <w:abstractNumId w:val="219"/>
  </w:num>
  <w:num w:numId="82">
    <w:abstractNumId w:val="180"/>
  </w:num>
  <w:num w:numId="83">
    <w:abstractNumId w:val="72"/>
  </w:num>
  <w:num w:numId="84">
    <w:abstractNumId w:val="23"/>
  </w:num>
  <w:num w:numId="85">
    <w:abstractNumId w:val="102"/>
  </w:num>
  <w:num w:numId="86">
    <w:abstractNumId w:val="105"/>
  </w:num>
  <w:num w:numId="87">
    <w:abstractNumId w:val="82"/>
  </w:num>
  <w:num w:numId="88">
    <w:abstractNumId w:val="40"/>
  </w:num>
  <w:num w:numId="89">
    <w:abstractNumId w:val="57"/>
  </w:num>
  <w:num w:numId="90">
    <w:abstractNumId w:val="122"/>
  </w:num>
  <w:num w:numId="91">
    <w:abstractNumId w:val="212"/>
  </w:num>
  <w:num w:numId="92">
    <w:abstractNumId w:val="92"/>
  </w:num>
  <w:num w:numId="93">
    <w:abstractNumId w:val="39"/>
  </w:num>
  <w:num w:numId="94">
    <w:abstractNumId w:val="53"/>
  </w:num>
  <w:num w:numId="95">
    <w:abstractNumId w:val="49"/>
  </w:num>
  <w:num w:numId="96">
    <w:abstractNumId w:val="109"/>
  </w:num>
  <w:num w:numId="97">
    <w:abstractNumId w:val="9"/>
  </w:num>
  <w:num w:numId="98">
    <w:abstractNumId w:val="4"/>
  </w:num>
  <w:num w:numId="99">
    <w:abstractNumId w:val="90"/>
  </w:num>
  <w:num w:numId="100">
    <w:abstractNumId w:val="75"/>
  </w:num>
  <w:num w:numId="101">
    <w:abstractNumId w:val="128"/>
  </w:num>
  <w:num w:numId="102">
    <w:abstractNumId w:val="83"/>
  </w:num>
  <w:num w:numId="103">
    <w:abstractNumId w:val="44"/>
  </w:num>
  <w:num w:numId="104">
    <w:abstractNumId w:val="194"/>
  </w:num>
  <w:num w:numId="105">
    <w:abstractNumId w:val="172"/>
  </w:num>
  <w:num w:numId="106">
    <w:abstractNumId w:val="174"/>
  </w:num>
  <w:num w:numId="107">
    <w:abstractNumId w:val="206"/>
  </w:num>
  <w:num w:numId="108">
    <w:abstractNumId w:val="129"/>
  </w:num>
  <w:num w:numId="109">
    <w:abstractNumId w:val="29"/>
  </w:num>
  <w:num w:numId="110">
    <w:abstractNumId w:val="223"/>
  </w:num>
  <w:num w:numId="111">
    <w:abstractNumId w:val="136"/>
  </w:num>
  <w:num w:numId="112">
    <w:abstractNumId w:val="24"/>
  </w:num>
  <w:num w:numId="113">
    <w:abstractNumId w:val="30"/>
  </w:num>
  <w:num w:numId="114">
    <w:abstractNumId w:val="125"/>
  </w:num>
  <w:num w:numId="115">
    <w:abstractNumId w:val="205"/>
  </w:num>
  <w:num w:numId="116">
    <w:abstractNumId w:val="27"/>
  </w:num>
  <w:num w:numId="117">
    <w:abstractNumId w:val="84"/>
  </w:num>
  <w:num w:numId="118">
    <w:abstractNumId w:val="211"/>
  </w:num>
  <w:num w:numId="119">
    <w:abstractNumId w:val="144"/>
  </w:num>
  <w:num w:numId="120">
    <w:abstractNumId w:val="14"/>
  </w:num>
  <w:num w:numId="121">
    <w:abstractNumId w:val="133"/>
  </w:num>
  <w:num w:numId="122">
    <w:abstractNumId w:val="61"/>
  </w:num>
  <w:num w:numId="123">
    <w:abstractNumId w:val="78"/>
  </w:num>
  <w:num w:numId="124">
    <w:abstractNumId w:val="152"/>
  </w:num>
  <w:num w:numId="125">
    <w:abstractNumId w:val="207"/>
  </w:num>
  <w:num w:numId="126">
    <w:abstractNumId w:val="156"/>
  </w:num>
  <w:num w:numId="127">
    <w:abstractNumId w:val="74"/>
  </w:num>
  <w:num w:numId="128">
    <w:abstractNumId w:val="166"/>
  </w:num>
  <w:num w:numId="129">
    <w:abstractNumId w:val="25"/>
  </w:num>
  <w:num w:numId="130">
    <w:abstractNumId w:val="55"/>
  </w:num>
  <w:num w:numId="131">
    <w:abstractNumId w:val="20"/>
  </w:num>
  <w:num w:numId="132">
    <w:abstractNumId w:val="85"/>
  </w:num>
  <w:num w:numId="133">
    <w:abstractNumId w:val="157"/>
  </w:num>
  <w:num w:numId="134">
    <w:abstractNumId w:val="69"/>
  </w:num>
  <w:num w:numId="135">
    <w:abstractNumId w:val="119"/>
  </w:num>
  <w:num w:numId="136">
    <w:abstractNumId w:val="199"/>
  </w:num>
  <w:num w:numId="137">
    <w:abstractNumId w:val="64"/>
  </w:num>
  <w:num w:numId="138">
    <w:abstractNumId w:val="62"/>
  </w:num>
  <w:num w:numId="139">
    <w:abstractNumId w:val="71"/>
  </w:num>
  <w:num w:numId="140">
    <w:abstractNumId w:val="22"/>
  </w:num>
  <w:num w:numId="141">
    <w:abstractNumId w:val="18"/>
  </w:num>
  <w:num w:numId="142">
    <w:abstractNumId w:val="208"/>
  </w:num>
  <w:num w:numId="143">
    <w:abstractNumId w:val="77"/>
  </w:num>
  <w:num w:numId="144">
    <w:abstractNumId w:val="36"/>
  </w:num>
  <w:num w:numId="145">
    <w:abstractNumId w:val="196"/>
  </w:num>
  <w:num w:numId="146">
    <w:abstractNumId w:val="86"/>
  </w:num>
  <w:num w:numId="147">
    <w:abstractNumId w:val="153"/>
  </w:num>
  <w:num w:numId="148">
    <w:abstractNumId w:val="56"/>
  </w:num>
  <w:num w:numId="149">
    <w:abstractNumId w:val="123"/>
  </w:num>
  <w:num w:numId="150">
    <w:abstractNumId w:val="101"/>
  </w:num>
  <w:num w:numId="151">
    <w:abstractNumId w:val="218"/>
  </w:num>
  <w:num w:numId="152">
    <w:abstractNumId w:val="5"/>
  </w:num>
  <w:num w:numId="153">
    <w:abstractNumId w:val="137"/>
  </w:num>
  <w:num w:numId="154">
    <w:abstractNumId w:val="54"/>
  </w:num>
  <w:num w:numId="155">
    <w:abstractNumId w:val="187"/>
  </w:num>
  <w:num w:numId="156">
    <w:abstractNumId w:val="79"/>
  </w:num>
  <w:num w:numId="157">
    <w:abstractNumId w:val="162"/>
  </w:num>
  <w:num w:numId="158">
    <w:abstractNumId w:val="91"/>
  </w:num>
  <w:num w:numId="159">
    <w:abstractNumId w:val="130"/>
  </w:num>
  <w:num w:numId="160">
    <w:abstractNumId w:val="146"/>
  </w:num>
  <w:num w:numId="161">
    <w:abstractNumId w:val="116"/>
  </w:num>
  <w:num w:numId="162">
    <w:abstractNumId w:val="66"/>
  </w:num>
  <w:num w:numId="163">
    <w:abstractNumId w:val="165"/>
  </w:num>
  <w:num w:numId="164">
    <w:abstractNumId w:val="7"/>
  </w:num>
  <w:num w:numId="165">
    <w:abstractNumId w:val="173"/>
  </w:num>
  <w:num w:numId="166">
    <w:abstractNumId w:val="145"/>
  </w:num>
  <w:num w:numId="167">
    <w:abstractNumId w:val="167"/>
  </w:num>
  <w:num w:numId="168">
    <w:abstractNumId w:val="111"/>
  </w:num>
  <w:num w:numId="169">
    <w:abstractNumId w:val="65"/>
  </w:num>
  <w:num w:numId="170">
    <w:abstractNumId w:val="190"/>
  </w:num>
  <w:num w:numId="171">
    <w:abstractNumId w:val="33"/>
  </w:num>
  <w:num w:numId="172">
    <w:abstractNumId w:val="97"/>
  </w:num>
  <w:num w:numId="173">
    <w:abstractNumId w:val="140"/>
  </w:num>
  <w:num w:numId="174">
    <w:abstractNumId w:val="183"/>
  </w:num>
  <w:num w:numId="175">
    <w:abstractNumId w:val="160"/>
  </w:num>
  <w:num w:numId="176">
    <w:abstractNumId w:val="117"/>
  </w:num>
  <w:num w:numId="177">
    <w:abstractNumId w:val="138"/>
  </w:num>
  <w:num w:numId="178">
    <w:abstractNumId w:val="43"/>
  </w:num>
  <w:num w:numId="179">
    <w:abstractNumId w:val="139"/>
  </w:num>
  <w:num w:numId="180">
    <w:abstractNumId w:val="35"/>
  </w:num>
  <w:num w:numId="181">
    <w:abstractNumId w:val="186"/>
  </w:num>
  <w:num w:numId="182">
    <w:abstractNumId w:val="155"/>
  </w:num>
  <w:num w:numId="183">
    <w:abstractNumId w:val="46"/>
  </w:num>
  <w:num w:numId="184">
    <w:abstractNumId w:val="15"/>
  </w:num>
  <w:num w:numId="185">
    <w:abstractNumId w:val="118"/>
  </w:num>
  <w:num w:numId="186">
    <w:abstractNumId w:val="38"/>
  </w:num>
  <w:num w:numId="187">
    <w:abstractNumId w:val="193"/>
  </w:num>
  <w:num w:numId="188">
    <w:abstractNumId w:val="215"/>
  </w:num>
  <w:num w:numId="189">
    <w:abstractNumId w:val="93"/>
  </w:num>
  <w:num w:numId="190">
    <w:abstractNumId w:val="99"/>
  </w:num>
  <w:num w:numId="191">
    <w:abstractNumId w:val="11"/>
  </w:num>
  <w:num w:numId="192">
    <w:abstractNumId w:val="168"/>
  </w:num>
  <w:num w:numId="193">
    <w:abstractNumId w:val="67"/>
  </w:num>
  <w:num w:numId="194">
    <w:abstractNumId w:val="89"/>
  </w:num>
  <w:num w:numId="195">
    <w:abstractNumId w:val="204"/>
  </w:num>
  <w:num w:numId="196">
    <w:abstractNumId w:val="52"/>
  </w:num>
  <w:num w:numId="197">
    <w:abstractNumId w:val="209"/>
  </w:num>
  <w:num w:numId="198">
    <w:abstractNumId w:val="13"/>
  </w:num>
  <w:num w:numId="199">
    <w:abstractNumId w:val="63"/>
  </w:num>
  <w:num w:numId="200">
    <w:abstractNumId w:val="224"/>
  </w:num>
  <w:num w:numId="201">
    <w:abstractNumId w:val="19"/>
  </w:num>
  <w:num w:numId="202">
    <w:abstractNumId w:val="45"/>
  </w:num>
  <w:num w:numId="203">
    <w:abstractNumId w:val="217"/>
  </w:num>
  <w:num w:numId="204">
    <w:abstractNumId w:val="120"/>
  </w:num>
  <w:num w:numId="205">
    <w:abstractNumId w:val="103"/>
  </w:num>
  <w:num w:numId="206">
    <w:abstractNumId w:val="182"/>
  </w:num>
  <w:num w:numId="207">
    <w:abstractNumId w:val="131"/>
  </w:num>
  <w:num w:numId="208">
    <w:abstractNumId w:val="159"/>
  </w:num>
  <w:num w:numId="209">
    <w:abstractNumId w:val="81"/>
  </w:num>
  <w:num w:numId="210">
    <w:abstractNumId w:val="154"/>
  </w:num>
  <w:num w:numId="211">
    <w:abstractNumId w:val="171"/>
  </w:num>
  <w:num w:numId="212">
    <w:abstractNumId w:val="197"/>
  </w:num>
  <w:num w:numId="213">
    <w:abstractNumId w:val="8"/>
  </w:num>
  <w:num w:numId="214">
    <w:abstractNumId w:val="135"/>
  </w:num>
  <w:num w:numId="215">
    <w:abstractNumId w:val="0"/>
  </w:num>
  <w:num w:numId="216">
    <w:abstractNumId w:val="220"/>
  </w:num>
  <w:num w:numId="217">
    <w:abstractNumId w:val="141"/>
  </w:num>
  <w:num w:numId="218">
    <w:abstractNumId w:val="28"/>
  </w:num>
  <w:num w:numId="219">
    <w:abstractNumId w:val="110"/>
  </w:num>
  <w:num w:numId="220">
    <w:abstractNumId w:val="178"/>
  </w:num>
  <w:num w:numId="221">
    <w:abstractNumId w:val="121"/>
  </w:num>
  <w:num w:numId="222">
    <w:abstractNumId w:val="149"/>
  </w:num>
  <w:num w:numId="223">
    <w:abstractNumId w:val="176"/>
  </w:num>
  <w:num w:numId="224">
    <w:abstractNumId w:val="216"/>
  </w:num>
  <w:num w:numId="225">
    <w:abstractNumId w:val="32"/>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0A5"/>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10"/>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160F3"/>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3D3"/>
    <w:rsid w:val="00BA0763"/>
    <w:rsid w:val="00BA0764"/>
    <w:rsid w:val="00BA0CB3"/>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01C"/>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8298</TotalTime>
  <Pages>74</Pages>
  <Words>7744</Words>
  <Characters>44145</Characters>
  <Application>Microsoft Office Word</Application>
  <DocSecurity>0</DocSecurity>
  <Lines>367</Lines>
  <Paragraphs>103</Paragraphs>
  <ScaleCrop>false</ScaleCrop>
  <Company/>
  <LinksUpToDate>false</LinksUpToDate>
  <CharactersWithSpaces>51786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3483</cp:revision>
  <dcterms:created xsi:type="dcterms:W3CDTF">2020-06-27T08:27:00Z</dcterms:created>
  <dcterms:modified xsi:type="dcterms:W3CDTF">2020-07-28T13:32:00Z</dcterms:modified>
</cp:coreProperties>
</file>